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4923790" cy="3529965"/>
            <wp:effectExtent l="0" t="0" r="63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379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widowControl/>
        <w:spacing w:line="480" w:lineRule="auto"/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  <w:t xml:space="preserve">Additional file 2: </w:t>
      </w:r>
      <w:bookmarkStart w:id="0" w:name="OLE_LINK50"/>
      <w:r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  <w:t>Figure S1.</w:t>
      </w:r>
      <w:bookmarkEnd w:id="0"/>
      <w:r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  <w:lang w:bidi="en-US"/>
        </w:rPr>
        <w:t>Principal component analysis (PCA) of RNA-seq data on EDL and SOL. EDL muscle samples were within blue circle, and SOL muscle samples were within green circle.</w:t>
      </w:r>
    </w:p>
    <w:p>
      <w:pPr>
        <w:rPr>
          <w:rFonts w:hint="eastAsia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5MzJjNmI0YmM3ZDM1MWI1OTJiNmMzZTRkN2FiMGIifQ=="/>
  </w:docVars>
  <w:rsids>
    <w:rsidRoot w:val="005F6F1A"/>
    <w:rsid w:val="005F6F1A"/>
    <w:rsid w:val="00A412B2"/>
    <w:rsid w:val="0E0A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159</Characters>
  <Lines>1</Lines>
  <Paragraphs>1</Paragraphs>
  <TotalTime>0</TotalTime>
  <ScaleCrop>false</ScaleCrop>
  <LinksUpToDate>false</LinksUpToDate>
  <CharactersWithSpaces>189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2022-10-18T06:33:00Z</dcterms:created>
  <dc:creator>谭 宝华</dc:creator>
  <cp:lastModifiedBy>谭宝华</cp:lastModifiedBy>
  <dcterms:modified xsi:type="dcterms:W3CDTF">2022-10-18T07:22:42Z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E114B50193C845B98386C89506F4C18C</vt:lpwstr>
  </property>
</Properties>
</file>