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1FD44" w14:textId="15DDC803" w:rsidR="002554CB" w:rsidRPr="002554CB" w:rsidRDefault="002554CB">
      <w:pPr>
        <w:rPr>
          <w:rFonts w:ascii="Times New Roman" w:hAnsi="Times New Roman" w:cs="Times New Roman"/>
          <w:sz w:val="20"/>
          <w:szCs w:val="20"/>
        </w:rPr>
      </w:pPr>
      <w:r w:rsidRPr="002554CB">
        <w:rPr>
          <w:rFonts w:ascii="Times New Roman" w:hAnsi="Times New Roman" w:cs="Times New Roman"/>
          <w:noProof/>
          <w:sz w:val="20"/>
          <w:szCs w:val="20"/>
        </w:rPr>
        <w:drawing>
          <wp:inline distT="0" distB="0" distL="0" distR="0" wp14:anchorId="71BB9A92" wp14:editId="1E92C5CB">
            <wp:extent cx="5274310" cy="257746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2577465"/>
                    </a:xfrm>
                    <a:prstGeom prst="rect">
                      <a:avLst/>
                    </a:prstGeom>
                  </pic:spPr>
                </pic:pic>
              </a:graphicData>
            </a:graphic>
          </wp:inline>
        </w:drawing>
      </w:r>
    </w:p>
    <w:p w14:paraId="784ED84E" w14:textId="364E149D" w:rsidR="002554CB" w:rsidRDefault="002554CB" w:rsidP="002554CB">
      <w:pPr>
        <w:snapToGrid w:val="0"/>
        <w:spacing w:line="480" w:lineRule="auto"/>
        <w:rPr>
          <w:rFonts w:ascii="Times New Roman" w:hAnsi="Times New Roman" w:cs="Times New Roman"/>
          <w:sz w:val="20"/>
          <w:szCs w:val="20"/>
        </w:rPr>
      </w:pPr>
      <w:r w:rsidRPr="004771BE">
        <w:rPr>
          <w:rFonts w:ascii="Times New Roman" w:hAnsi="Times New Roman" w:cs="Times New Roman"/>
          <w:b/>
          <w:bCs/>
          <w:sz w:val="20"/>
          <w:szCs w:val="20"/>
        </w:rPr>
        <w:t>Figure S1.</w:t>
      </w:r>
      <w:r w:rsidRPr="002554CB">
        <w:rPr>
          <w:rFonts w:ascii="Times New Roman" w:hAnsi="Times New Roman" w:cs="Times New Roman"/>
          <w:sz w:val="20"/>
          <w:szCs w:val="20"/>
        </w:rPr>
        <w:t xml:space="preserve"> Web logos of the amino acid sequences alignment of B-box1, B-box2, and CCT were shown. The y-axis and x-axis indicated the conservation rate of each amino acid and the conserved sequences of the domain, respectively. The height of each letter indicates how conserved the residue is across all proteins.</w:t>
      </w:r>
      <w:r w:rsidR="00681679">
        <w:rPr>
          <w:rFonts w:ascii="Times New Roman" w:hAnsi="Times New Roman" w:cs="Times New Roman"/>
          <w:sz w:val="20"/>
          <w:szCs w:val="20"/>
        </w:rPr>
        <w:tab/>
      </w:r>
    </w:p>
    <w:p w14:paraId="6C798DCB" w14:textId="61F05BBF" w:rsidR="00AF6C77" w:rsidRDefault="00AF6C77" w:rsidP="00AF6C77">
      <w:pPr>
        <w:snapToGrid w:val="0"/>
        <w:spacing w:line="48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A31B543" wp14:editId="5BBC4D5A">
            <wp:extent cx="5274310" cy="4265930"/>
            <wp:effectExtent l="0" t="0" r="254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265930"/>
                    </a:xfrm>
                    <a:prstGeom prst="rect">
                      <a:avLst/>
                    </a:prstGeom>
                  </pic:spPr>
                </pic:pic>
              </a:graphicData>
            </a:graphic>
          </wp:inline>
        </w:drawing>
      </w:r>
    </w:p>
    <w:p w14:paraId="5EA19E17" w14:textId="77777777" w:rsidR="00AF6C77" w:rsidRDefault="00AF6C77" w:rsidP="00AF6C77">
      <w:pPr>
        <w:snapToGrid w:val="0"/>
        <w:spacing w:line="480" w:lineRule="auto"/>
        <w:jc w:val="left"/>
        <w:rPr>
          <w:rFonts w:ascii="Times New Roman" w:hAnsi="Times New Roman" w:cs="Times New Roman"/>
          <w:sz w:val="20"/>
          <w:szCs w:val="20"/>
        </w:rPr>
      </w:pPr>
      <w:r w:rsidRPr="004771BE">
        <w:rPr>
          <w:rFonts w:ascii="Times New Roman" w:hAnsi="Times New Roman" w:cs="Times New Roman"/>
          <w:b/>
          <w:bCs/>
          <w:sz w:val="20"/>
          <w:szCs w:val="20"/>
        </w:rPr>
        <w:t>Figure S</w:t>
      </w:r>
      <w:r>
        <w:rPr>
          <w:rFonts w:ascii="Times New Roman" w:hAnsi="Times New Roman" w:cs="Times New Roman"/>
          <w:b/>
          <w:bCs/>
          <w:sz w:val="20"/>
          <w:szCs w:val="20"/>
        </w:rPr>
        <w:t>2</w:t>
      </w:r>
      <w:r w:rsidRPr="004771BE">
        <w:rPr>
          <w:rFonts w:ascii="Times New Roman" w:hAnsi="Times New Roman" w:cs="Times New Roman"/>
          <w:b/>
          <w:bCs/>
          <w:sz w:val="20"/>
          <w:szCs w:val="20"/>
        </w:rPr>
        <w:t>.</w:t>
      </w:r>
      <w:r w:rsidRPr="002554CB">
        <w:rPr>
          <w:rFonts w:ascii="Times New Roman" w:hAnsi="Times New Roman" w:cs="Times New Roman"/>
          <w:sz w:val="20"/>
          <w:szCs w:val="20"/>
        </w:rPr>
        <w:t xml:space="preserve"> </w:t>
      </w:r>
      <w:r w:rsidRPr="00AF6C77">
        <w:rPr>
          <w:rFonts w:ascii="Times New Roman" w:hAnsi="Times New Roman" w:cs="Times New Roman"/>
          <w:sz w:val="20"/>
          <w:szCs w:val="20"/>
        </w:rPr>
        <w:t xml:space="preserve">The tertiary structure modeling of </w:t>
      </w:r>
      <w:proofErr w:type="spellStart"/>
      <w:r>
        <w:rPr>
          <w:rFonts w:ascii="Times New Roman" w:hAnsi="Times New Roman" w:cs="Times New Roman"/>
          <w:sz w:val="20"/>
          <w:szCs w:val="20"/>
        </w:rPr>
        <w:t>Ss</w:t>
      </w:r>
      <w:r w:rsidRPr="00AF6C77">
        <w:rPr>
          <w:rFonts w:ascii="Times New Roman" w:hAnsi="Times New Roman" w:cs="Times New Roman"/>
          <w:sz w:val="20"/>
          <w:szCs w:val="20"/>
        </w:rPr>
        <w:t>BBX</w:t>
      </w:r>
      <w:proofErr w:type="spellEnd"/>
      <w:r w:rsidRPr="00AF6C77">
        <w:rPr>
          <w:rFonts w:ascii="Times New Roman" w:hAnsi="Times New Roman" w:cs="Times New Roman"/>
          <w:sz w:val="20"/>
          <w:szCs w:val="20"/>
        </w:rPr>
        <w:t xml:space="preserve"> proteins. The structure image was generated using the SWISS-MODEL software</w:t>
      </w:r>
      <w:r>
        <w:rPr>
          <w:rFonts w:ascii="Times New Roman" w:hAnsi="Times New Roman" w:cs="Times New Roman"/>
          <w:sz w:val="20"/>
          <w:szCs w:val="20"/>
        </w:rPr>
        <w:t>.</w:t>
      </w:r>
      <w:r w:rsidRPr="00AF6C77">
        <w:rPr>
          <w:rFonts w:ascii="Times New Roman" w:hAnsi="Times New Roman" w:cs="Times New Roman"/>
          <w:sz w:val="20"/>
          <w:szCs w:val="20"/>
        </w:rPr>
        <w:t xml:space="preserve"> </w:t>
      </w:r>
    </w:p>
    <w:p w14:paraId="3B8458E9" w14:textId="40718900" w:rsidR="00681679" w:rsidRPr="00681679" w:rsidRDefault="002554CB" w:rsidP="00AF6C77">
      <w:pPr>
        <w:snapToGrid w:val="0"/>
        <w:spacing w:line="480" w:lineRule="auto"/>
        <w:rPr>
          <w:rFonts w:ascii="Times New Roman" w:hAnsi="Times New Roman" w:cs="Times New Roman"/>
          <w:sz w:val="20"/>
          <w:szCs w:val="20"/>
        </w:rPr>
      </w:pPr>
      <w:r w:rsidRPr="002554CB">
        <w:rPr>
          <w:rFonts w:ascii="Times New Roman" w:hAnsi="Times New Roman" w:cs="Times New Roman"/>
          <w:noProof/>
          <w:sz w:val="20"/>
          <w:szCs w:val="20"/>
        </w:rPr>
        <w:lastRenderedPageBreak/>
        <w:drawing>
          <wp:inline distT="0" distB="0" distL="0" distR="0" wp14:anchorId="3BAE1966" wp14:editId="3BBEC193">
            <wp:extent cx="5274310" cy="3420110"/>
            <wp:effectExtent l="0" t="0" r="254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420110"/>
                    </a:xfrm>
                    <a:prstGeom prst="rect">
                      <a:avLst/>
                    </a:prstGeom>
                  </pic:spPr>
                </pic:pic>
              </a:graphicData>
            </a:graphic>
          </wp:inline>
        </w:drawing>
      </w:r>
      <w:r w:rsidR="00681679" w:rsidRPr="00681679">
        <w:rPr>
          <w:rFonts w:ascii="Times New Roman" w:hAnsi="Times New Roman" w:cs="Times New Roman"/>
          <w:b/>
          <w:bCs/>
          <w:sz w:val="20"/>
          <w:szCs w:val="20"/>
        </w:rPr>
        <w:t>Figure S</w:t>
      </w:r>
      <w:r w:rsidR="00AF6C77">
        <w:rPr>
          <w:rFonts w:ascii="Times New Roman" w:hAnsi="Times New Roman" w:cs="Times New Roman"/>
          <w:b/>
          <w:bCs/>
          <w:sz w:val="20"/>
          <w:szCs w:val="20"/>
        </w:rPr>
        <w:t>3</w:t>
      </w:r>
      <w:r w:rsidR="00681679" w:rsidRPr="00681679">
        <w:rPr>
          <w:rFonts w:ascii="Times New Roman" w:hAnsi="Times New Roman" w:cs="Times New Roman"/>
          <w:b/>
          <w:bCs/>
          <w:sz w:val="20"/>
          <w:szCs w:val="20"/>
        </w:rPr>
        <w:t xml:space="preserve">. </w:t>
      </w:r>
      <w:r w:rsidR="00681679" w:rsidRPr="00681679">
        <w:rPr>
          <w:rFonts w:ascii="Times New Roman" w:hAnsi="Times New Roman" w:cs="Times New Roman"/>
          <w:sz w:val="20"/>
          <w:szCs w:val="20"/>
        </w:rPr>
        <w:t>Expression patterns of the sugarcane</w:t>
      </w:r>
      <w:r w:rsidR="00681679" w:rsidRPr="00681679">
        <w:rPr>
          <w:rFonts w:ascii="Times New Roman" w:hAnsi="Times New Roman" w:cs="Times New Roman"/>
          <w:i/>
          <w:iCs/>
          <w:sz w:val="20"/>
          <w:szCs w:val="20"/>
        </w:rPr>
        <w:t xml:space="preserve"> BBX</w:t>
      </w:r>
      <w:r w:rsidR="00681679" w:rsidRPr="00681679">
        <w:rPr>
          <w:rFonts w:ascii="Times New Roman" w:hAnsi="Times New Roman" w:cs="Times New Roman"/>
          <w:sz w:val="20"/>
          <w:szCs w:val="20"/>
        </w:rPr>
        <w:t xml:space="preserve"> genes from the sugarcane transcriptome data in five different conditions. (a) Expression patterns of the </w:t>
      </w:r>
      <w:r w:rsidR="00681679" w:rsidRPr="00681679">
        <w:rPr>
          <w:rFonts w:ascii="Times New Roman" w:hAnsi="Times New Roman" w:cs="Times New Roman"/>
          <w:i/>
          <w:iCs/>
          <w:sz w:val="20"/>
          <w:szCs w:val="20"/>
        </w:rPr>
        <w:t>BBX</w:t>
      </w:r>
      <w:r w:rsidR="00681679" w:rsidRPr="00681679">
        <w:rPr>
          <w:rFonts w:ascii="Times New Roman" w:hAnsi="Times New Roman" w:cs="Times New Roman"/>
          <w:sz w:val="20"/>
          <w:szCs w:val="20"/>
        </w:rPr>
        <w:t xml:space="preserve"> genes in the root</w:t>
      </w:r>
      <w:r w:rsidR="00E73AC0">
        <w:rPr>
          <w:rFonts w:ascii="Times New Roman" w:hAnsi="Times New Roman" w:cs="Times New Roman"/>
          <w:sz w:val="20"/>
          <w:szCs w:val="20"/>
        </w:rPr>
        <w:t>s</w:t>
      </w:r>
      <w:r w:rsidR="00681679" w:rsidRPr="00681679">
        <w:rPr>
          <w:rFonts w:ascii="Times New Roman" w:hAnsi="Times New Roman" w:cs="Times New Roman"/>
          <w:sz w:val="20"/>
          <w:szCs w:val="20"/>
        </w:rPr>
        <w:t xml:space="preserve"> of </w:t>
      </w:r>
      <w:r w:rsidR="00681679" w:rsidRPr="00681679">
        <w:rPr>
          <w:rFonts w:ascii="Times New Roman" w:hAnsi="Times New Roman" w:cs="Times New Roman"/>
          <w:bCs/>
          <w:i/>
          <w:sz w:val="20"/>
          <w:szCs w:val="20"/>
        </w:rPr>
        <w:t>Saccharum</w:t>
      </w:r>
      <w:r w:rsidR="00681679" w:rsidRPr="00681679">
        <w:rPr>
          <w:rFonts w:ascii="Times New Roman" w:hAnsi="Times New Roman" w:cs="Times New Roman"/>
          <w:sz w:val="20"/>
          <w:szCs w:val="20"/>
        </w:rPr>
        <w:t xml:space="preserve"> hybrid cultivar YT55 under low-potassium stress, and samples were collected at 0, 6, 12, 24, 48, and 72 h (PRJNA262715). (b) Expression patterns of the </w:t>
      </w:r>
      <w:r w:rsidR="00681679" w:rsidRPr="00681679">
        <w:rPr>
          <w:rFonts w:ascii="Times New Roman" w:hAnsi="Times New Roman" w:cs="Times New Roman"/>
          <w:i/>
          <w:iCs/>
          <w:sz w:val="20"/>
          <w:szCs w:val="20"/>
        </w:rPr>
        <w:t>BBX</w:t>
      </w:r>
      <w:r w:rsidR="00681679" w:rsidRPr="00681679">
        <w:rPr>
          <w:rFonts w:ascii="Times New Roman" w:hAnsi="Times New Roman" w:cs="Times New Roman"/>
          <w:sz w:val="20"/>
          <w:szCs w:val="20"/>
        </w:rPr>
        <w:t xml:space="preserve"> genes in the lea</w:t>
      </w:r>
      <w:r w:rsidR="00E73AC0">
        <w:rPr>
          <w:rFonts w:ascii="Times New Roman" w:hAnsi="Times New Roman" w:cs="Times New Roman"/>
          <w:sz w:val="20"/>
          <w:szCs w:val="20"/>
        </w:rPr>
        <w:t>ves</w:t>
      </w:r>
      <w:r w:rsidR="00681679" w:rsidRPr="00681679">
        <w:rPr>
          <w:rFonts w:ascii="Times New Roman" w:hAnsi="Times New Roman" w:cs="Times New Roman"/>
          <w:sz w:val="20"/>
          <w:szCs w:val="20"/>
        </w:rPr>
        <w:t xml:space="preserve"> of </w:t>
      </w:r>
      <w:r w:rsidR="00681679" w:rsidRPr="00681679">
        <w:rPr>
          <w:rFonts w:ascii="Times New Roman" w:hAnsi="Times New Roman" w:cs="Times New Roman"/>
          <w:bCs/>
          <w:i/>
          <w:sz w:val="20"/>
          <w:szCs w:val="20"/>
        </w:rPr>
        <w:t>Saccharum</w:t>
      </w:r>
      <w:r w:rsidR="00681679" w:rsidRPr="00681679">
        <w:rPr>
          <w:rFonts w:ascii="Times New Roman" w:hAnsi="Times New Roman" w:cs="Times New Roman"/>
          <w:sz w:val="20"/>
          <w:szCs w:val="20"/>
        </w:rPr>
        <w:t xml:space="preserve"> hybrid cultivar GX87-16 under cold stress, and samples were collected at 0, 0.5, 1, and 6 h (PRJNA636260). (c) Expression patterns of the </w:t>
      </w:r>
      <w:r w:rsidR="00681679" w:rsidRPr="00681679">
        <w:rPr>
          <w:rFonts w:ascii="Times New Roman" w:hAnsi="Times New Roman" w:cs="Times New Roman"/>
          <w:i/>
          <w:iCs/>
          <w:sz w:val="20"/>
          <w:szCs w:val="20"/>
        </w:rPr>
        <w:t>BBX</w:t>
      </w:r>
      <w:r w:rsidR="00681679" w:rsidRPr="00681679">
        <w:rPr>
          <w:rFonts w:ascii="Times New Roman" w:hAnsi="Times New Roman" w:cs="Times New Roman"/>
          <w:sz w:val="20"/>
          <w:szCs w:val="20"/>
        </w:rPr>
        <w:t xml:space="preserve"> genes in </w:t>
      </w:r>
      <w:r w:rsidR="00681679" w:rsidRPr="00681679">
        <w:rPr>
          <w:rFonts w:ascii="Times New Roman" w:hAnsi="Times New Roman" w:cs="Times New Roman" w:hint="eastAsia"/>
          <w:sz w:val="20"/>
          <w:szCs w:val="20"/>
        </w:rPr>
        <w:t>the</w:t>
      </w:r>
      <w:r w:rsidR="00681679" w:rsidRPr="00681679">
        <w:rPr>
          <w:rFonts w:ascii="Times New Roman" w:hAnsi="Times New Roman" w:cs="Times New Roman"/>
          <w:sz w:val="20"/>
          <w:szCs w:val="20"/>
        </w:rPr>
        <w:t xml:space="preserve"> </w:t>
      </w:r>
      <w:r w:rsidR="00681679" w:rsidRPr="00681679">
        <w:rPr>
          <w:rFonts w:ascii="Times New Roman" w:hAnsi="Times New Roman" w:cs="Times New Roman" w:hint="eastAsia"/>
          <w:sz w:val="20"/>
          <w:szCs w:val="20"/>
        </w:rPr>
        <w:t>lea</w:t>
      </w:r>
      <w:r w:rsidR="00E73AC0">
        <w:rPr>
          <w:rFonts w:ascii="Times New Roman" w:hAnsi="Times New Roman" w:cs="Times New Roman"/>
          <w:sz w:val="20"/>
          <w:szCs w:val="20"/>
        </w:rPr>
        <w:t>ves</w:t>
      </w:r>
      <w:r w:rsidR="00681679" w:rsidRPr="00681679">
        <w:rPr>
          <w:rFonts w:ascii="Times New Roman" w:hAnsi="Times New Roman" w:cs="Times New Roman"/>
          <w:sz w:val="20"/>
          <w:szCs w:val="20"/>
        </w:rPr>
        <w:t xml:space="preserve"> of </w:t>
      </w:r>
      <w:r w:rsidR="00681679" w:rsidRPr="00681679">
        <w:rPr>
          <w:rFonts w:ascii="Times New Roman" w:hAnsi="Times New Roman" w:cs="Times New Roman"/>
          <w:bCs/>
          <w:i/>
          <w:sz w:val="20"/>
          <w:szCs w:val="20"/>
        </w:rPr>
        <w:t>Saccharum</w:t>
      </w:r>
      <w:r w:rsidR="00681679" w:rsidRPr="00681679">
        <w:rPr>
          <w:rFonts w:ascii="Times New Roman" w:hAnsi="Times New Roman" w:cs="Times New Roman"/>
          <w:sz w:val="20"/>
          <w:szCs w:val="20"/>
        </w:rPr>
        <w:t xml:space="preserve"> hybrid cultivar Co_06022 (susceptible cultivar) and Co_8021 (resistant cultivar) after 0, 2, 6, and 10 d drought stress and recovery treatment (PRJNA590595). (d) Expression patterns of the </w:t>
      </w:r>
      <w:r w:rsidR="00681679" w:rsidRPr="00681679">
        <w:rPr>
          <w:rFonts w:ascii="Times New Roman" w:hAnsi="Times New Roman" w:cs="Times New Roman"/>
          <w:i/>
          <w:iCs/>
          <w:sz w:val="20"/>
          <w:szCs w:val="20"/>
        </w:rPr>
        <w:t>BBX</w:t>
      </w:r>
      <w:r w:rsidR="00681679" w:rsidRPr="00681679">
        <w:rPr>
          <w:rFonts w:ascii="Times New Roman" w:hAnsi="Times New Roman" w:cs="Times New Roman"/>
          <w:sz w:val="20"/>
          <w:szCs w:val="20"/>
        </w:rPr>
        <w:t xml:space="preserve"> genes in the bud</w:t>
      </w:r>
      <w:r w:rsidR="00E73AC0">
        <w:rPr>
          <w:rFonts w:ascii="Times New Roman" w:hAnsi="Times New Roman" w:cs="Times New Roman"/>
          <w:sz w:val="20"/>
          <w:szCs w:val="20"/>
        </w:rPr>
        <w:t>s</w:t>
      </w:r>
      <w:r w:rsidR="00681679" w:rsidRPr="00681679">
        <w:rPr>
          <w:rFonts w:ascii="Times New Roman" w:hAnsi="Times New Roman" w:cs="Times New Roman"/>
          <w:sz w:val="20"/>
          <w:szCs w:val="20"/>
        </w:rPr>
        <w:t xml:space="preserve"> of </w:t>
      </w:r>
      <w:r w:rsidR="00681679" w:rsidRPr="00681679">
        <w:rPr>
          <w:rFonts w:ascii="Times New Roman" w:hAnsi="Times New Roman" w:cs="Times New Roman"/>
          <w:bCs/>
          <w:i/>
          <w:sz w:val="20"/>
          <w:szCs w:val="20"/>
        </w:rPr>
        <w:t>Saccharum</w:t>
      </w:r>
      <w:r w:rsidR="00681679" w:rsidRPr="00681679">
        <w:rPr>
          <w:rFonts w:ascii="Times New Roman" w:hAnsi="Times New Roman" w:cs="Times New Roman"/>
          <w:sz w:val="20"/>
          <w:szCs w:val="20"/>
        </w:rPr>
        <w:t xml:space="preserve"> hybrid cultivar ROC22 (susceptible cultivar) and YC05-179 (resistant cultivar) after smut pathogen infection at 0, 1, 2, and 5 d (PRJCA011580). (e) Expression patterns of the </w:t>
      </w:r>
      <w:r w:rsidR="00681679" w:rsidRPr="00681679">
        <w:rPr>
          <w:rFonts w:ascii="Times New Roman" w:hAnsi="Times New Roman" w:cs="Times New Roman"/>
          <w:i/>
          <w:iCs/>
          <w:sz w:val="20"/>
          <w:szCs w:val="20"/>
        </w:rPr>
        <w:t>BBX</w:t>
      </w:r>
      <w:r w:rsidR="00681679" w:rsidRPr="00681679">
        <w:rPr>
          <w:rFonts w:ascii="Times New Roman" w:hAnsi="Times New Roman" w:cs="Times New Roman"/>
          <w:sz w:val="20"/>
          <w:szCs w:val="20"/>
        </w:rPr>
        <w:t xml:space="preserve"> genes in the bud</w:t>
      </w:r>
      <w:r w:rsidR="00E73AC0">
        <w:rPr>
          <w:rFonts w:ascii="Times New Roman" w:hAnsi="Times New Roman" w:cs="Times New Roman"/>
          <w:sz w:val="20"/>
          <w:szCs w:val="20"/>
        </w:rPr>
        <w:t>s</w:t>
      </w:r>
      <w:r w:rsidR="00681679" w:rsidRPr="00681679">
        <w:rPr>
          <w:rFonts w:ascii="Times New Roman" w:hAnsi="Times New Roman" w:cs="Times New Roman"/>
          <w:sz w:val="20"/>
          <w:szCs w:val="20"/>
        </w:rPr>
        <w:t xml:space="preserve"> of </w:t>
      </w:r>
      <w:r w:rsidR="00681679" w:rsidRPr="00681679">
        <w:rPr>
          <w:rFonts w:ascii="Times New Roman" w:hAnsi="Times New Roman" w:cs="Times New Roman"/>
          <w:bCs/>
          <w:i/>
          <w:sz w:val="20"/>
          <w:szCs w:val="20"/>
        </w:rPr>
        <w:t>Saccharum</w:t>
      </w:r>
      <w:r w:rsidR="00681679" w:rsidRPr="00681679">
        <w:rPr>
          <w:rFonts w:ascii="Times New Roman" w:hAnsi="Times New Roman" w:cs="Times New Roman"/>
          <w:sz w:val="20"/>
          <w:szCs w:val="20"/>
        </w:rPr>
        <w:t xml:space="preserve"> hybrid cultivar ROC22 (susceptible cultivar) and GT42 (resistant cultivar) after ABA treatment at 0, 1, and 6 h (PRJNA555450). The heat map was plotted with the </w:t>
      </w:r>
      <w:proofErr w:type="spellStart"/>
      <w:r w:rsidR="00681679" w:rsidRPr="00681679">
        <w:rPr>
          <w:rFonts w:ascii="Times New Roman" w:hAnsi="Times New Roman" w:cs="Times New Roman"/>
          <w:sz w:val="20"/>
          <w:szCs w:val="20"/>
        </w:rPr>
        <w:t>TBTools</w:t>
      </w:r>
      <w:proofErr w:type="spellEnd"/>
      <w:r w:rsidR="00681679" w:rsidRPr="00681679">
        <w:rPr>
          <w:rFonts w:ascii="Times New Roman" w:hAnsi="Times New Roman" w:cs="Times New Roman"/>
          <w:sz w:val="20"/>
          <w:szCs w:val="20"/>
        </w:rPr>
        <w:t xml:space="preserve"> software (v1.098), with the transcript level of the </w:t>
      </w:r>
      <w:r w:rsidR="00681679" w:rsidRPr="00681679">
        <w:rPr>
          <w:rFonts w:ascii="Times New Roman" w:hAnsi="Times New Roman" w:cs="Times New Roman"/>
          <w:i/>
          <w:iCs/>
          <w:sz w:val="20"/>
          <w:szCs w:val="20"/>
        </w:rPr>
        <w:t>BBX</w:t>
      </w:r>
      <w:r w:rsidR="00681679" w:rsidRPr="00681679">
        <w:rPr>
          <w:rFonts w:ascii="Times New Roman" w:hAnsi="Times New Roman" w:cs="Times New Roman"/>
          <w:sz w:val="20"/>
          <w:szCs w:val="20"/>
        </w:rPr>
        <w:t xml:space="preserve"> genes transformed as log</w:t>
      </w:r>
      <w:r w:rsidR="00681679" w:rsidRPr="00D57955">
        <w:rPr>
          <w:rFonts w:ascii="Times New Roman" w:hAnsi="Times New Roman" w:cs="Times New Roman"/>
          <w:sz w:val="20"/>
          <w:szCs w:val="20"/>
          <w:vertAlign w:val="subscript"/>
        </w:rPr>
        <w:t>2</w:t>
      </w:r>
      <w:r w:rsidR="00681679" w:rsidRPr="00681679">
        <w:rPr>
          <w:rFonts w:ascii="Times New Roman" w:hAnsi="Times New Roman" w:cs="Times New Roman"/>
          <w:sz w:val="20"/>
          <w:szCs w:val="20"/>
        </w:rPr>
        <w:t xml:space="preserve"> FPKM (fragments per kilobase million), ranging from blue (low expression level) to red (high expression level). </w:t>
      </w:r>
    </w:p>
    <w:sectPr w:rsidR="00681679" w:rsidRPr="006816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359D6" w14:textId="77777777" w:rsidR="000B48D9" w:rsidRDefault="000B48D9" w:rsidP="002554CB">
      <w:r>
        <w:separator/>
      </w:r>
    </w:p>
  </w:endnote>
  <w:endnote w:type="continuationSeparator" w:id="0">
    <w:p w14:paraId="51E29344" w14:textId="77777777" w:rsidR="000B48D9" w:rsidRDefault="000B48D9" w:rsidP="00255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AA42E" w14:textId="77777777" w:rsidR="000B48D9" w:rsidRDefault="000B48D9" w:rsidP="002554CB">
      <w:r>
        <w:separator/>
      </w:r>
    </w:p>
  </w:footnote>
  <w:footnote w:type="continuationSeparator" w:id="0">
    <w:p w14:paraId="41544F35" w14:textId="77777777" w:rsidR="000B48D9" w:rsidRDefault="000B48D9" w:rsidP="002554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06E"/>
    <w:rsid w:val="000004E0"/>
    <w:rsid w:val="000B48D9"/>
    <w:rsid w:val="001C54F4"/>
    <w:rsid w:val="001D3519"/>
    <w:rsid w:val="002554CB"/>
    <w:rsid w:val="003C6CBA"/>
    <w:rsid w:val="004771BE"/>
    <w:rsid w:val="005A0146"/>
    <w:rsid w:val="006327E7"/>
    <w:rsid w:val="00681679"/>
    <w:rsid w:val="008C3580"/>
    <w:rsid w:val="009E707C"/>
    <w:rsid w:val="00AF6C77"/>
    <w:rsid w:val="00BA5418"/>
    <w:rsid w:val="00C7206E"/>
    <w:rsid w:val="00D57955"/>
    <w:rsid w:val="00E73AC0"/>
    <w:rsid w:val="00EB33CD"/>
    <w:rsid w:val="00F37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4E884"/>
  <w15:chartTrackingRefBased/>
  <w15:docId w15:val="{AB58AF70-655A-4ABE-A015-A44ACC02A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autoRedefine/>
    <w:uiPriority w:val="9"/>
    <w:qFormat/>
    <w:rsid w:val="008C3580"/>
    <w:pPr>
      <w:pBdr>
        <w:bottom w:val="thinThickSmallGap" w:sz="12" w:space="1" w:color="C45911" w:themeColor="accent2" w:themeShade="BF"/>
      </w:pBdr>
      <w:spacing w:before="400"/>
      <w:jc w:val="center"/>
      <w:outlineLvl w:val="0"/>
    </w:pPr>
    <w:rPr>
      <w:caps/>
      <w:color w:val="000000" w:themeColor="text1"/>
      <w:spacing w:val="20"/>
      <w:sz w:val="28"/>
      <w:szCs w:val="28"/>
    </w:rPr>
  </w:style>
  <w:style w:type="paragraph" w:styleId="2">
    <w:name w:val="heading 2"/>
    <w:basedOn w:val="a"/>
    <w:next w:val="a"/>
    <w:link w:val="20"/>
    <w:autoRedefine/>
    <w:uiPriority w:val="9"/>
    <w:unhideWhenUsed/>
    <w:qFormat/>
    <w:rsid w:val="008C3580"/>
    <w:pPr>
      <w:jc w:val="left"/>
      <w:outlineLvl w:val="1"/>
    </w:pPr>
    <w:rPr>
      <w:caps/>
      <w:szCs w:val="24"/>
    </w:rPr>
  </w:style>
  <w:style w:type="paragraph" w:styleId="3">
    <w:name w:val="heading 3"/>
    <w:basedOn w:val="a"/>
    <w:next w:val="a"/>
    <w:link w:val="30"/>
    <w:autoRedefine/>
    <w:uiPriority w:val="9"/>
    <w:unhideWhenUsed/>
    <w:qFormat/>
    <w:rsid w:val="008C3580"/>
    <w:pPr>
      <w:spacing w:before="300"/>
      <w:jc w:val="center"/>
      <w:outlineLvl w:val="2"/>
    </w:pPr>
    <w:rPr>
      <w:caps/>
      <w:color w:val="000000" w:themeColor="tex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qFormat/>
    <w:rsid w:val="008C3580"/>
    <w:rPr>
      <w:caps/>
      <w:szCs w:val="24"/>
    </w:rPr>
  </w:style>
  <w:style w:type="character" w:customStyle="1" w:styleId="30">
    <w:name w:val="标题 3 字符"/>
    <w:basedOn w:val="a0"/>
    <w:link w:val="3"/>
    <w:uiPriority w:val="9"/>
    <w:qFormat/>
    <w:rsid w:val="008C3580"/>
    <w:rPr>
      <w:caps/>
      <w:color w:val="000000" w:themeColor="text1"/>
      <w:sz w:val="24"/>
      <w:szCs w:val="24"/>
    </w:rPr>
  </w:style>
  <w:style w:type="character" w:customStyle="1" w:styleId="10">
    <w:name w:val="标题 1 字符"/>
    <w:basedOn w:val="a0"/>
    <w:link w:val="1"/>
    <w:uiPriority w:val="9"/>
    <w:qFormat/>
    <w:rsid w:val="008C3580"/>
    <w:rPr>
      <w:caps/>
      <w:color w:val="000000" w:themeColor="text1"/>
      <w:spacing w:val="20"/>
      <w:sz w:val="28"/>
      <w:szCs w:val="28"/>
    </w:rPr>
  </w:style>
  <w:style w:type="paragraph" w:styleId="a3">
    <w:name w:val="header"/>
    <w:basedOn w:val="a"/>
    <w:link w:val="a4"/>
    <w:uiPriority w:val="99"/>
    <w:unhideWhenUsed/>
    <w:rsid w:val="002554C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554CB"/>
    <w:rPr>
      <w:sz w:val="18"/>
      <w:szCs w:val="18"/>
    </w:rPr>
  </w:style>
  <w:style w:type="paragraph" w:styleId="a5">
    <w:name w:val="footer"/>
    <w:basedOn w:val="a"/>
    <w:link w:val="a6"/>
    <w:uiPriority w:val="99"/>
    <w:unhideWhenUsed/>
    <w:rsid w:val="002554CB"/>
    <w:pPr>
      <w:tabs>
        <w:tab w:val="center" w:pos="4153"/>
        <w:tab w:val="right" w:pos="8306"/>
      </w:tabs>
      <w:snapToGrid w:val="0"/>
      <w:jc w:val="left"/>
    </w:pPr>
    <w:rPr>
      <w:sz w:val="18"/>
      <w:szCs w:val="18"/>
    </w:rPr>
  </w:style>
  <w:style w:type="character" w:customStyle="1" w:styleId="a6">
    <w:name w:val="页脚 字符"/>
    <w:basedOn w:val="a0"/>
    <w:link w:val="a5"/>
    <w:uiPriority w:val="99"/>
    <w:rsid w:val="002554C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wuzilin</dc:creator>
  <cp:keywords/>
  <dc:description/>
  <cp:lastModifiedBy>wuzilin</cp:lastModifiedBy>
  <cp:revision>7</cp:revision>
  <dcterms:created xsi:type="dcterms:W3CDTF">2022-12-26T08:12:00Z</dcterms:created>
  <dcterms:modified xsi:type="dcterms:W3CDTF">2022-12-29T08:37:00Z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9030303237000bcbca0f8181b8ca51d6f681bdd90d8b629063b97439a170c295</vt:lpwstr>
  </property>
</Properties>
</file>