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cs="Times New Roman"/>
          <w:sz w:val="21"/>
          <w:szCs w:val="21"/>
        </w:rPr>
      </w:pPr>
      <w:r>
        <w:drawing>
          <wp:inline distT="0" distB="0" distL="0" distR="0">
            <wp:extent cx="5274310" cy="316484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color w:val="auto"/>
        </w:rPr>
      </w:pPr>
      <w:r>
        <w:rPr>
          <w:rFonts w:cs="Times New Roman"/>
          <w:color w:val="auto"/>
          <w:sz w:val="21"/>
          <w:szCs w:val="21"/>
        </w:rPr>
        <w:t>Figure S1 The</w:t>
      </w:r>
      <w:r>
        <w:rPr>
          <w:color w:val="auto"/>
        </w:rPr>
        <w:t xml:space="preserve"> distribution of read lengths.</w:t>
      </w:r>
    </w:p>
    <w:p>
      <w:pPr>
        <w:spacing w:line="240" w:lineRule="auto"/>
        <w:rPr>
          <w:rFonts w:cs="Times New Roman"/>
          <w:sz w:val="21"/>
          <w:szCs w:val="21"/>
        </w:rPr>
      </w:pPr>
      <w:bookmarkStart w:id="0" w:name="_GoBack"/>
      <w:r>
        <w:rPr>
          <w:rFonts w:cs="Times New Roman"/>
          <w:sz w:val="21"/>
          <w:szCs w:val="21"/>
        </w:rPr>
        <w:drawing>
          <wp:inline distT="0" distB="0" distL="0" distR="0">
            <wp:extent cx="3950335" cy="4246245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4859" cy="425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Figure S2 (a) Manhattan plot of selective sweeps in Simental cattle. (b &amp;c ) Selective sweep detected by Tajima’s D and Pi test.</w:t>
      </w:r>
    </w:p>
    <w:p>
      <w:pPr>
        <w:rPr>
          <w:rFonts w:cs="Times New Roman"/>
          <w:sz w:val="21"/>
          <w:szCs w:val="21"/>
        </w:rPr>
      </w:pPr>
    </w:p>
    <w:p>
      <w:pPr>
        <w:spacing w:line="240" w:lineRule="auto"/>
        <w:rPr>
          <w:rFonts w:cs="Times New Roman"/>
          <w:sz w:val="21"/>
          <w:szCs w:val="21"/>
        </w:rPr>
      </w:pPr>
      <w:r>
        <w:rPr>
          <w:rFonts w:hint="eastAsia" w:cs="Times New Roman"/>
          <w:sz w:val="21"/>
          <w:szCs w:val="21"/>
        </w:rPr>
        <w:drawing>
          <wp:inline distT="0" distB="0" distL="114300" distR="114300">
            <wp:extent cx="5274310" cy="5032375"/>
            <wp:effectExtent l="0" t="0" r="2540" b="15875"/>
            <wp:docPr id="1" name="图片 1" descr="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胶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3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cs="Times New Roman"/>
          <w:szCs w:val="24"/>
        </w:rPr>
      </w:pPr>
      <w:r>
        <w:rPr>
          <w:rFonts w:hint="eastAsia"/>
        </w:rPr>
        <w:t>Figure S</w:t>
      </w:r>
      <w:r>
        <w:t>3</w:t>
      </w:r>
      <w:r>
        <w:rPr>
          <w:rFonts w:hint="eastAsia"/>
        </w:rPr>
        <w:t xml:space="preserve"> </w:t>
      </w:r>
      <w:r>
        <w:t xml:space="preserve">Gel electrophoresis of PCR products of the </w:t>
      </w:r>
      <w:r>
        <w:rPr>
          <w:bCs/>
          <w:i/>
          <w:color w:val="000000"/>
        </w:rPr>
        <w:t>SPAG16.</w:t>
      </w:r>
      <w:r>
        <w:rPr>
          <w:rFonts w:cs="Times New Roman"/>
          <w:szCs w:val="24"/>
        </w:rPr>
        <w:t xml:space="preserve"> Marker, D2000 DNA ladder</w:t>
      </w:r>
      <w:r>
        <w:rPr>
          <w:rFonts w:hint="eastAsia" w:cs="Times New Roman"/>
          <w:szCs w:val="24"/>
        </w:rPr>
        <w:t xml:space="preserve">, the </w:t>
      </w:r>
      <w:r>
        <w:rPr>
          <w:rFonts w:cs="Times New Roman"/>
          <w:szCs w:val="24"/>
        </w:rPr>
        <w:t>“</w:t>
      </w:r>
      <w:r>
        <w:rPr>
          <w:rFonts w:hint="eastAsia" w:cs="Times New Roman"/>
          <w:szCs w:val="24"/>
        </w:rPr>
        <w:t>M</w:t>
      </w:r>
      <w:r>
        <w:rPr>
          <w:rFonts w:cs="Times New Roman"/>
          <w:szCs w:val="24"/>
        </w:rPr>
        <w:t>”</w:t>
      </w:r>
      <w:r>
        <w:rPr>
          <w:rFonts w:hint="eastAsia" w:cs="Times New Roman"/>
          <w:szCs w:val="24"/>
        </w:rPr>
        <w:t xml:space="preserve"> </w:t>
      </w:r>
      <w:r>
        <w:rPr>
          <w:rFonts w:cs="Times New Roman"/>
          <w:szCs w:val="24"/>
        </w:rPr>
        <w:t>represents the</w:t>
      </w:r>
      <w:r>
        <w:rPr>
          <w:rFonts w:hint="eastAsia" w:cs="Times New Roman"/>
          <w:szCs w:val="24"/>
        </w:rPr>
        <w:t xml:space="preserve"> marker</w:t>
      </w:r>
      <w:r>
        <w:rPr>
          <w:rFonts w:cs="Times New Roman"/>
          <w:szCs w:val="24"/>
        </w:rPr>
        <w:t>; the “</w:t>
      </w:r>
      <w:r>
        <w:rPr>
          <w:rFonts w:hint="eastAsia" w:cs="Times New Roman"/>
          <w:szCs w:val="24"/>
        </w:rPr>
        <w:t>C</w:t>
      </w:r>
      <w:r>
        <w:rPr>
          <w:rFonts w:cs="Times New Roman"/>
          <w:szCs w:val="24"/>
        </w:rPr>
        <w:t>” represents the blank control (distilled water)</w:t>
      </w:r>
      <w:r>
        <w:rPr>
          <w:rFonts w:hint="eastAsia" w:cs="Times New Roman"/>
          <w:szCs w:val="24"/>
        </w:rPr>
        <w:t xml:space="preserve">; 1-16 </w:t>
      </w:r>
      <w:r>
        <w:rPr>
          <w:rFonts w:cs="Times New Roman"/>
          <w:szCs w:val="24"/>
        </w:rPr>
        <w:t>represents the</w:t>
      </w:r>
      <w:r>
        <w:rPr>
          <w:rFonts w:hint="eastAsia" w:cs="Times New Roman"/>
          <w:szCs w:val="24"/>
        </w:rPr>
        <w:t xml:space="preserve"> individuals from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PSM group, 17-30 represent individuals from HSM group</w:t>
      </w:r>
      <w:r>
        <w:rPr>
          <w:rFonts w:cs="Times New Roman"/>
          <w:szCs w:val="24"/>
        </w:rPr>
        <w:t>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ZWE0NWU3NjEyNmFkZTQwNjE3MjQ5ZjNjYzk0MzYifQ=="/>
  </w:docVars>
  <w:rsids>
    <w:rsidRoot w:val="00111A59"/>
    <w:rsid w:val="000454A1"/>
    <w:rsid w:val="00111A59"/>
    <w:rsid w:val="00365DCA"/>
    <w:rsid w:val="00AF67DA"/>
    <w:rsid w:val="00BE48CE"/>
    <w:rsid w:val="00E73060"/>
    <w:rsid w:val="1DD472FE"/>
    <w:rsid w:val="6291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rFonts w:ascii="Times New Roman" w:hAnsi="Times New Roman" w:eastAsia="宋体"/>
      <w:sz w:val="18"/>
      <w:szCs w:val="18"/>
    </w:rPr>
  </w:style>
  <w:style w:type="paragraph" w:customStyle="1" w:styleId="8">
    <w:name w:val="MDPI_5.1_figure_caption"/>
    <w:basedOn w:val="9"/>
    <w:qFormat/>
    <w:uiPriority w:val="0"/>
    <w:pPr>
      <w:spacing w:after="240" w:line="260" w:lineRule="atLeast"/>
      <w:ind w:left="425" w:right="425"/>
    </w:pPr>
    <w:rPr>
      <w:snapToGrid/>
    </w:rPr>
  </w:style>
  <w:style w:type="paragraph" w:customStyle="1" w:styleId="9">
    <w:name w:val="MDPI_6.2_Acknowledgments"/>
    <w:qFormat/>
    <w:uiPriority w:val="0"/>
    <w:pPr>
      <w:adjustRightInd w:val="0"/>
      <w:snapToGrid w:val="0"/>
      <w:spacing w:before="120" w:line="200" w:lineRule="atLeast"/>
      <w:jc w:val="both"/>
    </w:pPr>
    <w:rPr>
      <w:rFonts w:ascii="Palatino Linotype" w:hAnsi="Palatino Linotype" w:eastAsia="Times New Roman" w:cs="Times New Roman"/>
      <w:snapToGrid w:val="0"/>
      <w:color w:val="000000"/>
      <w:sz w:val="18"/>
      <w:lang w:val="en-US" w:eastAsia="de-DE" w:bidi="en-US"/>
    </w:rPr>
  </w:style>
  <w:style w:type="character" w:customStyle="1" w:styleId="10">
    <w:name w:val="页眉 字符"/>
    <w:basedOn w:val="6"/>
    <w:link w:val="4"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11">
    <w:name w:val="页脚 字符"/>
    <w:basedOn w:val="6"/>
    <w:link w:val="3"/>
    <w:uiPriority w:val="99"/>
    <w:rPr>
      <w:rFonts w:ascii="Times New Roman" w:hAnsi="Times New Roman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</Words>
  <Characters>369</Characters>
  <Lines>3</Lines>
  <Paragraphs>1</Paragraphs>
  <TotalTime>3</TotalTime>
  <ScaleCrop>false</ScaleCrop>
  <LinksUpToDate>false</LinksUpToDate>
  <CharactersWithSpaces>436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2022-06-20T01:41:00Z</dcterms:created>
  <dc:creator>user</dc:creator>
  <cp:lastModifiedBy>Sun</cp:lastModifiedBy>
  <dcterms:modified xsi:type="dcterms:W3CDTF">2023-02-26T02:18:02Z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5DC027E467A943FE8149C9B43F78F4E0</vt:lpwstr>
  </property>
</Properties>
</file>