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2E714" w14:textId="18D52280" w:rsidR="00647071" w:rsidRDefault="00647071" w:rsidP="00647071">
      <w:pPr>
        <w:spacing w:line="360" w:lineRule="auto"/>
        <w:rPr>
          <w:b/>
          <w:bCs/>
          <w:sz w:val="20"/>
          <w:szCs w:val="20"/>
        </w:rPr>
      </w:pPr>
      <w:r w:rsidRPr="00647071">
        <w:rPr>
          <w:b/>
          <w:bCs/>
          <w:sz w:val="20"/>
          <w:szCs w:val="20"/>
        </w:rPr>
        <w:t xml:space="preserve">Legends of supplementary Figures. </w:t>
      </w:r>
    </w:p>
    <w:p w14:paraId="3D586F0F" w14:textId="22F0EAEB" w:rsidR="00647071" w:rsidRDefault="00647071" w:rsidP="00647071">
      <w:pPr>
        <w:spacing w:line="360" w:lineRule="auto"/>
        <w:rPr>
          <w:rStyle w:val="cf01"/>
          <w:rFonts w:ascii="Times New Roman" w:hAnsi="Times New Roman" w:cs="Times New Roman"/>
        </w:rPr>
      </w:pPr>
      <w:r w:rsidRPr="002F64F6">
        <w:rPr>
          <w:b/>
          <w:bCs/>
          <w:sz w:val="20"/>
          <w:szCs w:val="20"/>
        </w:rPr>
        <w:t>Fig. S</w:t>
      </w:r>
      <w:r w:rsidR="00782CEE">
        <w:rPr>
          <w:b/>
          <w:bCs/>
          <w:sz w:val="20"/>
          <w:szCs w:val="20"/>
        </w:rPr>
        <w:t>1</w:t>
      </w:r>
      <w:r w:rsidRPr="003E7C8C">
        <w:rPr>
          <w:sz w:val="20"/>
          <w:szCs w:val="20"/>
        </w:rPr>
        <w:t xml:space="preserve"> </w:t>
      </w:r>
      <w:r w:rsidR="000B74A6" w:rsidRPr="003E7C8C">
        <w:rPr>
          <w:sz w:val="20"/>
          <w:szCs w:val="20"/>
        </w:rPr>
        <w:t>LD decay (</w:t>
      </w:r>
      <w:r w:rsidR="000B74A6" w:rsidRPr="003E7C8C">
        <w:rPr>
          <w:rStyle w:val="cf01"/>
          <w:rFonts w:ascii="Times New Roman" w:hAnsi="Times New Roman" w:cs="Times New Roman"/>
          <w:i/>
          <w:iCs/>
        </w:rPr>
        <w:t>r</w:t>
      </w:r>
      <w:r w:rsidR="000B74A6" w:rsidRPr="003E7C8C">
        <w:rPr>
          <w:rStyle w:val="cf01"/>
          <w:rFonts w:ascii="Times New Roman" w:hAnsi="Times New Roman" w:cs="Times New Roman"/>
          <w:vertAlign w:val="superscript"/>
        </w:rPr>
        <w:t>2</w:t>
      </w:r>
      <w:r w:rsidR="000B74A6" w:rsidRPr="003E7C8C">
        <w:rPr>
          <w:sz w:val="20"/>
          <w:szCs w:val="20"/>
        </w:rPr>
        <w:t xml:space="preserve">) in a full-sib progeny population (F1-generation, </w:t>
      </w:r>
      <w:r w:rsidR="000B74A6" w:rsidRPr="00FF1086">
        <w:rPr>
          <w:i/>
          <w:iCs/>
          <w:sz w:val="20"/>
          <w:szCs w:val="20"/>
        </w:rPr>
        <w:t>n</w:t>
      </w:r>
      <w:r w:rsidR="000B74A6" w:rsidRPr="003E7C8C">
        <w:rPr>
          <w:sz w:val="20"/>
          <w:szCs w:val="20"/>
        </w:rPr>
        <w:t>=904</w:t>
      </w:r>
      <w:r w:rsidR="000B74A6">
        <w:rPr>
          <w:sz w:val="20"/>
          <w:szCs w:val="20"/>
        </w:rPr>
        <w:t>,</w:t>
      </w:r>
      <w:r w:rsidR="000B74A6" w:rsidRPr="003E7C8C">
        <w:rPr>
          <w:sz w:val="20"/>
          <w:szCs w:val="20"/>
        </w:rPr>
        <w:t xml:space="preserve"> 49 parents </w:t>
      </w:r>
      <w:r w:rsidR="000B74A6">
        <w:rPr>
          <w:sz w:val="20"/>
          <w:szCs w:val="20"/>
        </w:rPr>
        <w:t>in</w:t>
      </w:r>
      <w:r w:rsidR="000B74A6" w:rsidRPr="003E7C8C">
        <w:rPr>
          <w:sz w:val="20"/>
          <w:szCs w:val="20"/>
        </w:rPr>
        <w:t xml:space="preserve"> the original pedigree) based on </w:t>
      </w:r>
      <w:r w:rsidR="000B74A6">
        <w:rPr>
          <w:sz w:val="20"/>
          <w:szCs w:val="20"/>
        </w:rPr>
        <w:t xml:space="preserve">the </w:t>
      </w:r>
      <w:r w:rsidR="000B74A6" w:rsidRPr="003E7C8C">
        <w:rPr>
          <w:sz w:val="20"/>
          <w:szCs w:val="20"/>
        </w:rPr>
        <w:t>Norway spruce 50k SNP array. The Vertical dashed line represents LD decay distance when</w:t>
      </w:r>
      <w:r w:rsidR="000B74A6" w:rsidRPr="005776DD">
        <w:rPr>
          <w:sz w:val="20"/>
          <w:szCs w:val="20"/>
        </w:rPr>
        <w:t xml:space="preserve"> </w:t>
      </w:r>
      <w:r w:rsidR="000B74A6" w:rsidRPr="005776DD">
        <w:rPr>
          <w:i/>
          <w:iCs/>
          <w:sz w:val="20"/>
          <w:szCs w:val="20"/>
        </w:rPr>
        <w:t>r</w:t>
      </w:r>
      <w:r w:rsidR="000B74A6" w:rsidRPr="005776DD">
        <w:rPr>
          <w:sz w:val="20"/>
          <w:szCs w:val="20"/>
          <w:vertAlign w:val="superscript"/>
        </w:rPr>
        <w:t>2</w:t>
      </w:r>
      <w:r w:rsidR="000B74A6" w:rsidRPr="005776DD">
        <w:rPr>
          <w:sz w:val="20"/>
          <w:szCs w:val="20"/>
        </w:rPr>
        <w:t xml:space="preserve">=0.2. </w:t>
      </w:r>
      <w:r w:rsidR="000B74A6" w:rsidRPr="005776DD">
        <w:rPr>
          <w:color w:val="FF0000"/>
          <w:sz w:val="20"/>
          <w:szCs w:val="20"/>
        </w:rPr>
        <w:t xml:space="preserve">The blue </w:t>
      </w:r>
      <w:r w:rsidR="000B74A6">
        <w:rPr>
          <w:color w:val="FF0000"/>
          <w:sz w:val="20"/>
          <w:szCs w:val="20"/>
        </w:rPr>
        <w:t>curve</w:t>
      </w:r>
      <w:r w:rsidR="000B74A6" w:rsidRPr="005776DD">
        <w:rPr>
          <w:color w:val="FF0000"/>
          <w:sz w:val="20"/>
          <w:szCs w:val="20"/>
        </w:rPr>
        <w:t xml:space="preserve"> </w:t>
      </w:r>
      <w:r w:rsidR="000B74A6">
        <w:rPr>
          <w:color w:val="FF0000"/>
          <w:sz w:val="20"/>
          <w:szCs w:val="20"/>
        </w:rPr>
        <w:t>was</w:t>
      </w:r>
      <w:r w:rsidR="000B74A6" w:rsidRPr="005776DD">
        <w:rPr>
          <w:color w:val="FF0000"/>
          <w:sz w:val="20"/>
          <w:szCs w:val="20"/>
        </w:rPr>
        <w:t xml:space="preserve"> fitted by the Hill and Weir formula</w:t>
      </w:r>
      <w:r w:rsidR="000B74A6">
        <w:rPr>
          <w:color w:val="FF0000"/>
          <w:sz w:val="20"/>
          <w:szCs w:val="20"/>
        </w:rPr>
        <w:t xml:space="preserve"> (Hill and Weir, 1988)</w:t>
      </w:r>
      <w:r w:rsidR="000B74A6" w:rsidRPr="005776DD">
        <w:rPr>
          <w:color w:val="FF0000"/>
          <w:sz w:val="20"/>
          <w:szCs w:val="20"/>
        </w:rPr>
        <w:t xml:space="preserve">. </w:t>
      </w:r>
      <w:proofErr w:type="gramStart"/>
      <w:r w:rsidR="000B74A6">
        <w:rPr>
          <w:color w:val="FF0000"/>
          <w:sz w:val="20"/>
          <w:szCs w:val="20"/>
        </w:rPr>
        <w:t>In order to</w:t>
      </w:r>
      <w:proofErr w:type="gramEnd"/>
      <w:r w:rsidR="000B74A6">
        <w:rPr>
          <w:color w:val="FF0000"/>
          <w:sz w:val="20"/>
          <w:szCs w:val="20"/>
        </w:rPr>
        <w:t xml:space="preserve"> visualize the region of LD decay distance when r</w:t>
      </w:r>
      <w:r w:rsidR="000B74A6" w:rsidRPr="005776DD">
        <w:rPr>
          <w:color w:val="FF0000"/>
          <w:sz w:val="20"/>
          <w:szCs w:val="20"/>
          <w:vertAlign w:val="superscript"/>
        </w:rPr>
        <w:t>2</w:t>
      </w:r>
      <w:r w:rsidR="000B74A6">
        <w:rPr>
          <w:color w:val="FF0000"/>
          <w:sz w:val="20"/>
          <w:szCs w:val="20"/>
        </w:rPr>
        <w:t>=0.2, o</w:t>
      </w:r>
      <w:r w:rsidR="000B74A6" w:rsidRPr="005776DD">
        <w:rPr>
          <w:color w:val="FF0000"/>
          <w:sz w:val="20"/>
          <w:szCs w:val="20"/>
        </w:rPr>
        <w:t>nly the distance</w:t>
      </w:r>
      <w:r w:rsidR="000B74A6">
        <w:rPr>
          <w:color w:val="FF0000"/>
          <w:sz w:val="20"/>
          <w:szCs w:val="20"/>
        </w:rPr>
        <w:t xml:space="preserve"> range</w:t>
      </w:r>
      <w:r w:rsidR="000B74A6" w:rsidRPr="005776DD">
        <w:rPr>
          <w:color w:val="FF0000"/>
          <w:sz w:val="20"/>
          <w:szCs w:val="20"/>
        </w:rPr>
        <w:t xml:space="preserve"> from 0 to 2000</w:t>
      </w:r>
      <w:r w:rsidR="000B74A6">
        <w:rPr>
          <w:color w:val="FF0000"/>
          <w:sz w:val="20"/>
          <w:szCs w:val="20"/>
        </w:rPr>
        <w:t xml:space="preserve"> k</w:t>
      </w:r>
      <w:r w:rsidR="000B74A6" w:rsidRPr="005776DD">
        <w:rPr>
          <w:color w:val="FF0000"/>
          <w:sz w:val="20"/>
          <w:szCs w:val="20"/>
        </w:rPr>
        <w:t xml:space="preserve">b </w:t>
      </w:r>
      <w:r w:rsidR="000B74A6">
        <w:rPr>
          <w:color w:val="FF0000"/>
          <w:sz w:val="20"/>
          <w:szCs w:val="20"/>
        </w:rPr>
        <w:t>is</w:t>
      </w:r>
      <w:r w:rsidR="000B74A6" w:rsidRPr="005776DD">
        <w:rPr>
          <w:color w:val="FF0000"/>
          <w:sz w:val="20"/>
          <w:szCs w:val="20"/>
        </w:rPr>
        <w:t xml:space="preserve"> shown.</w:t>
      </w:r>
    </w:p>
    <w:p w14:paraId="00FE2EAC" w14:textId="77777777" w:rsidR="002F64F6" w:rsidRPr="003E7C8C" w:rsidRDefault="002F64F6" w:rsidP="00647071">
      <w:pPr>
        <w:spacing w:line="360" w:lineRule="auto"/>
        <w:rPr>
          <w:rStyle w:val="cf01"/>
          <w:rFonts w:ascii="Times New Roman" w:hAnsi="Times New Roman" w:cs="Times New Roman"/>
        </w:rPr>
      </w:pPr>
    </w:p>
    <w:p w14:paraId="150DCCE8" w14:textId="7E9EFFEF" w:rsidR="00647071" w:rsidRPr="00C20C16" w:rsidRDefault="00647071" w:rsidP="00A109C3">
      <w:pPr>
        <w:spacing w:line="360" w:lineRule="auto"/>
        <w:rPr>
          <w:sz w:val="20"/>
          <w:szCs w:val="20"/>
        </w:rPr>
      </w:pPr>
      <w:r w:rsidRPr="00C20C16">
        <w:rPr>
          <w:b/>
          <w:bCs/>
          <w:sz w:val="20"/>
          <w:szCs w:val="20"/>
        </w:rPr>
        <w:t>Fig. S</w:t>
      </w:r>
      <w:r w:rsidR="00782CEE" w:rsidRPr="00C20C16">
        <w:rPr>
          <w:b/>
          <w:bCs/>
          <w:sz w:val="20"/>
          <w:szCs w:val="20"/>
        </w:rPr>
        <w:t xml:space="preserve">2 </w:t>
      </w:r>
      <w:r w:rsidRPr="00C20C16">
        <w:rPr>
          <w:sz w:val="20"/>
          <w:szCs w:val="20"/>
        </w:rPr>
        <w:t>Population structure for the 904 clones coloured based on the family identities</w:t>
      </w:r>
      <w:r w:rsidR="00A109C3" w:rsidRPr="00A109C3">
        <w:rPr>
          <w:sz w:val="20"/>
          <w:szCs w:val="20"/>
        </w:rPr>
        <w:t xml:space="preserve"> </w:t>
      </w:r>
      <w:r w:rsidR="00A109C3" w:rsidRPr="00FF1086">
        <w:rPr>
          <w:sz w:val="20"/>
          <w:szCs w:val="20"/>
        </w:rPr>
        <w:t xml:space="preserve">visualized by marker-based principal component analysis (PCA). </w:t>
      </w:r>
    </w:p>
    <w:p w14:paraId="500643E9" w14:textId="77777777" w:rsidR="00303CAE" w:rsidRPr="00A109C3" w:rsidRDefault="00303CAE" w:rsidP="00782CEE">
      <w:pPr>
        <w:spacing w:line="360" w:lineRule="auto"/>
        <w:jc w:val="both"/>
        <w:rPr>
          <w:b/>
          <w:bCs/>
          <w:sz w:val="20"/>
          <w:szCs w:val="20"/>
        </w:rPr>
      </w:pPr>
    </w:p>
    <w:p w14:paraId="0609DDAB" w14:textId="48D4E31F" w:rsidR="00303CAE" w:rsidRPr="00303CAE" w:rsidRDefault="00303CAE" w:rsidP="00782CEE">
      <w:pPr>
        <w:spacing w:line="360" w:lineRule="auto"/>
        <w:jc w:val="both"/>
        <w:rPr>
          <w:sz w:val="20"/>
          <w:szCs w:val="20"/>
        </w:rPr>
      </w:pPr>
      <w:r>
        <w:rPr>
          <w:b/>
          <w:bCs/>
          <w:sz w:val="20"/>
          <w:szCs w:val="20"/>
        </w:rPr>
        <w:t xml:space="preserve">Fig. S3 </w:t>
      </w:r>
      <w:r w:rsidR="00A33310" w:rsidRPr="00303CAE">
        <w:rPr>
          <w:sz w:val="20"/>
          <w:szCs w:val="20"/>
        </w:rPr>
        <w:t xml:space="preserve">Quantile-Quantile (QQ) plots and genomic inflation factors (IFs) </w:t>
      </w:r>
      <w:r w:rsidR="00A33310">
        <w:rPr>
          <w:sz w:val="20"/>
          <w:szCs w:val="20"/>
        </w:rPr>
        <w:t>for genome-wide association analyses of the</w:t>
      </w:r>
      <w:r w:rsidR="00A33310" w:rsidRPr="00303CAE">
        <w:rPr>
          <w:sz w:val="20"/>
          <w:szCs w:val="20"/>
        </w:rPr>
        <w:t xml:space="preserve"> six studied traits. The </w:t>
      </w:r>
      <w:r w:rsidR="00A33310">
        <w:rPr>
          <w:sz w:val="20"/>
          <w:szCs w:val="20"/>
        </w:rPr>
        <w:t>initial slope of the QQ datapoints (</w:t>
      </w:r>
      <w:r w:rsidR="00A33310" w:rsidRPr="00303CAE">
        <w:rPr>
          <w:sz w:val="20"/>
          <w:szCs w:val="20"/>
        </w:rPr>
        <w:t>black</w:t>
      </w:r>
      <w:r w:rsidR="00A33310">
        <w:rPr>
          <w:sz w:val="20"/>
          <w:szCs w:val="20"/>
        </w:rPr>
        <w:t>)</w:t>
      </w:r>
      <w:r w:rsidR="00A33310" w:rsidRPr="00303CAE">
        <w:rPr>
          <w:sz w:val="20"/>
          <w:szCs w:val="20"/>
        </w:rPr>
        <w:t xml:space="preserve"> presents the genomic inflation factor</w:t>
      </w:r>
      <w:r w:rsidR="00A33310">
        <w:rPr>
          <w:sz w:val="20"/>
          <w:szCs w:val="20"/>
        </w:rPr>
        <w:t xml:space="preserve"> and coincides very closely with </w:t>
      </w:r>
      <w:r w:rsidR="00A33310" w:rsidRPr="00303CAE">
        <w:rPr>
          <w:sz w:val="20"/>
          <w:szCs w:val="20"/>
        </w:rPr>
        <w:t xml:space="preserve">the </w:t>
      </w:r>
      <w:r w:rsidR="00A33310">
        <w:rPr>
          <w:sz w:val="20"/>
          <w:szCs w:val="20"/>
        </w:rPr>
        <w:t xml:space="preserve">red </w:t>
      </w:r>
      <w:r w:rsidR="00A33310" w:rsidRPr="00303CAE">
        <w:rPr>
          <w:sz w:val="20"/>
          <w:szCs w:val="20"/>
        </w:rPr>
        <w:t xml:space="preserve">line </w:t>
      </w:r>
      <w:r w:rsidR="00A33310">
        <w:rPr>
          <w:sz w:val="20"/>
          <w:szCs w:val="20"/>
        </w:rPr>
        <w:t>(</w:t>
      </w:r>
      <w:r w:rsidR="00A33310" w:rsidRPr="00303CAE">
        <w:rPr>
          <w:sz w:val="20"/>
          <w:szCs w:val="20"/>
        </w:rPr>
        <w:t>slope=1 and intercept=0</w:t>
      </w:r>
      <w:r w:rsidR="00A33310">
        <w:rPr>
          <w:sz w:val="20"/>
          <w:szCs w:val="20"/>
        </w:rPr>
        <w:t>)</w:t>
      </w:r>
      <w:r w:rsidR="00A33310" w:rsidRPr="00303CAE">
        <w:rPr>
          <w:sz w:val="20"/>
          <w:szCs w:val="20"/>
        </w:rPr>
        <w:t xml:space="preserve">. </w:t>
      </w:r>
      <w:r w:rsidRPr="00303CAE">
        <w:rPr>
          <w:sz w:val="20"/>
          <w:szCs w:val="20"/>
        </w:rPr>
        <w:t xml:space="preserve"> </w:t>
      </w:r>
    </w:p>
    <w:p w14:paraId="64CFE14F" w14:textId="77777777" w:rsidR="00303CAE" w:rsidRDefault="00303CAE" w:rsidP="00782CEE">
      <w:pPr>
        <w:spacing w:line="360" w:lineRule="auto"/>
        <w:jc w:val="both"/>
        <w:rPr>
          <w:b/>
          <w:bCs/>
          <w:sz w:val="20"/>
          <w:szCs w:val="20"/>
        </w:rPr>
      </w:pPr>
    </w:p>
    <w:p w14:paraId="110EDF3F" w14:textId="35E7B50E" w:rsidR="00782CEE" w:rsidRPr="00C20C16" w:rsidRDefault="00782CEE" w:rsidP="00C20C16">
      <w:pPr>
        <w:spacing w:line="360" w:lineRule="auto"/>
        <w:jc w:val="both"/>
        <w:rPr>
          <w:sz w:val="20"/>
          <w:szCs w:val="20"/>
        </w:rPr>
        <w:sectPr w:rsidR="00782CEE" w:rsidRPr="00C20C16">
          <w:pgSz w:w="11906" w:h="16838"/>
          <w:pgMar w:top="1440" w:right="1440" w:bottom="1440" w:left="1440" w:header="708" w:footer="708" w:gutter="0"/>
          <w:cols w:space="708"/>
          <w:docGrid w:linePitch="360"/>
        </w:sectPr>
      </w:pPr>
      <w:r w:rsidRPr="002F64F6">
        <w:rPr>
          <w:b/>
          <w:bCs/>
          <w:sz w:val="20"/>
          <w:szCs w:val="20"/>
        </w:rPr>
        <w:t>Fig. S</w:t>
      </w:r>
      <w:r w:rsidR="00303CAE">
        <w:rPr>
          <w:b/>
          <w:bCs/>
          <w:sz w:val="20"/>
          <w:szCs w:val="20"/>
        </w:rPr>
        <w:t>4</w:t>
      </w:r>
      <w:r w:rsidRPr="003E7C8C">
        <w:rPr>
          <w:sz w:val="20"/>
          <w:szCs w:val="20"/>
        </w:rPr>
        <w:t xml:space="preserve"> </w:t>
      </w:r>
      <w:r w:rsidR="00A33310">
        <w:rPr>
          <w:sz w:val="20"/>
          <w:szCs w:val="20"/>
        </w:rPr>
        <w:t>The</w:t>
      </w:r>
      <w:r w:rsidR="00A33310" w:rsidRPr="003E7C8C">
        <w:rPr>
          <w:sz w:val="20"/>
          <w:szCs w:val="20"/>
        </w:rPr>
        <w:t xml:space="preserve"> mating design of 49 parents </w:t>
      </w:r>
      <w:r w:rsidR="00A33310">
        <w:rPr>
          <w:sz w:val="20"/>
          <w:szCs w:val="20"/>
        </w:rPr>
        <w:t>crossed to generate</w:t>
      </w:r>
      <w:r w:rsidR="00A33310" w:rsidRPr="003E7C8C">
        <w:rPr>
          <w:sz w:val="20"/>
          <w:szCs w:val="20"/>
        </w:rPr>
        <w:t xml:space="preserve"> 32 full-sib families</w:t>
      </w:r>
      <w:r w:rsidR="00A33310">
        <w:rPr>
          <w:sz w:val="20"/>
          <w:szCs w:val="20"/>
        </w:rPr>
        <w:t xml:space="preserve"> according to the original pedigree</w:t>
      </w:r>
      <w:r w:rsidR="00A33310" w:rsidRPr="003E7C8C">
        <w:rPr>
          <w:sz w:val="20"/>
          <w:szCs w:val="20"/>
        </w:rPr>
        <w:t xml:space="preserve">. Each circle in the top level represents a parent and the number is the identity of the parent. Each square at the bottom represents a full-sib family. The number within each square represents the number of clones per family genotyped. The families whose squares are framed in red colour, were selected to test the effect of family size on predictive ability. </w:t>
      </w:r>
      <w:r w:rsidR="00A33310">
        <w:rPr>
          <w:sz w:val="20"/>
          <w:szCs w:val="20"/>
        </w:rPr>
        <w:t>P</w:t>
      </w:r>
      <w:r w:rsidR="00A33310" w:rsidRPr="003E7C8C">
        <w:rPr>
          <w:sz w:val="20"/>
          <w:szCs w:val="20"/>
        </w:rPr>
        <w:t>arents only</w:t>
      </w:r>
      <w:r w:rsidR="00A33310">
        <w:rPr>
          <w:sz w:val="20"/>
          <w:szCs w:val="20"/>
        </w:rPr>
        <w:t xml:space="preserve"> used for one</w:t>
      </w:r>
      <w:r w:rsidR="00A33310" w:rsidRPr="003E7C8C">
        <w:rPr>
          <w:sz w:val="20"/>
          <w:szCs w:val="20"/>
        </w:rPr>
        <w:t xml:space="preserve"> cross </w:t>
      </w:r>
      <w:r w:rsidR="00A33310">
        <w:rPr>
          <w:sz w:val="20"/>
          <w:szCs w:val="20"/>
        </w:rPr>
        <w:t>are depicted in</w:t>
      </w:r>
      <w:r w:rsidR="00A33310" w:rsidRPr="003E7C8C">
        <w:rPr>
          <w:sz w:val="20"/>
          <w:szCs w:val="20"/>
        </w:rPr>
        <w:t xml:space="preserve"> dark goldenrod </w:t>
      </w:r>
      <w:r w:rsidR="00A33310">
        <w:rPr>
          <w:sz w:val="20"/>
          <w:szCs w:val="20"/>
        </w:rPr>
        <w:t>if used as a</w:t>
      </w:r>
      <w:r w:rsidR="00A33310" w:rsidRPr="003E7C8C">
        <w:rPr>
          <w:sz w:val="20"/>
          <w:szCs w:val="20"/>
        </w:rPr>
        <w:t xml:space="preserve"> male and dark </w:t>
      </w:r>
      <w:proofErr w:type="spellStart"/>
      <w:r w:rsidR="00A33310" w:rsidRPr="003E7C8C">
        <w:rPr>
          <w:sz w:val="20"/>
          <w:szCs w:val="20"/>
        </w:rPr>
        <w:t>skyblue</w:t>
      </w:r>
      <w:proofErr w:type="spellEnd"/>
      <w:r w:rsidR="00A33310" w:rsidRPr="003E7C8C">
        <w:rPr>
          <w:sz w:val="20"/>
          <w:szCs w:val="20"/>
        </w:rPr>
        <w:t xml:space="preserve"> </w:t>
      </w:r>
      <w:r w:rsidR="00A33310">
        <w:rPr>
          <w:sz w:val="20"/>
          <w:szCs w:val="20"/>
        </w:rPr>
        <w:t>if used as a</w:t>
      </w:r>
      <w:r w:rsidR="00A33310" w:rsidRPr="003E7C8C">
        <w:rPr>
          <w:sz w:val="20"/>
          <w:szCs w:val="20"/>
        </w:rPr>
        <w:t xml:space="preserve"> female. Otherwise, the colour of the parents could be any of both colours.</w:t>
      </w:r>
    </w:p>
    <w:p w14:paraId="0C6848E6" w14:textId="77777777" w:rsidR="00647071" w:rsidRDefault="00647071"/>
    <w:p w14:paraId="77C69EA7" w14:textId="7CB3BA2A" w:rsidR="00647071" w:rsidRDefault="00647071">
      <w:r w:rsidRPr="003E7C8C">
        <w:rPr>
          <w:noProof/>
        </w:rPr>
        <w:drawing>
          <wp:inline distT="0" distB="0" distL="0" distR="0" wp14:anchorId="1A7C4F6D" wp14:editId="2DFFBD93">
            <wp:extent cx="3420110" cy="2479675"/>
            <wp:effectExtent l="0" t="0" r="0" b="0"/>
            <wp:docPr id="6" name="Picture 6"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Qr code&#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20110" cy="2479675"/>
                    </a:xfrm>
                    <a:prstGeom prst="rect">
                      <a:avLst/>
                    </a:prstGeom>
                    <a:noFill/>
                    <a:ln>
                      <a:noFill/>
                    </a:ln>
                  </pic:spPr>
                </pic:pic>
              </a:graphicData>
            </a:graphic>
          </wp:inline>
        </w:drawing>
      </w:r>
    </w:p>
    <w:p w14:paraId="6B395296" w14:textId="1519B700" w:rsidR="00647071" w:rsidRPr="00C20C16" w:rsidRDefault="00647071" w:rsidP="00C20C16">
      <w:pPr>
        <w:spacing w:line="360" w:lineRule="auto"/>
        <w:rPr>
          <w:rFonts w:ascii="Times New Roman" w:hAnsi="Times New Roman" w:cs="Times New Roman"/>
          <w:color w:val="FF0000"/>
          <w:sz w:val="18"/>
          <w:szCs w:val="18"/>
        </w:rPr>
      </w:pPr>
      <w:r w:rsidRPr="003E7C8C">
        <w:rPr>
          <w:sz w:val="20"/>
          <w:szCs w:val="20"/>
        </w:rPr>
        <w:t>Fig. S</w:t>
      </w:r>
      <w:r w:rsidR="00FF6013">
        <w:rPr>
          <w:sz w:val="20"/>
          <w:szCs w:val="20"/>
        </w:rPr>
        <w:t>1</w:t>
      </w:r>
      <w:r w:rsidRPr="003E7C8C">
        <w:rPr>
          <w:sz w:val="20"/>
          <w:szCs w:val="20"/>
        </w:rPr>
        <w:t xml:space="preserve"> LD decay (</w:t>
      </w:r>
      <w:r w:rsidRPr="003E7C8C">
        <w:rPr>
          <w:rStyle w:val="cf01"/>
          <w:rFonts w:ascii="Times New Roman" w:hAnsi="Times New Roman" w:cs="Times New Roman"/>
          <w:i/>
          <w:iCs/>
        </w:rPr>
        <w:t>r</w:t>
      </w:r>
      <w:r w:rsidRPr="003E7C8C">
        <w:rPr>
          <w:rStyle w:val="cf01"/>
          <w:rFonts w:ascii="Times New Roman" w:hAnsi="Times New Roman" w:cs="Times New Roman"/>
          <w:vertAlign w:val="superscript"/>
        </w:rPr>
        <w:t>2</w:t>
      </w:r>
      <w:r w:rsidRPr="003E7C8C">
        <w:rPr>
          <w:sz w:val="20"/>
          <w:szCs w:val="20"/>
        </w:rPr>
        <w:t xml:space="preserve">) in a full-sib progeny population (F1-generation, </w:t>
      </w:r>
      <w:r w:rsidRPr="00C20C16">
        <w:rPr>
          <w:i/>
          <w:iCs/>
          <w:sz w:val="20"/>
          <w:szCs w:val="20"/>
        </w:rPr>
        <w:t>n</w:t>
      </w:r>
      <w:r w:rsidRPr="003E7C8C">
        <w:rPr>
          <w:sz w:val="20"/>
          <w:szCs w:val="20"/>
        </w:rPr>
        <w:t>=904</w:t>
      </w:r>
      <w:r w:rsidR="000B74A6">
        <w:rPr>
          <w:sz w:val="20"/>
          <w:szCs w:val="20"/>
        </w:rPr>
        <w:t>,</w:t>
      </w:r>
      <w:r w:rsidRPr="003E7C8C">
        <w:rPr>
          <w:sz w:val="20"/>
          <w:szCs w:val="20"/>
        </w:rPr>
        <w:t xml:space="preserve"> 49 parents </w:t>
      </w:r>
      <w:r w:rsidR="000B74A6">
        <w:rPr>
          <w:sz w:val="20"/>
          <w:szCs w:val="20"/>
        </w:rPr>
        <w:t>in</w:t>
      </w:r>
      <w:r w:rsidRPr="003E7C8C">
        <w:rPr>
          <w:sz w:val="20"/>
          <w:szCs w:val="20"/>
        </w:rPr>
        <w:t xml:space="preserve"> the original pedigree) based on </w:t>
      </w:r>
      <w:r w:rsidR="000B74A6">
        <w:rPr>
          <w:sz w:val="20"/>
          <w:szCs w:val="20"/>
        </w:rPr>
        <w:t xml:space="preserve">the </w:t>
      </w:r>
      <w:r w:rsidRPr="003E7C8C">
        <w:rPr>
          <w:sz w:val="20"/>
          <w:szCs w:val="20"/>
        </w:rPr>
        <w:t>Norway spruce 50k SNP array. The Vertical dashed line represents LD decay distance when</w:t>
      </w:r>
      <w:r w:rsidRPr="005776DD">
        <w:rPr>
          <w:sz w:val="20"/>
          <w:szCs w:val="20"/>
        </w:rPr>
        <w:t xml:space="preserve"> </w:t>
      </w:r>
      <w:r w:rsidRPr="005776DD">
        <w:rPr>
          <w:i/>
          <w:iCs/>
          <w:sz w:val="20"/>
          <w:szCs w:val="20"/>
        </w:rPr>
        <w:t>r</w:t>
      </w:r>
      <w:r w:rsidRPr="005776DD">
        <w:rPr>
          <w:sz w:val="20"/>
          <w:szCs w:val="20"/>
          <w:vertAlign w:val="superscript"/>
        </w:rPr>
        <w:t>2</w:t>
      </w:r>
      <w:r w:rsidRPr="005776DD">
        <w:rPr>
          <w:sz w:val="20"/>
          <w:szCs w:val="20"/>
        </w:rPr>
        <w:t>=0.2.</w:t>
      </w:r>
      <w:r w:rsidR="00170D1E" w:rsidRPr="005776DD">
        <w:rPr>
          <w:sz w:val="20"/>
          <w:szCs w:val="20"/>
        </w:rPr>
        <w:t xml:space="preserve"> </w:t>
      </w:r>
      <w:r w:rsidR="00170D1E" w:rsidRPr="005776DD">
        <w:rPr>
          <w:color w:val="FF0000"/>
          <w:sz w:val="20"/>
          <w:szCs w:val="20"/>
        </w:rPr>
        <w:t xml:space="preserve">The blue </w:t>
      </w:r>
      <w:r w:rsidR="000B74A6">
        <w:rPr>
          <w:color w:val="FF0000"/>
          <w:sz w:val="20"/>
          <w:szCs w:val="20"/>
        </w:rPr>
        <w:t>curve</w:t>
      </w:r>
      <w:r w:rsidR="00170D1E" w:rsidRPr="005776DD">
        <w:rPr>
          <w:color w:val="FF0000"/>
          <w:sz w:val="20"/>
          <w:szCs w:val="20"/>
        </w:rPr>
        <w:t xml:space="preserve"> </w:t>
      </w:r>
      <w:r w:rsidR="00C25593">
        <w:rPr>
          <w:color w:val="FF0000"/>
          <w:sz w:val="20"/>
          <w:szCs w:val="20"/>
        </w:rPr>
        <w:t>was</w:t>
      </w:r>
      <w:r w:rsidR="00C25593" w:rsidRPr="005776DD">
        <w:rPr>
          <w:color w:val="FF0000"/>
          <w:sz w:val="20"/>
          <w:szCs w:val="20"/>
        </w:rPr>
        <w:t xml:space="preserve"> </w:t>
      </w:r>
      <w:r w:rsidR="005776DD" w:rsidRPr="005776DD">
        <w:rPr>
          <w:color w:val="FF0000"/>
          <w:sz w:val="20"/>
          <w:szCs w:val="20"/>
        </w:rPr>
        <w:t>fitted by the Hill and Weir formula</w:t>
      </w:r>
      <w:r w:rsidR="005776DD">
        <w:rPr>
          <w:color w:val="FF0000"/>
          <w:sz w:val="20"/>
          <w:szCs w:val="20"/>
        </w:rPr>
        <w:t xml:space="preserve"> (Hill and We</w:t>
      </w:r>
      <w:r w:rsidR="00C25593">
        <w:rPr>
          <w:color w:val="FF0000"/>
          <w:sz w:val="20"/>
          <w:szCs w:val="20"/>
        </w:rPr>
        <w:t>i</w:t>
      </w:r>
      <w:r w:rsidR="005776DD">
        <w:rPr>
          <w:color w:val="FF0000"/>
          <w:sz w:val="20"/>
          <w:szCs w:val="20"/>
        </w:rPr>
        <w:t>r, 1988)</w:t>
      </w:r>
      <w:r w:rsidR="005776DD" w:rsidRPr="005776DD">
        <w:rPr>
          <w:color w:val="FF0000"/>
          <w:sz w:val="20"/>
          <w:szCs w:val="20"/>
        </w:rPr>
        <w:t xml:space="preserve">. </w:t>
      </w:r>
      <w:r w:rsidR="005776DD">
        <w:rPr>
          <w:color w:val="FF0000"/>
          <w:sz w:val="20"/>
          <w:szCs w:val="20"/>
        </w:rPr>
        <w:t>In order to visualize the region of LD decay distance when r</w:t>
      </w:r>
      <w:r w:rsidR="005776DD" w:rsidRPr="005776DD">
        <w:rPr>
          <w:color w:val="FF0000"/>
          <w:sz w:val="20"/>
          <w:szCs w:val="20"/>
          <w:vertAlign w:val="superscript"/>
        </w:rPr>
        <w:t>2</w:t>
      </w:r>
      <w:r w:rsidR="005776DD">
        <w:rPr>
          <w:color w:val="FF0000"/>
          <w:sz w:val="20"/>
          <w:szCs w:val="20"/>
        </w:rPr>
        <w:t>=0.2</w:t>
      </w:r>
      <w:r w:rsidR="00A57A5A">
        <w:rPr>
          <w:color w:val="FF0000"/>
          <w:sz w:val="20"/>
          <w:szCs w:val="20"/>
        </w:rPr>
        <w:t>, o</w:t>
      </w:r>
      <w:r w:rsidR="005776DD" w:rsidRPr="005776DD">
        <w:rPr>
          <w:color w:val="FF0000"/>
          <w:sz w:val="20"/>
          <w:szCs w:val="20"/>
        </w:rPr>
        <w:t>nly the distance</w:t>
      </w:r>
      <w:r w:rsidR="00C25593">
        <w:rPr>
          <w:color w:val="FF0000"/>
          <w:sz w:val="20"/>
          <w:szCs w:val="20"/>
        </w:rPr>
        <w:t xml:space="preserve"> range</w:t>
      </w:r>
      <w:r w:rsidR="005776DD" w:rsidRPr="005776DD">
        <w:rPr>
          <w:color w:val="FF0000"/>
          <w:sz w:val="20"/>
          <w:szCs w:val="20"/>
        </w:rPr>
        <w:t xml:space="preserve"> from 0 to 2000</w:t>
      </w:r>
      <w:r w:rsidR="005776DD">
        <w:rPr>
          <w:color w:val="FF0000"/>
          <w:sz w:val="20"/>
          <w:szCs w:val="20"/>
        </w:rPr>
        <w:t xml:space="preserve"> k</w:t>
      </w:r>
      <w:r w:rsidR="005776DD" w:rsidRPr="005776DD">
        <w:rPr>
          <w:color w:val="FF0000"/>
          <w:sz w:val="20"/>
          <w:szCs w:val="20"/>
        </w:rPr>
        <w:t xml:space="preserve">b </w:t>
      </w:r>
      <w:r w:rsidR="00C25593">
        <w:rPr>
          <w:color w:val="FF0000"/>
          <w:sz w:val="20"/>
          <w:szCs w:val="20"/>
        </w:rPr>
        <w:t>is</w:t>
      </w:r>
      <w:r w:rsidR="00C25593" w:rsidRPr="005776DD">
        <w:rPr>
          <w:color w:val="FF0000"/>
          <w:sz w:val="20"/>
          <w:szCs w:val="20"/>
        </w:rPr>
        <w:t xml:space="preserve"> </w:t>
      </w:r>
      <w:r w:rsidR="005776DD" w:rsidRPr="005776DD">
        <w:rPr>
          <w:color w:val="FF0000"/>
          <w:sz w:val="20"/>
          <w:szCs w:val="20"/>
        </w:rPr>
        <w:t xml:space="preserve">shown. </w:t>
      </w:r>
    </w:p>
    <w:p w14:paraId="5C0B7B3C" w14:textId="57331847" w:rsidR="00647071" w:rsidRDefault="00FE3754">
      <w:r>
        <w:rPr>
          <w:noProof/>
          <w14:ligatures w14:val="standardContextual"/>
        </w:rPr>
        <w:lastRenderedPageBreak/>
        <w:drawing>
          <wp:inline distT="0" distB="0" distL="0" distR="0" wp14:anchorId="5E372DFD" wp14:editId="53257651">
            <wp:extent cx="5731510" cy="8189595"/>
            <wp:effectExtent l="0" t="0" r="0" b="1905"/>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8189595"/>
                    </a:xfrm>
                    <a:prstGeom prst="rect">
                      <a:avLst/>
                    </a:prstGeom>
                  </pic:spPr>
                </pic:pic>
              </a:graphicData>
            </a:graphic>
          </wp:inline>
        </w:drawing>
      </w:r>
    </w:p>
    <w:p w14:paraId="2C1FD55C" w14:textId="324E2F09" w:rsidR="00647071" w:rsidRPr="00C20C16" w:rsidRDefault="00647071" w:rsidP="00647071">
      <w:pPr>
        <w:spacing w:line="360" w:lineRule="auto"/>
        <w:rPr>
          <w:sz w:val="20"/>
          <w:szCs w:val="20"/>
        </w:rPr>
      </w:pPr>
      <w:r w:rsidRPr="00C20C16">
        <w:rPr>
          <w:sz w:val="20"/>
          <w:szCs w:val="20"/>
        </w:rPr>
        <w:t>Fig. S</w:t>
      </w:r>
      <w:r w:rsidR="00FF6013" w:rsidRPr="00C20C16">
        <w:rPr>
          <w:sz w:val="20"/>
          <w:szCs w:val="20"/>
        </w:rPr>
        <w:t xml:space="preserve">2 </w:t>
      </w:r>
      <w:r w:rsidRPr="00C20C16">
        <w:rPr>
          <w:sz w:val="20"/>
          <w:szCs w:val="20"/>
        </w:rPr>
        <w:t>Population structure for the 904 clones coloured based on the family identities</w:t>
      </w:r>
      <w:r w:rsidR="00A109C3" w:rsidRPr="00C20C16">
        <w:rPr>
          <w:sz w:val="20"/>
          <w:szCs w:val="20"/>
        </w:rPr>
        <w:t xml:space="preserve"> visualized by marker-based principal component analysis (PCA)</w:t>
      </w:r>
      <w:r w:rsidRPr="00C20C16">
        <w:rPr>
          <w:sz w:val="20"/>
          <w:szCs w:val="20"/>
        </w:rPr>
        <w:t xml:space="preserve">. </w:t>
      </w:r>
    </w:p>
    <w:p w14:paraId="7FA84B8E" w14:textId="67813BD4" w:rsidR="00FF6013" w:rsidRDefault="00FF6013" w:rsidP="00647071">
      <w:pPr>
        <w:spacing w:line="360" w:lineRule="auto"/>
        <w:rPr>
          <w:sz w:val="18"/>
          <w:szCs w:val="18"/>
        </w:rPr>
      </w:pPr>
    </w:p>
    <w:p w14:paraId="6DC9A0CF" w14:textId="1AF002A6" w:rsidR="00555CA5" w:rsidRDefault="00555CA5" w:rsidP="00647071">
      <w:pPr>
        <w:spacing w:line="360" w:lineRule="auto"/>
        <w:rPr>
          <w:sz w:val="18"/>
          <w:szCs w:val="18"/>
        </w:rPr>
      </w:pPr>
    </w:p>
    <w:p w14:paraId="04A24A7D" w14:textId="5033B33B" w:rsidR="00555CA5" w:rsidRDefault="00555CA5" w:rsidP="00647071">
      <w:pPr>
        <w:spacing w:line="360" w:lineRule="auto"/>
        <w:rPr>
          <w:sz w:val="18"/>
          <w:szCs w:val="18"/>
        </w:rPr>
      </w:pPr>
      <w:r>
        <w:rPr>
          <w:noProof/>
        </w:rPr>
        <w:drawing>
          <wp:inline distT="0" distB="0" distL="0" distR="0" wp14:anchorId="56954DF0" wp14:editId="7EA98D2F">
            <wp:extent cx="5731510" cy="4298950"/>
            <wp:effectExtent l="0" t="0" r="2540" b="635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78911C13" w14:textId="778D069B" w:rsidR="00C20C16" w:rsidRDefault="00555CA5" w:rsidP="00C20C16">
      <w:pPr>
        <w:spacing w:line="360" w:lineRule="auto"/>
        <w:jc w:val="both"/>
        <w:rPr>
          <w:sz w:val="20"/>
          <w:szCs w:val="20"/>
        </w:rPr>
      </w:pPr>
      <w:r>
        <w:rPr>
          <w:b/>
          <w:bCs/>
          <w:sz w:val="20"/>
          <w:szCs w:val="20"/>
        </w:rPr>
        <w:t xml:space="preserve">Fig. S3 </w:t>
      </w:r>
      <w:r w:rsidRPr="00303CAE">
        <w:rPr>
          <w:sz w:val="20"/>
          <w:szCs w:val="20"/>
        </w:rPr>
        <w:t xml:space="preserve">Quantile-Quantile (QQ) plots and genomic inflation factors (IFs) </w:t>
      </w:r>
      <w:r w:rsidR="00A33310">
        <w:rPr>
          <w:sz w:val="20"/>
          <w:szCs w:val="20"/>
        </w:rPr>
        <w:t>for genome-wide association analyses of the</w:t>
      </w:r>
      <w:r w:rsidRPr="00303CAE">
        <w:rPr>
          <w:sz w:val="20"/>
          <w:szCs w:val="20"/>
        </w:rPr>
        <w:t xml:space="preserve"> six studied traits. The </w:t>
      </w:r>
      <w:r w:rsidR="00A33310">
        <w:rPr>
          <w:sz w:val="20"/>
          <w:szCs w:val="20"/>
        </w:rPr>
        <w:t>initial slope of the QQ datapoints (</w:t>
      </w:r>
      <w:r w:rsidRPr="00303CAE">
        <w:rPr>
          <w:sz w:val="20"/>
          <w:szCs w:val="20"/>
        </w:rPr>
        <w:t>black</w:t>
      </w:r>
      <w:r w:rsidR="00A33310">
        <w:rPr>
          <w:sz w:val="20"/>
          <w:szCs w:val="20"/>
        </w:rPr>
        <w:t>)</w:t>
      </w:r>
      <w:r w:rsidRPr="00303CAE">
        <w:rPr>
          <w:sz w:val="20"/>
          <w:szCs w:val="20"/>
        </w:rPr>
        <w:t xml:space="preserve"> presents the genomic inflation factor</w:t>
      </w:r>
      <w:r w:rsidR="00A33310">
        <w:rPr>
          <w:sz w:val="20"/>
          <w:szCs w:val="20"/>
        </w:rPr>
        <w:t xml:space="preserve"> and coincides very closely with </w:t>
      </w:r>
      <w:r w:rsidRPr="00303CAE">
        <w:rPr>
          <w:sz w:val="20"/>
          <w:szCs w:val="20"/>
        </w:rPr>
        <w:t xml:space="preserve">the </w:t>
      </w:r>
      <w:r w:rsidR="00A33310">
        <w:rPr>
          <w:sz w:val="20"/>
          <w:szCs w:val="20"/>
        </w:rPr>
        <w:t xml:space="preserve">red </w:t>
      </w:r>
      <w:r w:rsidRPr="00303CAE">
        <w:rPr>
          <w:sz w:val="20"/>
          <w:szCs w:val="20"/>
        </w:rPr>
        <w:t xml:space="preserve">line </w:t>
      </w:r>
      <w:r w:rsidR="00A33310">
        <w:rPr>
          <w:sz w:val="20"/>
          <w:szCs w:val="20"/>
        </w:rPr>
        <w:t>(</w:t>
      </w:r>
      <w:r w:rsidRPr="00303CAE">
        <w:rPr>
          <w:sz w:val="20"/>
          <w:szCs w:val="20"/>
        </w:rPr>
        <w:t>slope=1 and intercept=0</w:t>
      </w:r>
      <w:r w:rsidR="00A33310">
        <w:rPr>
          <w:sz w:val="20"/>
          <w:szCs w:val="20"/>
        </w:rPr>
        <w:t>)</w:t>
      </w:r>
      <w:r w:rsidRPr="00303CAE">
        <w:rPr>
          <w:sz w:val="20"/>
          <w:szCs w:val="20"/>
        </w:rPr>
        <w:t xml:space="preserve">. </w:t>
      </w:r>
    </w:p>
    <w:p w14:paraId="78436E5A" w14:textId="4DED7140" w:rsidR="00C20C16" w:rsidRDefault="00C20C16" w:rsidP="00C20C16">
      <w:pPr>
        <w:spacing w:line="360" w:lineRule="auto"/>
        <w:jc w:val="both"/>
        <w:rPr>
          <w:sz w:val="20"/>
          <w:szCs w:val="20"/>
        </w:rPr>
      </w:pPr>
    </w:p>
    <w:p w14:paraId="291E7626" w14:textId="77777777" w:rsidR="00C20C16" w:rsidRPr="00C20C16" w:rsidRDefault="00C20C16" w:rsidP="00C20C16">
      <w:pPr>
        <w:spacing w:line="360" w:lineRule="auto"/>
        <w:jc w:val="both"/>
        <w:rPr>
          <w:sz w:val="20"/>
          <w:szCs w:val="20"/>
        </w:rPr>
      </w:pPr>
    </w:p>
    <w:p w14:paraId="5C075B8E" w14:textId="24C2665B" w:rsidR="00FF6013" w:rsidRDefault="00FF6013" w:rsidP="00647071">
      <w:pPr>
        <w:spacing w:line="360" w:lineRule="auto"/>
        <w:rPr>
          <w:sz w:val="18"/>
          <w:szCs w:val="18"/>
        </w:rPr>
      </w:pPr>
      <w:r w:rsidRPr="003E7C8C">
        <w:rPr>
          <w:noProof/>
          <w:sz w:val="20"/>
          <w:szCs w:val="20"/>
        </w:rPr>
        <w:lastRenderedPageBreak/>
        <w:drawing>
          <wp:inline distT="0" distB="0" distL="0" distR="0" wp14:anchorId="20A00642" wp14:editId="5EA3E374">
            <wp:extent cx="5731510" cy="3253740"/>
            <wp:effectExtent l="0" t="0" r="0" b="0"/>
            <wp:docPr id="3" name="Picture 3"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ckground patter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253740"/>
                    </a:xfrm>
                    <a:prstGeom prst="rect">
                      <a:avLst/>
                    </a:prstGeom>
                  </pic:spPr>
                </pic:pic>
              </a:graphicData>
            </a:graphic>
          </wp:inline>
        </w:drawing>
      </w:r>
    </w:p>
    <w:p w14:paraId="593B63DF" w14:textId="3D9C72AA" w:rsidR="00FF6013" w:rsidRPr="003E7C8C" w:rsidRDefault="00FF6013" w:rsidP="00FF6013">
      <w:pPr>
        <w:spacing w:line="360" w:lineRule="auto"/>
        <w:jc w:val="both"/>
        <w:rPr>
          <w:sz w:val="20"/>
          <w:szCs w:val="20"/>
        </w:rPr>
      </w:pPr>
      <w:r w:rsidRPr="003E7C8C">
        <w:rPr>
          <w:sz w:val="20"/>
          <w:szCs w:val="20"/>
        </w:rPr>
        <w:t>Fig. S</w:t>
      </w:r>
      <w:r w:rsidR="00247755">
        <w:rPr>
          <w:sz w:val="20"/>
          <w:szCs w:val="20"/>
        </w:rPr>
        <w:t>4</w:t>
      </w:r>
      <w:r w:rsidRPr="003E7C8C">
        <w:rPr>
          <w:sz w:val="20"/>
          <w:szCs w:val="20"/>
        </w:rPr>
        <w:t xml:space="preserve"> </w:t>
      </w:r>
      <w:r w:rsidR="00A33310">
        <w:rPr>
          <w:sz w:val="20"/>
          <w:szCs w:val="20"/>
        </w:rPr>
        <w:t>The</w:t>
      </w:r>
      <w:r w:rsidRPr="003E7C8C">
        <w:rPr>
          <w:sz w:val="20"/>
          <w:szCs w:val="20"/>
        </w:rPr>
        <w:t xml:space="preserve"> mating design of 49 parents </w:t>
      </w:r>
      <w:r w:rsidR="00A33310">
        <w:rPr>
          <w:sz w:val="20"/>
          <w:szCs w:val="20"/>
        </w:rPr>
        <w:t>crossed to generate</w:t>
      </w:r>
      <w:r w:rsidRPr="003E7C8C">
        <w:rPr>
          <w:sz w:val="20"/>
          <w:szCs w:val="20"/>
        </w:rPr>
        <w:t xml:space="preserve"> 32 full-sib families</w:t>
      </w:r>
      <w:r w:rsidR="00A33310">
        <w:rPr>
          <w:sz w:val="20"/>
          <w:szCs w:val="20"/>
        </w:rPr>
        <w:t xml:space="preserve"> according to the original pedigree</w:t>
      </w:r>
      <w:r w:rsidRPr="003E7C8C">
        <w:rPr>
          <w:sz w:val="20"/>
          <w:szCs w:val="20"/>
        </w:rPr>
        <w:t xml:space="preserve">. Each circle in the top level represents a parent and the number is the identity of the parent. Each square at the bottom represents a full-sib family. The number within each square represents the number of clones per family genotyped. The families whose squares are framed in red colour, were selected to test the effect of family size on predictive ability. </w:t>
      </w:r>
      <w:r w:rsidR="00A33310">
        <w:rPr>
          <w:sz w:val="20"/>
          <w:szCs w:val="20"/>
        </w:rPr>
        <w:t>P</w:t>
      </w:r>
      <w:r w:rsidRPr="003E7C8C">
        <w:rPr>
          <w:sz w:val="20"/>
          <w:szCs w:val="20"/>
        </w:rPr>
        <w:t>arents only</w:t>
      </w:r>
      <w:r w:rsidR="00A33310">
        <w:rPr>
          <w:sz w:val="20"/>
          <w:szCs w:val="20"/>
        </w:rPr>
        <w:t xml:space="preserve"> used for one</w:t>
      </w:r>
      <w:r w:rsidRPr="003E7C8C">
        <w:rPr>
          <w:sz w:val="20"/>
          <w:szCs w:val="20"/>
        </w:rPr>
        <w:t xml:space="preserve"> cross </w:t>
      </w:r>
      <w:r w:rsidR="00A33310">
        <w:rPr>
          <w:sz w:val="20"/>
          <w:szCs w:val="20"/>
        </w:rPr>
        <w:t>are depicted in</w:t>
      </w:r>
      <w:r w:rsidRPr="003E7C8C">
        <w:rPr>
          <w:sz w:val="20"/>
          <w:szCs w:val="20"/>
        </w:rPr>
        <w:t xml:space="preserve"> dark goldenrod </w:t>
      </w:r>
      <w:r w:rsidR="00A33310">
        <w:rPr>
          <w:sz w:val="20"/>
          <w:szCs w:val="20"/>
        </w:rPr>
        <w:t>if used as a</w:t>
      </w:r>
      <w:r w:rsidRPr="003E7C8C">
        <w:rPr>
          <w:sz w:val="20"/>
          <w:szCs w:val="20"/>
        </w:rPr>
        <w:t xml:space="preserve"> male and dark </w:t>
      </w:r>
      <w:proofErr w:type="spellStart"/>
      <w:r w:rsidRPr="003E7C8C">
        <w:rPr>
          <w:sz w:val="20"/>
          <w:szCs w:val="20"/>
        </w:rPr>
        <w:t>skyblue</w:t>
      </w:r>
      <w:proofErr w:type="spellEnd"/>
      <w:r w:rsidRPr="003E7C8C">
        <w:rPr>
          <w:sz w:val="20"/>
          <w:szCs w:val="20"/>
        </w:rPr>
        <w:t xml:space="preserve"> </w:t>
      </w:r>
      <w:r w:rsidR="00A33310">
        <w:rPr>
          <w:sz w:val="20"/>
          <w:szCs w:val="20"/>
        </w:rPr>
        <w:t>if used as a</w:t>
      </w:r>
      <w:r w:rsidRPr="003E7C8C">
        <w:rPr>
          <w:sz w:val="20"/>
          <w:szCs w:val="20"/>
        </w:rPr>
        <w:t xml:space="preserve"> female. Otherwise, the colour of the parents could be any of both colours.</w:t>
      </w:r>
    </w:p>
    <w:p w14:paraId="50DD6A14" w14:textId="77777777" w:rsidR="00FF6013" w:rsidRPr="00647071" w:rsidRDefault="00FF6013" w:rsidP="00647071">
      <w:pPr>
        <w:spacing w:line="360" w:lineRule="auto"/>
        <w:rPr>
          <w:sz w:val="18"/>
          <w:szCs w:val="18"/>
        </w:rPr>
      </w:pPr>
    </w:p>
    <w:sectPr w:rsidR="00FF6013" w:rsidRPr="006470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QwMbA0NzAxtbCwMDRX0lEKTi0uzszPAykwqgUAgKdrVCwAAAA="/>
  </w:docVars>
  <w:rsids>
    <w:rsidRoot w:val="00647071"/>
    <w:rsid w:val="000B74A6"/>
    <w:rsid w:val="00170D1E"/>
    <w:rsid w:val="00247755"/>
    <w:rsid w:val="002F64F6"/>
    <w:rsid w:val="00303CAE"/>
    <w:rsid w:val="00555CA5"/>
    <w:rsid w:val="005776DD"/>
    <w:rsid w:val="00647071"/>
    <w:rsid w:val="006B2385"/>
    <w:rsid w:val="00782CEE"/>
    <w:rsid w:val="008A5F94"/>
    <w:rsid w:val="00910521"/>
    <w:rsid w:val="00A109C3"/>
    <w:rsid w:val="00A33310"/>
    <w:rsid w:val="00A57A5A"/>
    <w:rsid w:val="00C20C16"/>
    <w:rsid w:val="00C25593"/>
    <w:rsid w:val="00C630ED"/>
    <w:rsid w:val="00F763EB"/>
    <w:rsid w:val="00FE3754"/>
    <w:rsid w:val="00FF601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B8212"/>
  <w15:chartTrackingRefBased/>
  <w15:docId w15:val="{743CBDC7-BEAD-894F-9867-1B55D0B39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f01">
    <w:name w:val="cf01"/>
    <w:basedOn w:val="DefaultParagraphFont"/>
    <w:rsid w:val="00647071"/>
    <w:rPr>
      <w:rFonts w:ascii="Segoe UI" w:hAnsi="Segoe UI" w:cs="Segoe UI" w:hint="default"/>
      <w:sz w:val="18"/>
      <w:szCs w:val="18"/>
    </w:rPr>
  </w:style>
  <w:style w:type="paragraph" w:styleId="Revision">
    <w:name w:val="Revision"/>
    <w:hidden/>
    <w:uiPriority w:val="99"/>
    <w:semiHidden/>
    <w:rsid w:val="00C2559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Zhiqiang Chen</dc:creator>
  <cp:keywords/>
  <dc:description/>
  <cp:lastModifiedBy>Zhiqiang Chen</cp:lastModifiedBy>
  <cp:revision>3</cp:revision>
  <dcterms:created xsi:type="dcterms:W3CDTF">2023-01-27T19:07:00Z</dcterms:created>
  <dcterms:modified xsi:type="dcterms:W3CDTF">2023-01-27T19:09:00Z</dcterms:modified>
</cp:coreProperties>
</file>