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C0D89" w14:textId="77777777" w:rsidR="00AE2034" w:rsidRPr="00E6247B" w:rsidRDefault="00AE2034" w:rsidP="00AE203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247B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</w:p>
    <w:p w14:paraId="27DD371E" w14:textId="77CEBBBF" w:rsidR="00AE2034" w:rsidRDefault="00890120" w:rsidP="00AE203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</w:rPr>
        <w:drawing>
          <wp:inline distT="0" distB="0" distL="0" distR="0" wp14:anchorId="510578C9" wp14:editId="1915380C">
            <wp:extent cx="5274310" cy="8442356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2"/>
                    <a:stretch/>
                  </pic:blipFill>
                  <pic:spPr bwMode="auto">
                    <a:xfrm>
                      <a:off x="0" y="0"/>
                      <a:ext cx="5274310" cy="8442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E0A44C" w14:textId="209C7FB6" w:rsidR="00AE2034" w:rsidRPr="00123D66" w:rsidRDefault="00AE2034" w:rsidP="00AE2034">
      <w:pPr>
        <w:spacing w:line="360" w:lineRule="auto"/>
        <w:rPr>
          <w:rFonts w:ascii="Times New Roman" w:hAnsi="Times New Roman" w:cs="Times New Roman"/>
          <w:sz w:val="22"/>
        </w:rPr>
      </w:pPr>
      <w:r w:rsidRPr="00123D66">
        <w:rPr>
          <w:rFonts w:ascii="Times New Roman" w:hAnsi="Times New Roman" w:cs="Times New Roman"/>
          <w:b/>
          <w:bCs/>
          <w:sz w:val="22"/>
        </w:rPr>
        <w:lastRenderedPageBreak/>
        <w:t>Figure S1</w:t>
      </w:r>
      <w:r w:rsidRPr="00123D66">
        <w:rPr>
          <w:rFonts w:ascii="Times New Roman" w:hAnsi="Times New Roman" w:cs="Times New Roman"/>
          <w:sz w:val="22"/>
        </w:rPr>
        <w:t xml:space="preserve"> Functional analysis of DEGs between different cell states, related to Figure 2. </w:t>
      </w:r>
      <w:r w:rsidR="00D85C44" w:rsidRPr="00123D66">
        <w:rPr>
          <w:rFonts w:ascii="Times New Roman" w:hAnsi="Times New Roman" w:cs="Times New Roman"/>
          <w:sz w:val="22"/>
        </w:rPr>
        <w:t>A.</w:t>
      </w:r>
      <w:r w:rsidR="00D85C44" w:rsidRPr="00123D66">
        <w:t xml:space="preserve"> </w:t>
      </w:r>
      <w:r w:rsidR="00D85C44" w:rsidRPr="00123D66">
        <w:rPr>
          <w:rFonts w:ascii="Times New Roman" w:hAnsi="Times New Roman" w:cs="Times New Roman"/>
          <w:sz w:val="22"/>
        </w:rPr>
        <w:t xml:space="preserve">Gene </w:t>
      </w:r>
      <w:r w:rsidR="00867DDB" w:rsidRPr="00123D66">
        <w:rPr>
          <w:rFonts w:ascii="Times New Roman" w:hAnsi="Times New Roman" w:cs="Times New Roman"/>
          <w:sz w:val="22"/>
        </w:rPr>
        <w:t>s</w:t>
      </w:r>
      <w:r w:rsidR="00D85C44" w:rsidRPr="00123D66">
        <w:rPr>
          <w:rFonts w:ascii="Times New Roman" w:hAnsi="Times New Roman" w:cs="Times New Roman"/>
          <w:sz w:val="22"/>
        </w:rPr>
        <w:t xml:space="preserve">et </w:t>
      </w:r>
      <w:r w:rsidR="00867DDB" w:rsidRPr="00123D66">
        <w:rPr>
          <w:rFonts w:ascii="Times New Roman" w:hAnsi="Times New Roman" w:cs="Times New Roman"/>
          <w:sz w:val="22"/>
        </w:rPr>
        <w:t>e</w:t>
      </w:r>
      <w:r w:rsidR="00D85C44" w:rsidRPr="00123D66">
        <w:rPr>
          <w:rFonts w:ascii="Times New Roman" w:hAnsi="Times New Roman" w:cs="Times New Roman"/>
          <w:sz w:val="22"/>
        </w:rPr>
        <w:t xml:space="preserve">nrichment </w:t>
      </w:r>
      <w:r w:rsidR="00867DDB" w:rsidRPr="00123D66">
        <w:rPr>
          <w:rFonts w:ascii="Times New Roman" w:hAnsi="Times New Roman" w:cs="Times New Roman"/>
          <w:sz w:val="22"/>
        </w:rPr>
        <w:t>a</w:t>
      </w:r>
      <w:r w:rsidR="00D85C44" w:rsidRPr="00123D66">
        <w:rPr>
          <w:rFonts w:ascii="Times New Roman" w:hAnsi="Times New Roman" w:cs="Times New Roman"/>
          <w:sz w:val="22"/>
        </w:rPr>
        <w:t xml:space="preserve">nalysis (GSEA) of cell senescence genes in </w:t>
      </w:r>
      <w:r w:rsidR="00867DDB" w:rsidRPr="00123D66">
        <w:rPr>
          <w:rFonts w:ascii="Times New Roman" w:hAnsi="Times New Roman" w:cs="Times New Roman"/>
          <w:sz w:val="22"/>
        </w:rPr>
        <w:t>h</w:t>
      </w:r>
      <w:r w:rsidR="00D85C44" w:rsidRPr="00123D66">
        <w:rPr>
          <w:rFonts w:ascii="Times New Roman" w:hAnsi="Times New Roman" w:cs="Times New Roman"/>
          <w:sz w:val="22"/>
        </w:rPr>
        <w:t xml:space="preserve">uman </w:t>
      </w:r>
      <w:r w:rsidR="00867DDB" w:rsidRPr="00123D66">
        <w:rPr>
          <w:rFonts w:ascii="Times New Roman" w:hAnsi="Times New Roman" w:cs="Times New Roman"/>
          <w:sz w:val="22"/>
        </w:rPr>
        <w:t>a</w:t>
      </w:r>
      <w:r w:rsidR="00D85C44" w:rsidRPr="00123D66">
        <w:rPr>
          <w:rFonts w:ascii="Times New Roman" w:hAnsi="Times New Roman" w:cs="Times New Roman"/>
          <w:sz w:val="22"/>
        </w:rPr>
        <w:t xml:space="preserve">geing </w:t>
      </w:r>
      <w:r w:rsidR="00867DDB" w:rsidRPr="00123D66">
        <w:rPr>
          <w:rFonts w:ascii="Times New Roman" w:hAnsi="Times New Roman" w:cs="Times New Roman"/>
          <w:sz w:val="22"/>
        </w:rPr>
        <w:t>g</w:t>
      </w:r>
      <w:r w:rsidR="00D85C44" w:rsidRPr="00123D66">
        <w:rPr>
          <w:rFonts w:ascii="Times New Roman" w:hAnsi="Times New Roman" w:cs="Times New Roman"/>
          <w:sz w:val="22"/>
        </w:rPr>
        <w:t xml:space="preserve">enomic </w:t>
      </w:r>
      <w:r w:rsidR="00867DDB" w:rsidRPr="00123D66">
        <w:rPr>
          <w:rFonts w:ascii="Times New Roman" w:hAnsi="Times New Roman" w:cs="Times New Roman"/>
          <w:sz w:val="22"/>
        </w:rPr>
        <w:t>r</w:t>
      </w:r>
      <w:r w:rsidR="00D85C44" w:rsidRPr="00123D66">
        <w:rPr>
          <w:rFonts w:ascii="Times New Roman" w:hAnsi="Times New Roman" w:cs="Times New Roman"/>
          <w:sz w:val="22"/>
        </w:rPr>
        <w:t>esources (HAGR)</w:t>
      </w:r>
      <w:r w:rsidR="00465E81" w:rsidRPr="00123D66">
        <w:rPr>
          <w:rFonts w:ascii="Times New Roman" w:hAnsi="Times New Roman" w:cs="Times New Roman"/>
          <w:sz w:val="22"/>
        </w:rPr>
        <w:t xml:space="preserve"> during the conversion and aging of </w:t>
      </w:r>
      <w:proofErr w:type="spellStart"/>
      <w:r w:rsidR="00465E81" w:rsidRPr="00123D66">
        <w:rPr>
          <w:rFonts w:ascii="Times New Roman" w:hAnsi="Times New Roman" w:cs="Times New Roman"/>
          <w:sz w:val="22"/>
        </w:rPr>
        <w:t>HepLPCs</w:t>
      </w:r>
      <w:proofErr w:type="spellEnd"/>
      <w:r w:rsidR="00465E81" w:rsidRPr="00123D66">
        <w:rPr>
          <w:rFonts w:ascii="Times New Roman" w:hAnsi="Times New Roman" w:cs="Times New Roman"/>
          <w:sz w:val="22"/>
        </w:rPr>
        <w:t xml:space="preserve">. </w:t>
      </w:r>
      <w:r w:rsidR="00D85C44" w:rsidRPr="00123D66">
        <w:rPr>
          <w:rFonts w:ascii="Times New Roman" w:hAnsi="Times New Roman" w:cs="Times New Roman"/>
          <w:sz w:val="22"/>
        </w:rPr>
        <w:t>B</w:t>
      </w:r>
      <w:r w:rsidRPr="00123D66">
        <w:rPr>
          <w:rFonts w:ascii="Times New Roman" w:hAnsi="Times New Roman" w:cs="Times New Roman"/>
          <w:sz w:val="22"/>
        </w:rPr>
        <w:t xml:space="preserve">. Venn diagram showing the </w:t>
      </w:r>
      <w:r w:rsidR="00867DDB" w:rsidRPr="00123D66">
        <w:rPr>
          <w:rFonts w:ascii="Times New Roman" w:hAnsi="Times New Roman" w:cs="Times New Roman"/>
          <w:sz w:val="22"/>
        </w:rPr>
        <w:t>common</w:t>
      </w:r>
      <w:r w:rsidRPr="00123D66">
        <w:rPr>
          <w:rFonts w:ascii="Times New Roman" w:hAnsi="Times New Roman" w:cs="Times New Roman"/>
          <w:sz w:val="22"/>
        </w:rPr>
        <w:t xml:space="preserve"> DEGs between HepLPC-P3 and fetal hepatocytes compared to PHC (up-regulated and down-regulated genes; hypergeometric test p-value=0). </w:t>
      </w:r>
      <w:r w:rsidR="00D85C44" w:rsidRPr="00123D66">
        <w:rPr>
          <w:rFonts w:ascii="Times New Roman" w:hAnsi="Times New Roman" w:cs="Times New Roman"/>
          <w:sz w:val="22"/>
        </w:rPr>
        <w:t>C</w:t>
      </w:r>
      <w:r w:rsidRPr="00123D66">
        <w:rPr>
          <w:rFonts w:ascii="Times New Roman" w:hAnsi="Times New Roman" w:cs="Times New Roman"/>
          <w:sz w:val="22"/>
        </w:rPr>
        <w:t>. GO-BP enrichment analysis of common up-regulated and down-regulated genes in HepLPC-P3 and fetal hepatocytes compared to PHC (</w:t>
      </w:r>
      <w:r w:rsidR="00867DDB" w:rsidRPr="00123D66">
        <w:rPr>
          <w:rFonts w:ascii="Times New Roman" w:hAnsi="Times New Roman" w:cs="Times New Roman"/>
          <w:sz w:val="22"/>
        </w:rPr>
        <w:t>r</w:t>
      </w:r>
      <w:r w:rsidRPr="00123D66">
        <w:rPr>
          <w:rFonts w:ascii="Times New Roman" w:hAnsi="Times New Roman" w:cs="Times New Roman"/>
          <w:sz w:val="22"/>
        </w:rPr>
        <w:t xml:space="preserve">ed = up-regulated; </w:t>
      </w:r>
      <w:r w:rsidR="00867DDB" w:rsidRPr="00123D66">
        <w:rPr>
          <w:rFonts w:ascii="Times New Roman" w:hAnsi="Times New Roman" w:cs="Times New Roman"/>
          <w:sz w:val="22"/>
        </w:rPr>
        <w:t>b</w:t>
      </w:r>
      <w:r w:rsidRPr="00123D66">
        <w:rPr>
          <w:rFonts w:ascii="Times New Roman" w:hAnsi="Times New Roman" w:cs="Times New Roman"/>
          <w:sz w:val="22"/>
        </w:rPr>
        <w:t xml:space="preserve">lue = down-regulated). </w:t>
      </w:r>
      <w:r w:rsidR="00D85C44" w:rsidRPr="00123D66">
        <w:rPr>
          <w:rFonts w:ascii="Times New Roman" w:hAnsi="Times New Roman" w:cs="Times New Roman"/>
          <w:sz w:val="22"/>
        </w:rPr>
        <w:t>D</w:t>
      </w:r>
      <w:r w:rsidRPr="00123D66">
        <w:rPr>
          <w:rFonts w:ascii="Times New Roman" w:hAnsi="Times New Roman" w:cs="Times New Roman"/>
          <w:sz w:val="22"/>
        </w:rPr>
        <w:t xml:space="preserve">. Venn diagram showing the </w:t>
      </w:r>
      <w:r w:rsidR="00867DDB" w:rsidRPr="00123D66">
        <w:rPr>
          <w:rFonts w:ascii="Times New Roman" w:hAnsi="Times New Roman" w:cs="Times New Roman"/>
          <w:sz w:val="22"/>
        </w:rPr>
        <w:t>common</w:t>
      </w:r>
      <w:r w:rsidRPr="00123D66">
        <w:rPr>
          <w:rFonts w:ascii="Times New Roman" w:hAnsi="Times New Roman" w:cs="Times New Roman"/>
          <w:sz w:val="22"/>
        </w:rPr>
        <w:t xml:space="preserve"> DEGs between HepLPC-P10 compared to PHC and fetal hepatocytes (up-regulated genes; hypergeometric test p-value=1.46</w:t>
      </w:r>
      <w:r w:rsidR="003E516E" w:rsidRPr="00123D66">
        <w:rPr>
          <w:rFonts w:ascii="Times New Roman" w:hAnsi="Times New Roman" w:cs="Times New Roman"/>
          <w:sz w:val="22"/>
        </w:rPr>
        <w:t xml:space="preserve"> x10</w:t>
      </w:r>
      <w:r w:rsidR="003E516E" w:rsidRPr="00123D66">
        <w:rPr>
          <w:rFonts w:ascii="Times New Roman" w:hAnsi="Times New Roman" w:cs="Times New Roman"/>
          <w:sz w:val="22"/>
          <w:vertAlign w:val="superscript"/>
        </w:rPr>
        <w:t>-</w:t>
      </w:r>
      <w:r w:rsidRPr="00123D66">
        <w:rPr>
          <w:rFonts w:ascii="Times New Roman" w:hAnsi="Times New Roman" w:cs="Times New Roman"/>
          <w:sz w:val="22"/>
          <w:vertAlign w:val="superscript"/>
        </w:rPr>
        <w:t>54</w:t>
      </w:r>
      <w:r w:rsidRPr="00123D66">
        <w:rPr>
          <w:rFonts w:ascii="Times New Roman" w:hAnsi="Times New Roman" w:cs="Times New Roman"/>
          <w:sz w:val="22"/>
        </w:rPr>
        <w:t>. Down-regulated genes; hypergeometric test p-value=3.15</w:t>
      </w:r>
      <w:r w:rsidR="003E516E" w:rsidRPr="00123D66">
        <w:rPr>
          <w:rFonts w:ascii="Times New Roman" w:hAnsi="Times New Roman" w:cs="Times New Roman"/>
          <w:sz w:val="22"/>
        </w:rPr>
        <w:t xml:space="preserve"> x10</w:t>
      </w:r>
      <w:r w:rsidR="003E516E" w:rsidRPr="00123D66">
        <w:rPr>
          <w:rFonts w:ascii="Times New Roman" w:hAnsi="Times New Roman" w:cs="Times New Roman"/>
          <w:sz w:val="22"/>
          <w:vertAlign w:val="superscript"/>
        </w:rPr>
        <w:t>-6</w:t>
      </w:r>
      <w:r w:rsidRPr="00123D66">
        <w:rPr>
          <w:rFonts w:ascii="Times New Roman" w:hAnsi="Times New Roman" w:cs="Times New Roman"/>
          <w:sz w:val="22"/>
        </w:rPr>
        <w:t xml:space="preserve">). </w:t>
      </w:r>
      <w:r w:rsidR="00D85C44" w:rsidRPr="00123D66">
        <w:rPr>
          <w:rFonts w:ascii="Times New Roman" w:hAnsi="Times New Roman" w:cs="Times New Roman"/>
          <w:sz w:val="22"/>
        </w:rPr>
        <w:t>E</w:t>
      </w:r>
      <w:r w:rsidRPr="00123D66">
        <w:rPr>
          <w:rFonts w:ascii="Times New Roman" w:hAnsi="Times New Roman" w:cs="Times New Roman"/>
          <w:sz w:val="22"/>
        </w:rPr>
        <w:t>. GO-BP enrichment analysis of common up-regulated and down-regulated genes in HepLPC-P10 compared to both fetal hepatocytes and HepLPC-P3 (</w:t>
      </w:r>
      <w:r w:rsidR="00867DDB" w:rsidRPr="00123D66">
        <w:rPr>
          <w:rFonts w:ascii="Times New Roman" w:hAnsi="Times New Roman" w:cs="Times New Roman"/>
          <w:sz w:val="22"/>
        </w:rPr>
        <w:t>r</w:t>
      </w:r>
      <w:r w:rsidRPr="00123D66">
        <w:rPr>
          <w:rFonts w:ascii="Times New Roman" w:hAnsi="Times New Roman" w:cs="Times New Roman"/>
          <w:sz w:val="22"/>
        </w:rPr>
        <w:t xml:space="preserve">ed = up-regulated; </w:t>
      </w:r>
      <w:r w:rsidR="00867DDB" w:rsidRPr="00123D66">
        <w:rPr>
          <w:rFonts w:ascii="Times New Roman" w:hAnsi="Times New Roman" w:cs="Times New Roman"/>
          <w:sz w:val="22"/>
        </w:rPr>
        <w:t>b</w:t>
      </w:r>
      <w:r w:rsidRPr="00123D66">
        <w:rPr>
          <w:rFonts w:ascii="Times New Roman" w:hAnsi="Times New Roman" w:cs="Times New Roman"/>
          <w:sz w:val="22"/>
        </w:rPr>
        <w:t>lue = down-regulated).</w:t>
      </w:r>
    </w:p>
    <w:p w14:paraId="4AABFE8D" w14:textId="77777777" w:rsidR="00AE2034" w:rsidRDefault="00AE2034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04868380" w14:textId="77777777" w:rsidR="00AE2034" w:rsidRPr="00E6247B" w:rsidRDefault="00AE2034" w:rsidP="00AE2034">
      <w:pPr>
        <w:spacing w:line="360" w:lineRule="auto"/>
        <w:rPr>
          <w:rFonts w:ascii="Times New Roman" w:hAnsi="Times New Roman" w:cs="Times New Roman"/>
          <w:sz w:val="22"/>
        </w:rPr>
      </w:pPr>
    </w:p>
    <w:p w14:paraId="39EA2424" w14:textId="58016C72" w:rsidR="00AE2034" w:rsidRDefault="00AE2034" w:rsidP="00AE203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</w:rPr>
        <w:drawing>
          <wp:inline distT="0" distB="0" distL="0" distR="0" wp14:anchorId="49AA3ECF" wp14:editId="78BA15AA">
            <wp:extent cx="5274310" cy="6099524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43"/>
                    <a:stretch/>
                  </pic:blipFill>
                  <pic:spPr bwMode="auto">
                    <a:xfrm>
                      <a:off x="0" y="0"/>
                      <a:ext cx="5274310" cy="6099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9CFDB" w14:textId="68DA44E0" w:rsidR="00AE2034" w:rsidRDefault="00AE2034" w:rsidP="00AE2034">
      <w:pPr>
        <w:spacing w:line="360" w:lineRule="auto"/>
        <w:rPr>
          <w:rFonts w:ascii="Times New Roman" w:hAnsi="Times New Roman" w:cs="Times New Roman"/>
          <w:sz w:val="22"/>
        </w:rPr>
      </w:pPr>
      <w:r w:rsidRPr="00E6247B">
        <w:rPr>
          <w:rFonts w:ascii="Times New Roman" w:hAnsi="Times New Roman" w:cs="Times New Roman"/>
          <w:b/>
          <w:bCs/>
          <w:sz w:val="22"/>
        </w:rPr>
        <w:t>Figure S2</w:t>
      </w:r>
      <w:r w:rsidRPr="00E6247B">
        <w:rPr>
          <w:rFonts w:ascii="Times New Roman" w:hAnsi="Times New Roman" w:cs="Times New Roman"/>
          <w:sz w:val="22"/>
        </w:rPr>
        <w:t xml:space="preserve">. Quality assessment of ATAC-Seq data, related to Figure 3. A. Fragment size distribution. B. Relative </w:t>
      </w:r>
      <w:r w:rsidR="00A714CE">
        <w:rPr>
          <w:rFonts w:ascii="Times New Roman" w:hAnsi="Times New Roman" w:cs="Times New Roman"/>
          <w:sz w:val="22"/>
        </w:rPr>
        <w:t>e</w:t>
      </w:r>
      <w:r w:rsidRPr="00E6247B">
        <w:rPr>
          <w:rFonts w:ascii="Times New Roman" w:hAnsi="Times New Roman" w:cs="Times New Roman"/>
          <w:sz w:val="22"/>
        </w:rPr>
        <w:t xml:space="preserve">nrichment of </w:t>
      </w:r>
      <w:r w:rsidR="00A714CE">
        <w:rPr>
          <w:rFonts w:ascii="Times New Roman" w:hAnsi="Times New Roman" w:cs="Times New Roman"/>
          <w:sz w:val="22"/>
        </w:rPr>
        <w:t>g</w:t>
      </w:r>
      <w:r w:rsidRPr="00E6247B">
        <w:rPr>
          <w:rFonts w:ascii="Times New Roman" w:hAnsi="Times New Roman" w:cs="Times New Roman"/>
          <w:sz w:val="22"/>
        </w:rPr>
        <w:t xml:space="preserve">enomic </w:t>
      </w:r>
      <w:r w:rsidR="00A714CE">
        <w:rPr>
          <w:rFonts w:ascii="Times New Roman" w:hAnsi="Times New Roman" w:cs="Times New Roman"/>
          <w:sz w:val="22"/>
        </w:rPr>
        <w:t>i</w:t>
      </w:r>
      <w:r w:rsidRPr="00E6247B">
        <w:rPr>
          <w:rFonts w:ascii="Times New Roman" w:hAnsi="Times New Roman" w:cs="Times New Roman"/>
          <w:sz w:val="22"/>
        </w:rPr>
        <w:t>ntervals. C. Correlation analysis. D. PCA analysis.</w:t>
      </w:r>
    </w:p>
    <w:p w14:paraId="7E50780B" w14:textId="77777777" w:rsidR="00AE2034" w:rsidRDefault="00AE2034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21649B87" w14:textId="285409B5" w:rsidR="00AE2034" w:rsidRPr="00E6247B" w:rsidRDefault="001A52DE" w:rsidP="00AE2034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3B052B1D" wp14:editId="28EBB094">
            <wp:extent cx="5273675" cy="5183230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6" b="25602"/>
                    <a:stretch/>
                  </pic:blipFill>
                  <pic:spPr bwMode="auto">
                    <a:xfrm>
                      <a:off x="0" y="0"/>
                      <a:ext cx="5274310" cy="518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D7CD2B" w14:textId="63175693" w:rsidR="00AE2034" w:rsidRPr="00123D66" w:rsidRDefault="00AE2034" w:rsidP="00AE2034">
      <w:pPr>
        <w:spacing w:line="360" w:lineRule="auto"/>
        <w:rPr>
          <w:rFonts w:ascii="Times New Roman" w:hAnsi="Times New Roman" w:cs="Times New Roman"/>
          <w:sz w:val="22"/>
        </w:rPr>
      </w:pPr>
      <w:r w:rsidRPr="00123D66">
        <w:rPr>
          <w:rFonts w:ascii="Times New Roman" w:hAnsi="Times New Roman" w:cs="Times New Roman"/>
          <w:b/>
          <w:bCs/>
          <w:sz w:val="22"/>
        </w:rPr>
        <w:t>Figure S3</w:t>
      </w:r>
      <w:r w:rsidRPr="00123D66">
        <w:rPr>
          <w:rFonts w:ascii="Times New Roman" w:hAnsi="Times New Roman" w:cs="Times New Roman"/>
          <w:sz w:val="22"/>
        </w:rPr>
        <w:t>. Association of expression levels and chromatin accessibility, related to Figure 3. A. Overlap of genes proximal to differentially accessible (DA) peaks and different</w:t>
      </w:r>
      <w:r w:rsidR="00532208" w:rsidRPr="00123D66">
        <w:rPr>
          <w:rFonts w:ascii="Times New Roman" w:hAnsi="Times New Roman" w:cs="Times New Roman"/>
          <w:sz w:val="22"/>
        </w:rPr>
        <w:t>ially</w:t>
      </w:r>
      <w:r w:rsidRPr="00123D66">
        <w:rPr>
          <w:rFonts w:ascii="Times New Roman" w:hAnsi="Times New Roman" w:cs="Times New Roman"/>
          <w:sz w:val="22"/>
        </w:rPr>
        <w:t xml:space="preserve"> expressed genes in HepLPC-P3 versus PHC (hypergeometric test p-value=</w:t>
      </w:r>
      <w:r w:rsidR="003E516E" w:rsidRPr="00123D66">
        <w:rPr>
          <w:rFonts w:ascii="Times New Roman" w:hAnsi="Times New Roman" w:cs="Times New Roman"/>
          <w:sz w:val="22"/>
        </w:rPr>
        <w:t>8.80 x10</w:t>
      </w:r>
      <w:r w:rsidR="003E516E" w:rsidRPr="00123D66">
        <w:rPr>
          <w:rFonts w:ascii="Times New Roman" w:hAnsi="Times New Roman" w:cs="Times New Roman"/>
          <w:sz w:val="22"/>
          <w:vertAlign w:val="superscript"/>
        </w:rPr>
        <w:t>-23</w:t>
      </w:r>
      <w:r w:rsidRPr="00123D66">
        <w:rPr>
          <w:rFonts w:ascii="Times New Roman" w:hAnsi="Times New Roman" w:cs="Times New Roman"/>
          <w:sz w:val="22"/>
        </w:rPr>
        <w:t xml:space="preserve">). B. Overlap of genes proximal to differentially accessible (DA) peaks and </w:t>
      </w:r>
      <w:r w:rsidR="00532208" w:rsidRPr="00123D66">
        <w:rPr>
          <w:rFonts w:ascii="Times New Roman" w:hAnsi="Times New Roman" w:cs="Times New Roman"/>
          <w:sz w:val="22"/>
        </w:rPr>
        <w:t>differentially</w:t>
      </w:r>
      <w:r w:rsidRPr="00123D66">
        <w:rPr>
          <w:rFonts w:ascii="Times New Roman" w:hAnsi="Times New Roman" w:cs="Times New Roman"/>
          <w:sz w:val="22"/>
        </w:rPr>
        <w:t xml:space="preserve"> expressed genes in HepLPC-P10 versus HepLPC-P3(hypergeometric test p-value=</w:t>
      </w:r>
      <w:r w:rsidR="003E516E" w:rsidRPr="00123D66">
        <w:rPr>
          <w:rFonts w:ascii="Times New Roman" w:hAnsi="Times New Roman" w:cs="Times New Roman"/>
          <w:sz w:val="22"/>
        </w:rPr>
        <w:t xml:space="preserve">2.04 </w:t>
      </w:r>
      <w:bookmarkStart w:id="0" w:name="_Hlk130217979"/>
      <w:r w:rsidR="003E516E" w:rsidRPr="00123D66">
        <w:rPr>
          <w:rFonts w:ascii="Times New Roman" w:hAnsi="Times New Roman" w:cs="Times New Roman"/>
          <w:sz w:val="22"/>
        </w:rPr>
        <w:t>x10</w:t>
      </w:r>
      <w:bookmarkEnd w:id="0"/>
      <w:r w:rsidR="003E516E" w:rsidRPr="00123D66">
        <w:rPr>
          <w:rFonts w:ascii="Times New Roman" w:hAnsi="Times New Roman" w:cs="Times New Roman"/>
          <w:sz w:val="22"/>
          <w:vertAlign w:val="superscript"/>
        </w:rPr>
        <w:t>-11</w:t>
      </w:r>
      <w:r w:rsidRPr="00123D66">
        <w:rPr>
          <w:rFonts w:ascii="Times New Roman" w:hAnsi="Times New Roman" w:cs="Times New Roman"/>
          <w:sz w:val="22"/>
        </w:rPr>
        <w:t xml:space="preserve">). C-D. Association of changes in chromatin accessibility and gene expression in (C)HepLPC-P3 versus PHC and (D) HepLPC-P10 versus HepLPC-P3 </w:t>
      </w:r>
      <w:r w:rsidR="00532208" w:rsidRPr="00123D66">
        <w:rPr>
          <w:rFonts w:ascii="Times New Roman" w:hAnsi="Times New Roman" w:cs="Times New Roman"/>
          <w:sz w:val="22"/>
        </w:rPr>
        <w:t>showed</w:t>
      </w:r>
      <w:r w:rsidRPr="00123D66">
        <w:rPr>
          <w:rFonts w:ascii="Times New Roman" w:hAnsi="Times New Roman" w:cs="Times New Roman"/>
          <w:sz w:val="22"/>
        </w:rPr>
        <w:t xml:space="preserve"> that promoter and </w:t>
      </w:r>
      <w:r w:rsidR="00E16DAF" w:rsidRPr="00123D66">
        <w:rPr>
          <w:rFonts w:ascii="Times New Roman" w:hAnsi="Times New Roman" w:cs="Times New Roman"/>
          <w:sz w:val="22"/>
        </w:rPr>
        <w:t>distal</w:t>
      </w:r>
      <w:r w:rsidRPr="00123D66">
        <w:rPr>
          <w:rFonts w:ascii="Times New Roman" w:hAnsi="Times New Roman" w:cs="Times New Roman"/>
          <w:sz w:val="22"/>
        </w:rPr>
        <w:t xml:space="preserve"> accessibility changes are </w:t>
      </w:r>
      <w:r w:rsidR="00532208" w:rsidRPr="00123D66">
        <w:rPr>
          <w:rFonts w:ascii="Times New Roman" w:hAnsi="Times New Roman" w:cs="Times New Roman"/>
          <w:sz w:val="22"/>
        </w:rPr>
        <w:t>associated with</w:t>
      </w:r>
      <w:r w:rsidRPr="00123D66">
        <w:rPr>
          <w:rFonts w:ascii="Times New Roman" w:hAnsi="Times New Roman" w:cs="Times New Roman"/>
          <w:sz w:val="22"/>
        </w:rPr>
        <w:t xml:space="preserve"> both gene activation and inhibition in HepLPC-P3 versus PHC (p&lt;2.20</w:t>
      </w:r>
      <w:r w:rsidR="003E516E" w:rsidRPr="00123D66">
        <w:rPr>
          <w:rFonts w:ascii="Times New Roman" w:hAnsi="Times New Roman" w:cs="Times New Roman"/>
          <w:sz w:val="22"/>
        </w:rPr>
        <w:t>x10</w:t>
      </w:r>
      <w:r w:rsidR="003E516E" w:rsidRPr="00123D66">
        <w:rPr>
          <w:rFonts w:ascii="Times New Roman" w:hAnsi="Times New Roman" w:cs="Times New Roman"/>
          <w:sz w:val="22"/>
          <w:vertAlign w:val="superscript"/>
        </w:rPr>
        <w:t>-16</w:t>
      </w:r>
      <w:r w:rsidRPr="00123D66">
        <w:rPr>
          <w:rFonts w:ascii="Times New Roman" w:hAnsi="Times New Roman" w:cs="Times New Roman"/>
          <w:sz w:val="22"/>
        </w:rPr>
        <w:t xml:space="preserve">), </w:t>
      </w:r>
      <w:r w:rsidR="00532208" w:rsidRPr="00123D66">
        <w:rPr>
          <w:rFonts w:ascii="Times New Roman" w:hAnsi="Times New Roman" w:cs="Times New Roman"/>
          <w:sz w:val="22"/>
        </w:rPr>
        <w:t>whereas</w:t>
      </w:r>
      <w:r w:rsidRPr="00123D66">
        <w:rPr>
          <w:rFonts w:ascii="Times New Roman" w:hAnsi="Times New Roman" w:cs="Times New Roman"/>
          <w:sz w:val="22"/>
        </w:rPr>
        <w:t xml:space="preserve"> only increased promoter (p=</w:t>
      </w:r>
      <w:bookmarkStart w:id="1" w:name="_Hlk130218156"/>
      <w:r w:rsidR="0082683D" w:rsidRPr="00123D66">
        <w:rPr>
          <w:rFonts w:ascii="Times New Roman" w:hAnsi="Times New Roman" w:cs="Times New Roman"/>
          <w:sz w:val="22"/>
        </w:rPr>
        <w:t>1.02 x10</w:t>
      </w:r>
      <w:r w:rsidR="0082683D" w:rsidRPr="00123D66">
        <w:rPr>
          <w:rFonts w:ascii="Times New Roman" w:hAnsi="Times New Roman" w:cs="Times New Roman"/>
          <w:sz w:val="22"/>
          <w:vertAlign w:val="superscript"/>
        </w:rPr>
        <w:t>-6</w:t>
      </w:r>
      <w:bookmarkEnd w:id="1"/>
      <w:r w:rsidRPr="00123D66">
        <w:rPr>
          <w:rFonts w:ascii="Times New Roman" w:hAnsi="Times New Roman" w:cs="Times New Roman"/>
          <w:sz w:val="22"/>
        </w:rPr>
        <w:t xml:space="preserve">) and </w:t>
      </w:r>
      <w:r w:rsidR="00E16DAF" w:rsidRPr="00123D66">
        <w:rPr>
          <w:rFonts w:ascii="Times New Roman" w:hAnsi="Times New Roman" w:cs="Times New Roman"/>
          <w:sz w:val="22"/>
        </w:rPr>
        <w:t>distal</w:t>
      </w:r>
      <w:r w:rsidRPr="00123D66">
        <w:rPr>
          <w:rFonts w:ascii="Times New Roman" w:hAnsi="Times New Roman" w:cs="Times New Roman"/>
          <w:sz w:val="22"/>
        </w:rPr>
        <w:t xml:space="preserve"> accessibility (p=</w:t>
      </w:r>
      <w:r w:rsidR="0082683D" w:rsidRPr="00123D66">
        <w:rPr>
          <w:rFonts w:ascii="Times New Roman" w:hAnsi="Times New Roman" w:cs="Times New Roman"/>
          <w:sz w:val="22"/>
        </w:rPr>
        <w:t>8.81 x10</w:t>
      </w:r>
      <w:r w:rsidR="0082683D" w:rsidRPr="00123D66">
        <w:rPr>
          <w:rFonts w:ascii="Times New Roman" w:hAnsi="Times New Roman" w:cs="Times New Roman"/>
          <w:sz w:val="22"/>
          <w:vertAlign w:val="superscript"/>
        </w:rPr>
        <w:t>-5</w:t>
      </w:r>
      <w:r w:rsidRPr="00123D66">
        <w:rPr>
          <w:rFonts w:ascii="Times New Roman" w:hAnsi="Times New Roman" w:cs="Times New Roman"/>
          <w:sz w:val="22"/>
        </w:rPr>
        <w:t xml:space="preserve">) is correlated significantly with increased </w:t>
      </w:r>
      <w:r w:rsidR="00532208" w:rsidRPr="00123D66">
        <w:rPr>
          <w:rFonts w:ascii="Times New Roman" w:hAnsi="Times New Roman" w:cs="Times New Roman"/>
          <w:sz w:val="22"/>
        </w:rPr>
        <w:t>gene expression</w:t>
      </w:r>
      <w:r w:rsidRPr="00123D66">
        <w:rPr>
          <w:rFonts w:ascii="Times New Roman" w:hAnsi="Times New Roman" w:cs="Times New Roman"/>
          <w:sz w:val="22"/>
        </w:rPr>
        <w:t xml:space="preserve"> in HepLPC-P10 versus HepLPC-P3.</w:t>
      </w:r>
    </w:p>
    <w:p w14:paraId="3D4DED1A" w14:textId="0C833A08" w:rsidR="00D34F3C" w:rsidRDefault="00276E1A" w:rsidP="00D34F3C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215601FA" wp14:editId="7EDDC8A1">
            <wp:extent cx="5274143" cy="6058511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3" b="12368"/>
                    <a:stretch/>
                  </pic:blipFill>
                  <pic:spPr bwMode="auto">
                    <a:xfrm>
                      <a:off x="0" y="0"/>
                      <a:ext cx="5274310" cy="6058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69E78" w14:textId="48FAE736" w:rsidR="00AE2034" w:rsidRPr="00123D66" w:rsidRDefault="00AE2034" w:rsidP="00AE2034">
      <w:pPr>
        <w:spacing w:line="360" w:lineRule="auto"/>
        <w:rPr>
          <w:rFonts w:ascii="Times New Roman" w:hAnsi="Times New Roman" w:cs="Times New Roman"/>
          <w:sz w:val="22"/>
        </w:rPr>
      </w:pPr>
      <w:r w:rsidRPr="00123D66">
        <w:rPr>
          <w:rFonts w:ascii="Times New Roman" w:hAnsi="Times New Roman" w:cs="Times New Roman"/>
          <w:b/>
          <w:bCs/>
          <w:sz w:val="22"/>
        </w:rPr>
        <w:t>Figure S4</w:t>
      </w:r>
      <w:r w:rsidRPr="00123D66">
        <w:rPr>
          <w:rFonts w:ascii="Times New Roman" w:hAnsi="Times New Roman" w:cs="Times New Roman"/>
          <w:sz w:val="22"/>
        </w:rPr>
        <w:t xml:space="preserve">. GO-BP analysis of genes with significantly differential </w:t>
      </w:r>
      <w:r w:rsidR="001E38CF" w:rsidRPr="00123D66">
        <w:rPr>
          <w:rFonts w:ascii="Times New Roman" w:hAnsi="Times New Roman" w:cs="Times New Roman"/>
          <w:sz w:val="22"/>
        </w:rPr>
        <w:t>distal</w:t>
      </w:r>
      <w:r w:rsidRPr="00123D66">
        <w:rPr>
          <w:rFonts w:ascii="Times New Roman" w:hAnsi="Times New Roman" w:cs="Times New Roman"/>
          <w:sz w:val="22"/>
        </w:rPr>
        <w:t xml:space="preserve"> accessibility among different cell states, related to Figure 4-5.</w:t>
      </w:r>
      <w:r w:rsidR="005E685C" w:rsidRPr="00123D66">
        <w:rPr>
          <w:rFonts w:ascii="Times New Roman" w:hAnsi="Times New Roman" w:cs="Times New Roman"/>
          <w:sz w:val="22"/>
        </w:rPr>
        <w:t xml:space="preserve"> </w:t>
      </w:r>
      <w:r w:rsidRPr="00123D66">
        <w:rPr>
          <w:rFonts w:ascii="Times New Roman" w:hAnsi="Times New Roman" w:cs="Times New Roman"/>
          <w:sz w:val="22"/>
        </w:rPr>
        <w:t xml:space="preserve">A. GO-BP enrichment analysis </w:t>
      </w:r>
      <w:r w:rsidR="00BF67A3" w:rsidRPr="00123D66">
        <w:rPr>
          <w:rFonts w:ascii="Times New Roman" w:hAnsi="Times New Roman" w:cs="Times New Roman"/>
          <w:sz w:val="22"/>
        </w:rPr>
        <w:t>of</w:t>
      </w:r>
      <w:r w:rsidRPr="00123D66">
        <w:rPr>
          <w:rFonts w:ascii="Times New Roman" w:hAnsi="Times New Roman" w:cs="Times New Roman"/>
          <w:sz w:val="22"/>
        </w:rPr>
        <w:t xml:space="preserve"> genes with increased distal</w:t>
      </w:r>
      <w:r w:rsidR="001E38CF" w:rsidRPr="00123D66">
        <w:rPr>
          <w:rFonts w:ascii="Times New Roman" w:hAnsi="Times New Roman" w:cs="Times New Roman"/>
          <w:sz w:val="22"/>
        </w:rPr>
        <w:t xml:space="preserve"> </w:t>
      </w:r>
      <w:r w:rsidRPr="00123D66">
        <w:rPr>
          <w:rFonts w:ascii="Times New Roman" w:hAnsi="Times New Roman" w:cs="Times New Roman"/>
          <w:sz w:val="22"/>
        </w:rPr>
        <w:t xml:space="preserve">accessibility in both HepLPC-P3 and HepLPC-P10 indicated that processes related to cell migration and </w:t>
      </w:r>
      <w:r w:rsidR="00276E1A" w:rsidRPr="00123D66">
        <w:rPr>
          <w:rFonts w:ascii="Times New Roman" w:hAnsi="Times New Roman" w:cs="Times New Roman"/>
          <w:sz w:val="22"/>
        </w:rPr>
        <w:t xml:space="preserve">cell-cell signaling by </w:t>
      </w:r>
      <w:proofErr w:type="spellStart"/>
      <w:r w:rsidR="00276E1A" w:rsidRPr="00123D66">
        <w:rPr>
          <w:rFonts w:ascii="Times New Roman" w:hAnsi="Times New Roman" w:cs="Times New Roman"/>
          <w:sz w:val="22"/>
        </w:rPr>
        <w:t>wnt</w:t>
      </w:r>
      <w:proofErr w:type="spellEnd"/>
      <w:r w:rsidRPr="00123D66">
        <w:rPr>
          <w:rFonts w:ascii="Times New Roman" w:hAnsi="Times New Roman" w:cs="Times New Roman"/>
          <w:sz w:val="22"/>
        </w:rPr>
        <w:t xml:space="preserve"> were enriched. B. GO-BP enrichment analysis </w:t>
      </w:r>
      <w:r w:rsidR="00025E2F" w:rsidRPr="00123D66">
        <w:rPr>
          <w:rFonts w:ascii="Times New Roman" w:hAnsi="Times New Roman" w:cs="Times New Roman"/>
          <w:sz w:val="22"/>
        </w:rPr>
        <w:t>of</w:t>
      </w:r>
      <w:r w:rsidRPr="00123D66">
        <w:rPr>
          <w:rFonts w:ascii="Times New Roman" w:hAnsi="Times New Roman" w:cs="Times New Roman"/>
          <w:sz w:val="22"/>
        </w:rPr>
        <w:t xml:space="preserve"> genes with increased distal</w:t>
      </w:r>
      <w:r w:rsidR="001E38CF" w:rsidRPr="00123D66">
        <w:rPr>
          <w:rFonts w:ascii="Times New Roman" w:hAnsi="Times New Roman" w:cs="Times New Roman"/>
          <w:sz w:val="22"/>
        </w:rPr>
        <w:t xml:space="preserve"> </w:t>
      </w:r>
      <w:r w:rsidRPr="00123D66">
        <w:rPr>
          <w:rFonts w:ascii="Times New Roman" w:hAnsi="Times New Roman" w:cs="Times New Roman"/>
          <w:sz w:val="22"/>
        </w:rPr>
        <w:t xml:space="preserve">accessibility in HepLPC-P3 </w:t>
      </w:r>
      <w:r w:rsidR="005E685C" w:rsidRPr="00123D66">
        <w:rPr>
          <w:rFonts w:ascii="Times New Roman" w:hAnsi="Times New Roman" w:cs="Times New Roman" w:hint="eastAsia"/>
          <w:sz w:val="22"/>
        </w:rPr>
        <w:t>compar</w:t>
      </w:r>
      <w:r w:rsidR="00025E2F" w:rsidRPr="00123D66">
        <w:rPr>
          <w:rFonts w:ascii="Times New Roman" w:hAnsi="Times New Roman" w:cs="Times New Roman"/>
          <w:sz w:val="22"/>
        </w:rPr>
        <w:t>ed</w:t>
      </w:r>
      <w:r w:rsidR="005E685C" w:rsidRPr="00123D66">
        <w:rPr>
          <w:rFonts w:ascii="Times New Roman" w:hAnsi="Times New Roman" w:cs="Times New Roman"/>
          <w:sz w:val="22"/>
        </w:rPr>
        <w:t xml:space="preserve"> to PHCs and HepLPC-P10 </w:t>
      </w:r>
      <w:r w:rsidRPr="00123D66">
        <w:rPr>
          <w:rFonts w:ascii="Times New Roman" w:hAnsi="Times New Roman" w:cs="Times New Roman"/>
          <w:sz w:val="22"/>
        </w:rPr>
        <w:t xml:space="preserve">indicated that processes related to cell migration were up-regulated. C. </w:t>
      </w:r>
      <w:bookmarkStart w:id="2" w:name="_Hlk129080592"/>
      <w:r w:rsidRPr="00123D66">
        <w:rPr>
          <w:rFonts w:ascii="Times New Roman" w:hAnsi="Times New Roman" w:cs="Times New Roman"/>
          <w:sz w:val="22"/>
        </w:rPr>
        <w:t xml:space="preserve">GO-BP enrichment analysis </w:t>
      </w:r>
      <w:r w:rsidR="00025E2F" w:rsidRPr="00123D66">
        <w:rPr>
          <w:rFonts w:ascii="Times New Roman" w:hAnsi="Times New Roman" w:cs="Times New Roman"/>
          <w:sz w:val="22"/>
        </w:rPr>
        <w:t>of</w:t>
      </w:r>
      <w:r w:rsidRPr="00123D66">
        <w:rPr>
          <w:rFonts w:ascii="Times New Roman" w:hAnsi="Times New Roman" w:cs="Times New Roman"/>
          <w:sz w:val="22"/>
        </w:rPr>
        <w:t xml:space="preserve"> genes with decreased distal</w:t>
      </w:r>
      <w:r w:rsidR="001E38CF" w:rsidRPr="00123D66">
        <w:rPr>
          <w:rFonts w:ascii="Times New Roman" w:hAnsi="Times New Roman" w:cs="Times New Roman"/>
          <w:sz w:val="22"/>
        </w:rPr>
        <w:t xml:space="preserve"> </w:t>
      </w:r>
      <w:r w:rsidRPr="00123D66">
        <w:rPr>
          <w:rFonts w:ascii="Times New Roman" w:hAnsi="Times New Roman" w:cs="Times New Roman"/>
          <w:sz w:val="22"/>
        </w:rPr>
        <w:t xml:space="preserve">accessibility in HepLPC-P3 </w:t>
      </w:r>
      <w:r w:rsidR="005E685C" w:rsidRPr="00123D66">
        <w:rPr>
          <w:rFonts w:ascii="Times New Roman" w:hAnsi="Times New Roman" w:cs="Times New Roman" w:hint="eastAsia"/>
          <w:sz w:val="22"/>
        </w:rPr>
        <w:t>compar</w:t>
      </w:r>
      <w:r w:rsidR="00025E2F" w:rsidRPr="00123D66">
        <w:rPr>
          <w:rFonts w:ascii="Times New Roman" w:hAnsi="Times New Roman" w:cs="Times New Roman"/>
          <w:sz w:val="22"/>
        </w:rPr>
        <w:t>ed</w:t>
      </w:r>
      <w:r w:rsidR="005E685C" w:rsidRPr="00123D66">
        <w:rPr>
          <w:rFonts w:ascii="Times New Roman" w:hAnsi="Times New Roman" w:cs="Times New Roman"/>
          <w:sz w:val="22"/>
        </w:rPr>
        <w:t xml:space="preserve"> to PHCs and HepLPC-P10 </w:t>
      </w:r>
      <w:r w:rsidRPr="00123D66">
        <w:rPr>
          <w:rFonts w:ascii="Times New Roman" w:hAnsi="Times New Roman" w:cs="Times New Roman"/>
          <w:sz w:val="22"/>
        </w:rPr>
        <w:t xml:space="preserve">indicated that processes of cell differentiation </w:t>
      </w:r>
      <w:r w:rsidR="00276E1A" w:rsidRPr="00123D66">
        <w:rPr>
          <w:rFonts w:ascii="Times New Roman" w:hAnsi="Times New Roman" w:cs="Times New Roman"/>
          <w:sz w:val="22"/>
        </w:rPr>
        <w:t xml:space="preserve">and cell growth </w:t>
      </w:r>
      <w:r w:rsidRPr="00123D66">
        <w:rPr>
          <w:rFonts w:ascii="Times New Roman" w:hAnsi="Times New Roman" w:cs="Times New Roman"/>
          <w:sz w:val="22"/>
        </w:rPr>
        <w:t>were down</w:t>
      </w:r>
      <w:r w:rsidR="00025E2F" w:rsidRPr="00123D66">
        <w:rPr>
          <w:rFonts w:ascii="Times New Roman" w:hAnsi="Times New Roman" w:cs="Times New Roman"/>
          <w:sz w:val="22"/>
        </w:rPr>
        <w:t>-</w:t>
      </w:r>
      <w:r w:rsidRPr="00123D66">
        <w:rPr>
          <w:rFonts w:ascii="Times New Roman" w:hAnsi="Times New Roman" w:cs="Times New Roman"/>
          <w:sz w:val="22"/>
        </w:rPr>
        <w:t>regulated.</w:t>
      </w:r>
      <w:bookmarkEnd w:id="2"/>
    </w:p>
    <w:p w14:paraId="1FA64092" w14:textId="0F08B5CB" w:rsidR="00AE2034" w:rsidRPr="00123D66" w:rsidRDefault="00AE2034" w:rsidP="00AE2034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2DFB3687" wp14:editId="15FF4D43">
            <wp:extent cx="5274310" cy="7460615"/>
            <wp:effectExtent l="0" t="0" r="254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D66">
        <w:rPr>
          <w:rFonts w:ascii="Times New Roman" w:hAnsi="Times New Roman" w:cs="Times New Roman"/>
          <w:b/>
          <w:bCs/>
          <w:sz w:val="22"/>
        </w:rPr>
        <w:t>Figure S5</w:t>
      </w:r>
      <w:r w:rsidRPr="00123D66">
        <w:rPr>
          <w:rFonts w:ascii="Times New Roman" w:hAnsi="Times New Roman" w:cs="Times New Roman"/>
          <w:sz w:val="22"/>
        </w:rPr>
        <w:t xml:space="preserve"> Protein-protein interaction networks of TFs. A. Interaction network of TFs in Figure 5</w:t>
      </w:r>
      <w:r w:rsidR="000F5FFF" w:rsidRPr="00123D66">
        <w:rPr>
          <w:rFonts w:ascii="Times New Roman" w:hAnsi="Times New Roman" w:cs="Times New Roman"/>
          <w:sz w:val="22"/>
        </w:rPr>
        <w:t>D</w:t>
      </w:r>
      <w:r w:rsidRPr="00123D66">
        <w:rPr>
          <w:rFonts w:ascii="Times New Roman" w:hAnsi="Times New Roman" w:cs="Times New Roman"/>
          <w:sz w:val="22"/>
        </w:rPr>
        <w:t xml:space="preserve">. B. Interaction network of </w:t>
      </w:r>
      <w:r w:rsidR="00245483" w:rsidRPr="00123D66">
        <w:rPr>
          <w:rFonts w:ascii="Times New Roman" w:hAnsi="Times New Roman" w:cs="Times New Roman"/>
          <w:sz w:val="22"/>
        </w:rPr>
        <w:t>core TFs (with high confidence 0.700)</w:t>
      </w:r>
      <w:r w:rsidRPr="00123D66">
        <w:rPr>
          <w:rFonts w:ascii="Times New Roman" w:hAnsi="Times New Roman" w:cs="Times New Roman"/>
          <w:sz w:val="22"/>
        </w:rPr>
        <w:t xml:space="preserve"> in A and SASP factors in Figure 2E.</w:t>
      </w:r>
      <w:r w:rsidR="00A7497F" w:rsidRPr="00123D66">
        <w:rPr>
          <w:rFonts w:ascii="Times New Roman" w:hAnsi="Times New Roman" w:cs="Times New Roman"/>
          <w:sz w:val="22"/>
        </w:rPr>
        <w:t xml:space="preserve"> (The line thickness of the edge indicates the strength of data to support the interactions.)</w:t>
      </w:r>
    </w:p>
    <w:p w14:paraId="7A4095CB" w14:textId="4B8CC9BC" w:rsidR="00142BEB" w:rsidRDefault="00DF51C8" w:rsidP="00AE203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323FE65" wp14:editId="66ACFA25">
            <wp:extent cx="5273894" cy="5476620"/>
            <wp:effectExtent l="0" t="0" r="317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4" b="1421"/>
                    <a:stretch/>
                  </pic:blipFill>
                  <pic:spPr bwMode="auto">
                    <a:xfrm>
                      <a:off x="0" y="0"/>
                      <a:ext cx="5274310" cy="5477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26B59B" w14:textId="17E1D579" w:rsidR="00142BEB" w:rsidRPr="00DF51C8" w:rsidRDefault="00142BEB" w:rsidP="00DF51C8">
      <w:pPr>
        <w:spacing w:line="360" w:lineRule="auto"/>
        <w:rPr>
          <w:rFonts w:ascii="Times New Roman" w:hAnsi="Times New Roman" w:cs="Times New Roman"/>
          <w:color w:val="FF0000"/>
          <w:sz w:val="22"/>
        </w:rPr>
      </w:pPr>
      <w:r w:rsidRPr="00123D66">
        <w:rPr>
          <w:rFonts w:ascii="Times New Roman" w:hAnsi="Times New Roman" w:cs="Times New Roman"/>
          <w:b/>
          <w:bCs/>
          <w:sz w:val="22"/>
        </w:rPr>
        <w:t>Figure S6</w:t>
      </w:r>
      <w:r w:rsidRPr="00123D66">
        <w:rPr>
          <w:rFonts w:ascii="Times New Roman" w:hAnsi="Times New Roman" w:cs="Times New Roman"/>
          <w:sz w:val="22"/>
        </w:rPr>
        <w:t xml:space="preserve"> Functional analysis of DEGs between sh-FOSL2 affected HepLPC-P10 and ctrl HepLPC-P10, related to Figure 6. A. GO-BP enrichment analysis of up-regulated</w:t>
      </w:r>
      <w:r w:rsidR="004C44AF" w:rsidRPr="00123D66">
        <w:rPr>
          <w:rFonts w:ascii="Times New Roman" w:hAnsi="Times New Roman" w:cs="Times New Roman"/>
          <w:sz w:val="22"/>
        </w:rPr>
        <w:t xml:space="preserve"> genes</w:t>
      </w:r>
      <w:r w:rsidRPr="00123D66">
        <w:rPr>
          <w:rFonts w:ascii="Times New Roman" w:hAnsi="Times New Roman" w:cs="Times New Roman"/>
          <w:sz w:val="22"/>
        </w:rPr>
        <w:t xml:space="preserve"> in sh-FOSL2 affected HepLPC-P10 showed that development</w:t>
      </w:r>
      <w:r w:rsidR="0072441A" w:rsidRPr="00123D66">
        <w:rPr>
          <w:rFonts w:ascii="Times New Roman" w:hAnsi="Times New Roman" w:cs="Times New Roman"/>
          <w:sz w:val="22"/>
        </w:rPr>
        <w:t>al</w:t>
      </w:r>
      <w:r w:rsidRPr="00123D66">
        <w:rPr>
          <w:rFonts w:ascii="Times New Roman" w:hAnsi="Times New Roman" w:cs="Times New Roman"/>
          <w:sz w:val="22"/>
        </w:rPr>
        <w:t xml:space="preserve"> related pathways were enriched. B. GO-BP enrichment analysis of down-regulated </w:t>
      </w:r>
      <w:r w:rsidR="004C44AF" w:rsidRPr="00123D66">
        <w:rPr>
          <w:rFonts w:ascii="Times New Roman" w:hAnsi="Times New Roman" w:cs="Times New Roman"/>
          <w:sz w:val="22"/>
        </w:rPr>
        <w:t xml:space="preserve">genes </w:t>
      </w:r>
      <w:r w:rsidRPr="00123D66">
        <w:rPr>
          <w:rFonts w:ascii="Times New Roman" w:hAnsi="Times New Roman" w:cs="Times New Roman"/>
          <w:sz w:val="22"/>
        </w:rPr>
        <w:t xml:space="preserve">in sh-FOSL2 affected HepLPC-P10 showed that </w:t>
      </w:r>
      <w:r w:rsidR="00BE1A01" w:rsidRPr="00123D66">
        <w:rPr>
          <w:rFonts w:ascii="Times New Roman" w:hAnsi="Times New Roman" w:cs="Times New Roman"/>
          <w:sz w:val="22"/>
        </w:rPr>
        <w:t>inflammatory-related</w:t>
      </w:r>
      <w:r w:rsidRPr="00123D66">
        <w:rPr>
          <w:rFonts w:ascii="Times New Roman" w:hAnsi="Times New Roman" w:cs="Times New Roman"/>
          <w:sz w:val="22"/>
        </w:rPr>
        <w:t xml:space="preserve"> pathways were enriched. (red = up-regulated; blue = down-regulated). C. </w:t>
      </w:r>
      <w:r w:rsidR="001A0004" w:rsidRPr="00123D66">
        <w:rPr>
          <w:rFonts w:ascii="Times New Roman" w:hAnsi="Times New Roman" w:cs="Times New Roman"/>
          <w:sz w:val="22"/>
        </w:rPr>
        <w:t xml:space="preserve">Gene set enrichment analysis (GSEA) </w:t>
      </w:r>
      <w:r w:rsidR="0072441A" w:rsidRPr="00123D66">
        <w:rPr>
          <w:rFonts w:ascii="Times New Roman" w:hAnsi="Times New Roman" w:cs="Times New Roman"/>
          <w:sz w:val="22"/>
        </w:rPr>
        <w:t>showed</w:t>
      </w:r>
      <w:r w:rsidR="001A0004" w:rsidRPr="00123D66">
        <w:rPr>
          <w:rFonts w:ascii="Times New Roman" w:hAnsi="Times New Roman" w:cs="Times New Roman"/>
          <w:sz w:val="22"/>
        </w:rPr>
        <w:t xml:space="preserve"> that processes related to innate immune response, inflammatory response, and interleukin 6 production were repressed in sh-FOSL2 affected HepLPC-P10.</w:t>
      </w:r>
      <w:r w:rsidR="00C16593" w:rsidRPr="00123D66">
        <w:rPr>
          <w:rFonts w:ascii="Times New Roman" w:hAnsi="Times New Roman" w:cs="Times New Roman"/>
          <w:sz w:val="22"/>
        </w:rPr>
        <w:t xml:space="preserve"> D. Number of regions with significantly different accessibility between FOSL2 affected HepLPC-P10 and ctrl HepLPC-P10(FDR&lt;=0.05).</w:t>
      </w:r>
      <w:r w:rsidR="00634BB3" w:rsidRPr="00123D66">
        <w:rPr>
          <w:rFonts w:ascii="Times New Roman" w:hAnsi="Times New Roman" w:cs="Times New Roman"/>
          <w:sz w:val="22"/>
        </w:rPr>
        <w:t xml:space="preserve"> E. GO-BP enrichment analysis of genes with decreased promoter and distal accessibility in FOSL2 affected HepLPC-P10 compared to ctrl HepLPC-P10.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807F70E" w14:textId="3B4CC4CD" w:rsidR="00AE2034" w:rsidRPr="00E6247B" w:rsidRDefault="00AE2034" w:rsidP="00AE203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247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 Tables</w:t>
      </w:r>
    </w:p>
    <w:p w14:paraId="749DC201" w14:textId="77777777" w:rsidR="00AE2034" w:rsidRPr="00E6247B" w:rsidRDefault="00AE2034" w:rsidP="005A433B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E6247B">
        <w:rPr>
          <w:rFonts w:ascii="Times New Roman" w:hAnsi="Times New Roman" w:cs="Times New Roman"/>
          <w:b/>
          <w:bCs/>
          <w:sz w:val="22"/>
        </w:rPr>
        <w:t>Table S1</w:t>
      </w:r>
      <w:r w:rsidRPr="00E6247B">
        <w:rPr>
          <w:rFonts w:ascii="Times New Roman" w:hAnsi="Times New Roman" w:cs="Times New Roman"/>
          <w:sz w:val="22"/>
        </w:rPr>
        <w:t xml:space="preserve"> Primer sequences used for RT-qPCR</w:t>
      </w:r>
    </w:p>
    <w:tbl>
      <w:tblPr>
        <w:tblStyle w:val="a7"/>
        <w:tblW w:w="917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3935"/>
        <w:gridCol w:w="3934"/>
      </w:tblGrid>
      <w:tr w:rsidR="005A433B" w:rsidRPr="00301432" w14:paraId="07E39644" w14:textId="77777777" w:rsidTr="005A433B">
        <w:trPr>
          <w:jc w:val="center"/>
        </w:trPr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2FFA1C1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enes</w:t>
            </w:r>
          </w:p>
        </w:tc>
        <w:tc>
          <w:tcPr>
            <w:tcW w:w="3935" w:type="dxa"/>
            <w:tcBorders>
              <w:top w:val="single" w:sz="4" w:space="0" w:color="auto"/>
              <w:bottom w:val="single" w:sz="4" w:space="0" w:color="auto"/>
            </w:tcBorders>
          </w:tcPr>
          <w:p w14:paraId="43ED3ADC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 xml:space="preserve">orward </w:t>
            </w:r>
            <w:proofErr w:type="gramStart"/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Primer(</w:t>
            </w:r>
            <w:proofErr w:type="gramEnd"/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5’-&gt;3’)</w:t>
            </w:r>
          </w:p>
        </w:tc>
        <w:tc>
          <w:tcPr>
            <w:tcW w:w="3934" w:type="dxa"/>
            <w:tcBorders>
              <w:top w:val="single" w:sz="4" w:space="0" w:color="auto"/>
              <w:bottom w:val="single" w:sz="4" w:space="0" w:color="auto"/>
            </w:tcBorders>
          </w:tcPr>
          <w:p w14:paraId="7EF7EA47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 xml:space="preserve">everse </w:t>
            </w:r>
            <w:proofErr w:type="gramStart"/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Primer(</w:t>
            </w:r>
            <w:proofErr w:type="gramEnd"/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5’-&gt;3’)</w:t>
            </w:r>
          </w:p>
        </w:tc>
      </w:tr>
      <w:tr w:rsidR="005A433B" w:rsidRPr="00301432" w14:paraId="63B411AB" w14:textId="77777777" w:rsidTr="005A433B">
        <w:trPr>
          <w:jc w:val="center"/>
        </w:trPr>
        <w:tc>
          <w:tcPr>
            <w:tcW w:w="1310" w:type="dxa"/>
            <w:tcBorders>
              <w:top w:val="single" w:sz="4" w:space="0" w:color="auto"/>
            </w:tcBorders>
          </w:tcPr>
          <w:p w14:paraId="4108548B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PCAM</w:t>
            </w:r>
          </w:p>
        </w:tc>
        <w:tc>
          <w:tcPr>
            <w:tcW w:w="3935" w:type="dxa"/>
            <w:tcBorders>
              <w:top w:val="single" w:sz="4" w:space="0" w:color="auto"/>
            </w:tcBorders>
          </w:tcPr>
          <w:p w14:paraId="77A027EB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AATCGTCAATGCCAGTGTACTT</w:t>
            </w:r>
          </w:p>
        </w:tc>
        <w:tc>
          <w:tcPr>
            <w:tcW w:w="3934" w:type="dxa"/>
            <w:tcBorders>
              <w:top w:val="single" w:sz="4" w:space="0" w:color="auto"/>
            </w:tcBorders>
          </w:tcPr>
          <w:p w14:paraId="562850E4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TCTCATCGCAGTCAGGATCATAA</w:t>
            </w:r>
          </w:p>
        </w:tc>
      </w:tr>
      <w:tr w:rsidR="005A433B" w:rsidRPr="00301432" w14:paraId="6468548B" w14:textId="77777777" w:rsidTr="005A433B">
        <w:trPr>
          <w:jc w:val="center"/>
        </w:trPr>
        <w:tc>
          <w:tcPr>
            <w:tcW w:w="1310" w:type="dxa"/>
          </w:tcPr>
          <w:p w14:paraId="0E16BAF8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K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RT19</w:t>
            </w:r>
          </w:p>
        </w:tc>
        <w:tc>
          <w:tcPr>
            <w:tcW w:w="3935" w:type="dxa"/>
          </w:tcPr>
          <w:p w14:paraId="190F7A83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AACGGCGAGCTAGAGGTGA</w:t>
            </w:r>
          </w:p>
        </w:tc>
        <w:tc>
          <w:tcPr>
            <w:tcW w:w="3934" w:type="dxa"/>
          </w:tcPr>
          <w:p w14:paraId="01DBB2D5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GGATGGTCGTGTAGTAGTGGC</w:t>
            </w:r>
          </w:p>
        </w:tc>
      </w:tr>
      <w:tr w:rsidR="005A433B" w:rsidRPr="00301432" w14:paraId="681C208F" w14:textId="77777777" w:rsidTr="005A433B">
        <w:trPr>
          <w:jc w:val="center"/>
        </w:trPr>
        <w:tc>
          <w:tcPr>
            <w:tcW w:w="1310" w:type="dxa"/>
          </w:tcPr>
          <w:p w14:paraId="11803710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L6</w:t>
            </w:r>
          </w:p>
        </w:tc>
        <w:tc>
          <w:tcPr>
            <w:tcW w:w="3935" w:type="dxa"/>
          </w:tcPr>
          <w:p w14:paraId="7ECD0DC4" w14:textId="77777777" w:rsidR="005A433B" w:rsidRPr="00301432" w:rsidRDefault="005A433B" w:rsidP="00AA7FA2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ACTCACCTCTTCAGAACGAATTG</w:t>
            </w:r>
          </w:p>
        </w:tc>
        <w:tc>
          <w:tcPr>
            <w:tcW w:w="3934" w:type="dxa"/>
          </w:tcPr>
          <w:p w14:paraId="1B9617CF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CCATCTTTGGAAGGTTCAGGTTG</w:t>
            </w:r>
          </w:p>
        </w:tc>
      </w:tr>
      <w:tr w:rsidR="005A433B" w:rsidRPr="00301432" w14:paraId="635BAD67" w14:textId="77777777" w:rsidTr="005A433B">
        <w:trPr>
          <w:jc w:val="center"/>
        </w:trPr>
        <w:tc>
          <w:tcPr>
            <w:tcW w:w="1310" w:type="dxa"/>
          </w:tcPr>
          <w:p w14:paraId="1A1A0F47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ERPINE1</w:t>
            </w:r>
          </w:p>
        </w:tc>
        <w:tc>
          <w:tcPr>
            <w:tcW w:w="3935" w:type="dxa"/>
          </w:tcPr>
          <w:p w14:paraId="74C8DDE6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ACCGCAACGTGGTTTTCTCA</w:t>
            </w:r>
          </w:p>
        </w:tc>
        <w:tc>
          <w:tcPr>
            <w:tcW w:w="3934" w:type="dxa"/>
          </w:tcPr>
          <w:p w14:paraId="58F5A8DB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TTGAATCCCATAGCTGCTTGAAT</w:t>
            </w:r>
          </w:p>
        </w:tc>
      </w:tr>
      <w:tr w:rsidR="005A433B" w:rsidRPr="00301432" w14:paraId="40DC8174" w14:textId="77777777" w:rsidTr="005A433B">
        <w:trPr>
          <w:jc w:val="center"/>
        </w:trPr>
        <w:tc>
          <w:tcPr>
            <w:tcW w:w="1310" w:type="dxa"/>
          </w:tcPr>
          <w:p w14:paraId="4F182C12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935" w:type="dxa"/>
          </w:tcPr>
          <w:p w14:paraId="6D5F9EB4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CAGCACATGACGGAGGTTGT</w:t>
            </w:r>
          </w:p>
        </w:tc>
        <w:tc>
          <w:tcPr>
            <w:tcW w:w="3934" w:type="dxa"/>
          </w:tcPr>
          <w:p w14:paraId="08585C60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TCATCCAAATACTCCACACGC</w:t>
            </w:r>
          </w:p>
        </w:tc>
      </w:tr>
      <w:tr w:rsidR="005A433B" w:rsidRPr="00301432" w14:paraId="6582D7BF" w14:textId="77777777" w:rsidTr="005A433B">
        <w:trPr>
          <w:jc w:val="center"/>
        </w:trPr>
        <w:tc>
          <w:tcPr>
            <w:tcW w:w="1310" w:type="dxa"/>
          </w:tcPr>
          <w:p w14:paraId="665F09EB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XCL12</w:t>
            </w:r>
          </w:p>
        </w:tc>
        <w:tc>
          <w:tcPr>
            <w:tcW w:w="3935" w:type="dxa"/>
          </w:tcPr>
          <w:p w14:paraId="670C60D9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ATTCTCAACACTCCAAACTGTGC</w:t>
            </w:r>
          </w:p>
        </w:tc>
        <w:tc>
          <w:tcPr>
            <w:tcW w:w="3934" w:type="dxa"/>
          </w:tcPr>
          <w:p w14:paraId="60EC54EC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ACTTTAGCTTCGGGTCAATGC</w:t>
            </w:r>
          </w:p>
        </w:tc>
      </w:tr>
      <w:tr w:rsidR="005A433B" w:rsidRPr="00301432" w14:paraId="59A3E973" w14:textId="77777777" w:rsidTr="005A433B">
        <w:trPr>
          <w:jc w:val="center"/>
        </w:trPr>
        <w:tc>
          <w:tcPr>
            <w:tcW w:w="1310" w:type="dxa"/>
          </w:tcPr>
          <w:p w14:paraId="679B9772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XCL3</w:t>
            </w:r>
          </w:p>
        </w:tc>
        <w:tc>
          <w:tcPr>
            <w:tcW w:w="3935" w:type="dxa"/>
          </w:tcPr>
          <w:p w14:paraId="570DE12E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CGCCCAAACCGAAGTCATAG</w:t>
            </w:r>
          </w:p>
        </w:tc>
        <w:tc>
          <w:tcPr>
            <w:tcW w:w="3934" w:type="dxa"/>
          </w:tcPr>
          <w:p w14:paraId="4A8489B6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GCTCCCCTTGTTCAGTATCTTTT</w:t>
            </w:r>
          </w:p>
        </w:tc>
      </w:tr>
      <w:tr w:rsidR="005A433B" w:rsidRPr="00301432" w14:paraId="5F13563E" w14:textId="77777777" w:rsidTr="005A433B">
        <w:trPr>
          <w:jc w:val="center"/>
        </w:trPr>
        <w:tc>
          <w:tcPr>
            <w:tcW w:w="1310" w:type="dxa"/>
          </w:tcPr>
          <w:p w14:paraId="003FD4EC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CL2</w:t>
            </w:r>
          </w:p>
        </w:tc>
        <w:tc>
          <w:tcPr>
            <w:tcW w:w="3935" w:type="dxa"/>
          </w:tcPr>
          <w:p w14:paraId="2BD803AE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CAGCCAGATGCAATCAATGCC</w:t>
            </w:r>
          </w:p>
        </w:tc>
        <w:tc>
          <w:tcPr>
            <w:tcW w:w="3934" w:type="dxa"/>
          </w:tcPr>
          <w:p w14:paraId="1911E88E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TGGAATCCTGAACCCACTTCT</w:t>
            </w:r>
          </w:p>
        </w:tc>
      </w:tr>
      <w:tr w:rsidR="005A433B" w:rsidRPr="00301432" w14:paraId="09E0DD3A" w14:textId="77777777" w:rsidTr="005A433B">
        <w:trPr>
          <w:jc w:val="center"/>
        </w:trPr>
        <w:tc>
          <w:tcPr>
            <w:tcW w:w="1310" w:type="dxa"/>
          </w:tcPr>
          <w:p w14:paraId="03E06D62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EBPB</w:t>
            </w:r>
          </w:p>
        </w:tc>
        <w:tc>
          <w:tcPr>
            <w:tcW w:w="3935" w:type="dxa"/>
          </w:tcPr>
          <w:p w14:paraId="53D0E872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CTTCAGCCCGTACCTGGAG</w:t>
            </w:r>
          </w:p>
        </w:tc>
        <w:tc>
          <w:tcPr>
            <w:tcW w:w="3934" w:type="dxa"/>
          </w:tcPr>
          <w:p w14:paraId="10723ED3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GGAGAGGAAGTCGTGGTGC</w:t>
            </w:r>
          </w:p>
        </w:tc>
      </w:tr>
      <w:tr w:rsidR="005A433B" w:rsidRPr="00301432" w14:paraId="17333DBC" w14:textId="77777777" w:rsidTr="005A433B">
        <w:trPr>
          <w:jc w:val="center"/>
        </w:trPr>
        <w:tc>
          <w:tcPr>
            <w:tcW w:w="1310" w:type="dxa"/>
          </w:tcPr>
          <w:p w14:paraId="1293B2DE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TF3</w:t>
            </w:r>
          </w:p>
        </w:tc>
        <w:tc>
          <w:tcPr>
            <w:tcW w:w="3935" w:type="dxa"/>
          </w:tcPr>
          <w:p w14:paraId="4741BC59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CCTCTGCGCTGGAATCAGTC</w:t>
            </w:r>
          </w:p>
        </w:tc>
        <w:tc>
          <w:tcPr>
            <w:tcW w:w="3934" w:type="dxa"/>
          </w:tcPr>
          <w:p w14:paraId="3FE38A08" w14:textId="77777777" w:rsidR="005A433B" w:rsidRPr="00301432" w:rsidRDefault="005A433B" w:rsidP="00AA7FA2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TTCTTTCTCGTCGCCTCTTTTT</w:t>
            </w:r>
          </w:p>
        </w:tc>
      </w:tr>
      <w:tr w:rsidR="005A433B" w:rsidRPr="00301432" w14:paraId="75F4936D" w14:textId="77777777" w:rsidTr="005A433B">
        <w:trPr>
          <w:jc w:val="center"/>
        </w:trPr>
        <w:tc>
          <w:tcPr>
            <w:tcW w:w="1310" w:type="dxa"/>
          </w:tcPr>
          <w:p w14:paraId="23D40D32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 w:hint="eastAsia"/>
                <w:sz w:val="24"/>
                <w:szCs w:val="24"/>
              </w:rPr>
              <w:t>J</w:t>
            </w: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UNB</w:t>
            </w:r>
          </w:p>
        </w:tc>
        <w:tc>
          <w:tcPr>
            <w:tcW w:w="3935" w:type="dxa"/>
          </w:tcPr>
          <w:p w14:paraId="190AFDF9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ACGACTCATACACAGCTACGG</w:t>
            </w:r>
          </w:p>
        </w:tc>
        <w:tc>
          <w:tcPr>
            <w:tcW w:w="3934" w:type="dxa"/>
          </w:tcPr>
          <w:p w14:paraId="55BE05E2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GCTCGGTTTCAGGAGTTTGTAGT</w:t>
            </w:r>
          </w:p>
        </w:tc>
      </w:tr>
      <w:tr w:rsidR="005A433B" w:rsidRPr="00301432" w14:paraId="7B33ADE4" w14:textId="77777777" w:rsidTr="005A433B">
        <w:trPr>
          <w:jc w:val="center"/>
        </w:trPr>
        <w:tc>
          <w:tcPr>
            <w:tcW w:w="1310" w:type="dxa"/>
          </w:tcPr>
          <w:p w14:paraId="42C8C51E" w14:textId="77777777" w:rsidR="005A433B" w:rsidRPr="00301432" w:rsidRDefault="005A433B" w:rsidP="00AA7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OSL2</w:t>
            </w:r>
          </w:p>
        </w:tc>
        <w:tc>
          <w:tcPr>
            <w:tcW w:w="3935" w:type="dxa"/>
          </w:tcPr>
          <w:p w14:paraId="2B3EE7F1" w14:textId="77777777" w:rsidR="005A433B" w:rsidRPr="00301432" w:rsidRDefault="005A433B" w:rsidP="00AA7FA2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CAGAAATTCCGGGTAGATATGCC</w:t>
            </w:r>
          </w:p>
        </w:tc>
        <w:tc>
          <w:tcPr>
            <w:tcW w:w="3934" w:type="dxa"/>
          </w:tcPr>
          <w:p w14:paraId="2754CC70" w14:textId="77777777" w:rsidR="005A433B" w:rsidRPr="00301432" w:rsidRDefault="005A433B" w:rsidP="00AA7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432">
              <w:rPr>
                <w:rFonts w:ascii="Times New Roman" w:hAnsi="Times New Roman" w:cs="Times New Roman"/>
                <w:sz w:val="24"/>
                <w:szCs w:val="24"/>
              </w:rPr>
              <w:t>GGTATGGGTTGGACATGGAGG</w:t>
            </w:r>
          </w:p>
        </w:tc>
      </w:tr>
    </w:tbl>
    <w:p w14:paraId="63288C1C" w14:textId="77777777" w:rsidR="00AE2034" w:rsidRPr="00E6247B" w:rsidRDefault="00AE2034" w:rsidP="00AE2034">
      <w:pPr>
        <w:spacing w:line="360" w:lineRule="auto"/>
        <w:rPr>
          <w:rFonts w:ascii="Times New Roman" w:hAnsi="Times New Roman" w:cs="Times New Roman"/>
          <w:sz w:val="22"/>
        </w:rPr>
      </w:pPr>
    </w:p>
    <w:p w14:paraId="020D90A3" w14:textId="77777777" w:rsidR="00D30846" w:rsidRPr="00AE2034" w:rsidRDefault="00D30846"/>
    <w:sectPr w:rsidR="00D30846" w:rsidRPr="00AE20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82843" w14:textId="77777777" w:rsidR="0090766C" w:rsidRDefault="0090766C" w:rsidP="00AE2034">
      <w:r>
        <w:separator/>
      </w:r>
    </w:p>
  </w:endnote>
  <w:endnote w:type="continuationSeparator" w:id="0">
    <w:p w14:paraId="51143AF9" w14:textId="77777777" w:rsidR="0090766C" w:rsidRDefault="0090766C" w:rsidP="00AE2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1166B" w14:textId="77777777" w:rsidR="0090766C" w:rsidRDefault="0090766C" w:rsidP="00AE2034">
      <w:r>
        <w:separator/>
      </w:r>
    </w:p>
  </w:footnote>
  <w:footnote w:type="continuationSeparator" w:id="0">
    <w:p w14:paraId="02D8BC31" w14:textId="77777777" w:rsidR="0090766C" w:rsidRDefault="0090766C" w:rsidP="00AE20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DB"/>
    <w:rsid w:val="00025E2F"/>
    <w:rsid w:val="000774DE"/>
    <w:rsid w:val="000C0A66"/>
    <w:rsid w:val="000F5FFF"/>
    <w:rsid w:val="00123D66"/>
    <w:rsid w:val="00135ECC"/>
    <w:rsid w:val="00142BEB"/>
    <w:rsid w:val="001538CA"/>
    <w:rsid w:val="001A0004"/>
    <w:rsid w:val="001A52DE"/>
    <w:rsid w:val="001E38CF"/>
    <w:rsid w:val="00245483"/>
    <w:rsid w:val="00246CC3"/>
    <w:rsid w:val="00276E1A"/>
    <w:rsid w:val="00367715"/>
    <w:rsid w:val="003E516E"/>
    <w:rsid w:val="00423A18"/>
    <w:rsid w:val="00465E81"/>
    <w:rsid w:val="004C18AB"/>
    <w:rsid w:val="004C44AF"/>
    <w:rsid w:val="004D79E2"/>
    <w:rsid w:val="004F7AFD"/>
    <w:rsid w:val="00532208"/>
    <w:rsid w:val="00540099"/>
    <w:rsid w:val="005A433B"/>
    <w:rsid w:val="005E685C"/>
    <w:rsid w:val="00634BB3"/>
    <w:rsid w:val="00696E3A"/>
    <w:rsid w:val="006A1DE6"/>
    <w:rsid w:val="006F6153"/>
    <w:rsid w:val="007107DB"/>
    <w:rsid w:val="0072441A"/>
    <w:rsid w:val="0082683D"/>
    <w:rsid w:val="00867DDB"/>
    <w:rsid w:val="00890120"/>
    <w:rsid w:val="008C7B1D"/>
    <w:rsid w:val="008D058A"/>
    <w:rsid w:val="0090766C"/>
    <w:rsid w:val="00931B79"/>
    <w:rsid w:val="00962D9C"/>
    <w:rsid w:val="00A714CE"/>
    <w:rsid w:val="00A7497F"/>
    <w:rsid w:val="00AE0B96"/>
    <w:rsid w:val="00AE2034"/>
    <w:rsid w:val="00B15A64"/>
    <w:rsid w:val="00B22D35"/>
    <w:rsid w:val="00B87F14"/>
    <w:rsid w:val="00BE1A01"/>
    <w:rsid w:val="00BF67A3"/>
    <w:rsid w:val="00C16593"/>
    <w:rsid w:val="00C8799A"/>
    <w:rsid w:val="00C917CF"/>
    <w:rsid w:val="00CB229D"/>
    <w:rsid w:val="00CC61B8"/>
    <w:rsid w:val="00D30846"/>
    <w:rsid w:val="00D34F3C"/>
    <w:rsid w:val="00D85C44"/>
    <w:rsid w:val="00DF51C8"/>
    <w:rsid w:val="00E141D4"/>
    <w:rsid w:val="00E16DAF"/>
    <w:rsid w:val="00FA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62737"/>
  <w15:chartTrackingRefBased/>
  <w15:docId w15:val="{3F29F2DF-5F1E-40B4-9808-B36DEB9E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0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20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2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2034"/>
    <w:rPr>
      <w:sz w:val="18"/>
      <w:szCs w:val="18"/>
    </w:rPr>
  </w:style>
  <w:style w:type="table" w:styleId="a7">
    <w:name w:val="Table Grid"/>
    <w:basedOn w:val="a1"/>
    <w:uiPriority w:val="39"/>
    <w:rsid w:val="005A4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晓东</dc:creator>
  <cp:keywords/>
  <dc:description/>
  <cp:lastModifiedBy>赵 晓东</cp:lastModifiedBy>
  <cp:revision>2</cp:revision>
  <dcterms:created xsi:type="dcterms:W3CDTF">2023-03-27T00:58:00Z</dcterms:created>
  <dcterms:modified xsi:type="dcterms:W3CDTF">2023-03-27T00:58:00Z</dcterms:modified>
</cp:coreProperties>
</file>