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5EE63" w14:textId="77777777" w:rsidR="002D19BF" w:rsidRPr="00C97948" w:rsidRDefault="002D19BF" w:rsidP="00E85883">
      <w:pPr>
        <w:spacing w:line="276" w:lineRule="auto"/>
        <w:jc w:val="both"/>
        <w:rPr>
          <w:rFonts w:ascii="Helvetica" w:hAnsi="Helvetica"/>
          <w:sz w:val="32"/>
          <w:szCs w:val="32"/>
        </w:rPr>
      </w:pPr>
      <w:r w:rsidRPr="00C97948">
        <w:rPr>
          <w:rFonts w:ascii="Helvetica" w:hAnsi="Helvetica"/>
          <w:sz w:val="32"/>
          <w:szCs w:val="32"/>
        </w:rPr>
        <w:t xml:space="preserve">Supplementary information for the paper: </w:t>
      </w:r>
    </w:p>
    <w:p w14:paraId="4EBD7854" w14:textId="77777777" w:rsidR="008357E6" w:rsidRDefault="008357E6" w:rsidP="00E85883">
      <w:pPr>
        <w:spacing w:line="276" w:lineRule="auto"/>
        <w:jc w:val="both"/>
        <w:rPr>
          <w:rFonts w:ascii="Helvetica" w:hAnsi="Helvetica"/>
          <w:b/>
          <w:bCs/>
          <w:sz w:val="32"/>
          <w:szCs w:val="32"/>
        </w:rPr>
      </w:pPr>
    </w:p>
    <w:p w14:paraId="7D6A5ED6" w14:textId="77777777" w:rsidR="00661E91" w:rsidRPr="00AD517A" w:rsidRDefault="00661E91" w:rsidP="00661E91">
      <w:pPr>
        <w:spacing w:line="276" w:lineRule="auto"/>
        <w:jc w:val="both"/>
        <w:rPr>
          <w:b/>
          <w:bCs/>
          <w:sz w:val="32"/>
          <w:szCs w:val="32"/>
        </w:rPr>
      </w:pPr>
      <w:r w:rsidRPr="00AD517A">
        <w:rPr>
          <w:b/>
          <w:bCs/>
          <w:sz w:val="32"/>
          <w:szCs w:val="32"/>
        </w:rPr>
        <w:t>scQCEA: A Framework for Annotation and Quality Control Report of Single-Cell RNA-Sequencing Data</w:t>
      </w:r>
    </w:p>
    <w:p w14:paraId="74C53FA9" w14:textId="77777777" w:rsidR="00661E91" w:rsidRDefault="00661E91" w:rsidP="00661E91">
      <w:pPr>
        <w:spacing w:line="276" w:lineRule="auto"/>
        <w:jc w:val="both"/>
      </w:pPr>
    </w:p>
    <w:p w14:paraId="4E28236A" w14:textId="388FF0EF" w:rsidR="00661E91" w:rsidRPr="00BD1DD2" w:rsidRDefault="00661E91" w:rsidP="00661E91">
      <w:pPr>
        <w:spacing w:line="276" w:lineRule="auto"/>
        <w:jc w:val="center"/>
        <w:rPr>
          <w:rFonts w:asciiTheme="minorHAnsi" w:eastAsiaTheme="minorHAnsi" w:hAnsiTheme="minorHAnsi" w:cstheme="minorBidi"/>
          <w:lang w:eastAsia="en-US"/>
        </w:rPr>
      </w:pPr>
      <w:proofErr w:type="spellStart"/>
      <w:r w:rsidRPr="00BD1DD2">
        <w:rPr>
          <w:rFonts w:asciiTheme="minorHAnsi" w:eastAsiaTheme="minorHAnsi" w:hAnsiTheme="minorHAnsi" w:cstheme="minorBidi"/>
          <w:lang w:eastAsia="en-US"/>
        </w:rPr>
        <w:t>Isar</w:t>
      </w:r>
      <w:proofErr w:type="spellEnd"/>
      <w:r w:rsidRPr="00BD1DD2">
        <w:rPr>
          <w:rFonts w:asciiTheme="minorHAnsi" w:eastAsiaTheme="minorHAnsi" w:hAnsiTheme="minorHAnsi" w:cstheme="minorBidi"/>
          <w:lang w:eastAsia="en-US"/>
        </w:rPr>
        <w:t xml:space="preserve"> Nassiri</w:t>
      </w:r>
      <w:r w:rsidRPr="00BD1DD2">
        <w:rPr>
          <w:rFonts w:asciiTheme="minorHAnsi" w:eastAsiaTheme="minorHAnsi" w:hAnsiTheme="minorHAnsi" w:cstheme="minorBidi"/>
          <w:vertAlign w:val="superscript"/>
          <w:lang w:eastAsia="en-US"/>
        </w:rPr>
        <w:t>1*</w:t>
      </w:r>
      <w:r w:rsidRPr="00BD1DD2">
        <w:rPr>
          <w:rFonts w:asciiTheme="minorHAnsi" w:eastAsiaTheme="minorHAnsi" w:hAnsiTheme="minorHAnsi" w:cstheme="minorBidi"/>
          <w:lang w:eastAsia="en-US"/>
        </w:rPr>
        <w:t>, Benjamin Fairfax</w:t>
      </w:r>
      <w:r w:rsidRPr="00BD1DD2">
        <w:rPr>
          <w:rFonts w:asciiTheme="minorHAnsi" w:eastAsiaTheme="minorHAnsi" w:hAnsiTheme="minorHAnsi" w:cstheme="minorBidi"/>
          <w:vertAlign w:val="superscript"/>
          <w:lang w:eastAsia="en-US"/>
        </w:rPr>
        <w:t>2,3</w:t>
      </w:r>
      <w:r w:rsidRPr="00BD1DD2">
        <w:rPr>
          <w:rFonts w:asciiTheme="minorHAnsi" w:eastAsiaTheme="minorHAnsi" w:hAnsiTheme="minorHAnsi" w:cstheme="minorBidi"/>
          <w:lang w:eastAsia="en-US"/>
        </w:rPr>
        <w:t>, Angela Lee</w:t>
      </w:r>
      <w:r w:rsidRPr="00BD1DD2">
        <w:rPr>
          <w:rFonts w:asciiTheme="minorHAnsi" w:eastAsiaTheme="minorHAnsi" w:hAnsiTheme="minorHAnsi" w:cstheme="minorBidi"/>
          <w:vertAlign w:val="superscript"/>
          <w:lang w:eastAsia="en-US"/>
        </w:rPr>
        <w:t>1</w:t>
      </w:r>
      <w:r w:rsidRPr="00BD1DD2">
        <w:rPr>
          <w:rFonts w:asciiTheme="minorHAnsi" w:eastAsiaTheme="minorHAnsi" w:hAnsiTheme="minorHAnsi" w:cstheme="minorBidi"/>
          <w:lang w:eastAsia="en-US"/>
        </w:rPr>
        <w:t xml:space="preserve">, </w:t>
      </w:r>
      <w:proofErr w:type="spellStart"/>
      <w:r w:rsidRPr="00BD1DD2">
        <w:rPr>
          <w:rFonts w:asciiTheme="minorHAnsi" w:eastAsiaTheme="minorHAnsi" w:hAnsiTheme="minorHAnsi" w:cstheme="minorBidi"/>
          <w:lang w:eastAsia="en-US"/>
        </w:rPr>
        <w:t>Yanxia</w:t>
      </w:r>
      <w:proofErr w:type="spellEnd"/>
      <w:r w:rsidRPr="00BD1DD2">
        <w:rPr>
          <w:rFonts w:asciiTheme="minorHAnsi" w:eastAsiaTheme="minorHAnsi" w:hAnsiTheme="minorHAnsi" w:cstheme="minorBidi"/>
          <w:lang w:eastAsia="en-US"/>
        </w:rPr>
        <w:t xml:space="preserve"> Wu</w:t>
      </w:r>
      <w:r w:rsidRPr="00BD1DD2">
        <w:rPr>
          <w:rFonts w:asciiTheme="minorHAnsi" w:eastAsiaTheme="minorHAnsi" w:hAnsiTheme="minorHAnsi" w:cstheme="minorBidi"/>
          <w:vertAlign w:val="superscript"/>
          <w:lang w:eastAsia="en-US"/>
        </w:rPr>
        <w:t>1</w:t>
      </w:r>
      <w:r w:rsidRPr="00BD1DD2">
        <w:rPr>
          <w:rFonts w:asciiTheme="minorHAnsi" w:eastAsiaTheme="minorHAnsi" w:hAnsiTheme="minorHAnsi" w:cstheme="minorBidi"/>
          <w:lang w:eastAsia="en-US"/>
        </w:rPr>
        <w:t>, David Buck</w:t>
      </w:r>
      <w:r w:rsidRPr="00BD1DD2">
        <w:rPr>
          <w:rFonts w:asciiTheme="minorHAnsi" w:eastAsiaTheme="minorHAnsi" w:hAnsiTheme="minorHAnsi" w:cstheme="minorBidi"/>
          <w:vertAlign w:val="superscript"/>
          <w:lang w:eastAsia="en-US"/>
        </w:rPr>
        <w:t>1</w:t>
      </w:r>
      <w:r w:rsidRPr="00BD1DD2">
        <w:rPr>
          <w:rFonts w:asciiTheme="minorHAnsi" w:eastAsiaTheme="minorHAnsi" w:hAnsiTheme="minorHAnsi" w:cstheme="minorBidi"/>
          <w:lang w:eastAsia="en-US"/>
        </w:rPr>
        <w:t>, Paolo Piazza</w:t>
      </w:r>
      <w:r w:rsidRPr="00BD1DD2">
        <w:rPr>
          <w:rFonts w:asciiTheme="minorHAnsi" w:eastAsiaTheme="minorHAnsi" w:hAnsiTheme="minorHAnsi" w:cstheme="minorBidi"/>
          <w:vertAlign w:val="superscript"/>
          <w:lang w:eastAsia="en-US"/>
        </w:rPr>
        <w:t>1</w:t>
      </w:r>
      <w:r w:rsidR="00994347">
        <w:rPr>
          <w:rFonts w:asciiTheme="minorHAnsi" w:eastAsiaTheme="minorHAnsi" w:hAnsiTheme="minorHAnsi" w:cstheme="minorBidi"/>
          <w:vertAlign w:val="superscript"/>
          <w:lang w:eastAsia="en-US"/>
        </w:rPr>
        <w:t>*</w:t>
      </w:r>
    </w:p>
    <w:p w14:paraId="74E37E6F" w14:textId="77777777" w:rsidR="00661E91" w:rsidRDefault="00661E91" w:rsidP="00661E91">
      <w:pPr>
        <w:spacing w:line="276" w:lineRule="auto"/>
        <w:jc w:val="both"/>
      </w:pPr>
    </w:p>
    <w:p w14:paraId="56765BDD" w14:textId="77777777" w:rsidR="00661E91" w:rsidRPr="00AD517A" w:rsidRDefault="00661E91" w:rsidP="00661E91">
      <w:pPr>
        <w:spacing w:line="276" w:lineRule="auto"/>
        <w:rPr>
          <w:sz w:val="20"/>
          <w:szCs w:val="20"/>
        </w:rPr>
      </w:pPr>
      <w:r w:rsidRPr="00AD517A">
        <w:rPr>
          <w:rFonts w:asciiTheme="minorHAnsi" w:eastAsiaTheme="minorHAnsi" w:hAnsiTheme="minorHAnsi" w:cstheme="minorBidi"/>
          <w:sz w:val="20"/>
          <w:szCs w:val="20"/>
          <w:lang w:eastAsia="en-US"/>
        </w:rPr>
        <w:t>1</w:t>
      </w:r>
      <w:r w:rsidRPr="00AD517A">
        <w:rPr>
          <w:sz w:val="20"/>
          <w:szCs w:val="20"/>
        </w:rPr>
        <w:t xml:space="preserve"> </w:t>
      </w:r>
      <w:r w:rsidRPr="00AD517A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Oxford Genomics Centre, </w:t>
      </w:r>
      <w:proofErr w:type="spellStart"/>
      <w:r w:rsidRPr="00AD517A">
        <w:rPr>
          <w:rFonts w:asciiTheme="minorHAnsi" w:eastAsiaTheme="minorHAnsi" w:hAnsiTheme="minorHAnsi" w:cstheme="minorBidi"/>
          <w:sz w:val="20"/>
          <w:szCs w:val="20"/>
          <w:lang w:eastAsia="en-US"/>
        </w:rPr>
        <w:t>Wellcome</w:t>
      </w:r>
      <w:proofErr w:type="spellEnd"/>
      <w:r w:rsidRPr="00AD517A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Centre for Human Genetics, Nuffield Department of Medicine, University of Oxford, Oxford, UK,</w:t>
      </w: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Pr="00AD517A">
        <w:rPr>
          <w:rFonts w:asciiTheme="minorHAnsi" w:eastAsiaTheme="minorHAnsi" w:hAnsiTheme="minorHAnsi" w:cstheme="minorBidi"/>
          <w:sz w:val="20"/>
          <w:szCs w:val="20"/>
          <w:lang w:eastAsia="en-US"/>
        </w:rPr>
        <w:t>2</w:t>
      </w:r>
      <w:r w:rsidRPr="00AD517A">
        <w:rPr>
          <w:sz w:val="20"/>
          <w:szCs w:val="20"/>
        </w:rPr>
        <w:t xml:space="preserve"> </w:t>
      </w:r>
      <w:r w:rsidRPr="00AD517A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MRC–Weatherall Institute of Molecular Medicine, University of Oxford, Oxford, UK, </w:t>
      </w:r>
      <w:r w:rsidRPr="71041ECC">
        <w:rPr>
          <w:rFonts w:asciiTheme="minorHAnsi" w:eastAsiaTheme="minorEastAsia" w:hAnsiTheme="minorHAnsi" w:cstheme="minorBidi"/>
          <w:sz w:val="20"/>
          <w:szCs w:val="20"/>
          <w:lang w:eastAsia="en-US"/>
        </w:rPr>
        <w:t>3</w:t>
      </w:r>
      <w:r w:rsidRPr="71041ECC">
        <w:rPr>
          <w:sz w:val="20"/>
          <w:szCs w:val="20"/>
        </w:rPr>
        <w:t xml:space="preserve"> </w:t>
      </w:r>
      <w:r w:rsidRPr="71041ECC">
        <w:rPr>
          <w:rFonts w:asciiTheme="minorHAnsi" w:eastAsiaTheme="minorEastAsia" w:hAnsiTheme="minorHAnsi" w:cstheme="minorBidi"/>
          <w:sz w:val="20"/>
          <w:szCs w:val="20"/>
          <w:lang w:eastAsia="en-US"/>
        </w:rPr>
        <w:t>Department of Oncology, University of Oxford &amp; Oxford Cancer Centre, Churchill Hospital, Oxford University Hospitals NHS Foundation Trust, Oxford, UK</w:t>
      </w:r>
    </w:p>
    <w:p w14:paraId="2D99326B" w14:textId="77777777" w:rsidR="00C97948" w:rsidRDefault="00C97948" w:rsidP="00E85883">
      <w:pPr>
        <w:spacing w:line="276" w:lineRule="auto"/>
        <w:jc w:val="both"/>
        <w:rPr>
          <w:rFonts w:ascii="Helvetica" w:hAnsi="Helvetica"/>
          <w:b/>
          <w:bCs/>
        </w:rPr>
      </w:pPr>
    </w:p>
    <w:p w14:paraId="3C473E9A" w14:textId="1E9BB05E" w:rsidR="002D19BF" w:rsidRPr="00A90029" w:rsidRDefault="002D19BF" w:rsidP="00E85883">
      <w:pPr>
        <w:spacing w:line="276" w:lineRule="auto"/>
        <w:jc w:val="both"/>
        <w:rPr>
          <w:rFonts w:ascii="Helvetica" w:hAnsi="Helvetica"/>
          <w:b/>
          <w:bCs/>
        </w:rPr>
      </w:pPr>
      <w:r w:rsidRPr="06E3C927">
        <w:rPr>
          <w:rFonts w:ascii="Helvetica" w:hAnsi="Helvetica"/>
          <w:b/>
          <w:bCs/>
        </w:rPr>
        <w:t xml:space="preserve">Supplementary Methods </w:t>
      </w:r>
    </w:p>
    <w:p w14:paraId="00B89140" w14:textId="159BE4B7" w:rsidR="06E3C927" w:rsidRDefault="06E3C927" w:rsidP="06E3C927">
      <w:pPr>
        <w:spacing w:line="276" w:lineRule="auto"/>
        <w:jc w:val="both"/>
        <w:rPr>
          <w:b/>
          <w:bCs/>
        </w:rPr>
      </w:pPr>
    </w:p>
    <w:p w14:paraId="3CFEA699" w14:textId="054F78C5" w:rsidR="002D19BF" w:rsidRPr="00A90029" w:rsidRDefault="002D19BF" w:rsidP="00E85883">
      <w:pPr>
        <w:spacing w:line="276" w:lineRule="auto"/>
        <w:jc w:val="both"/>
        <w:rPr>
          <w:rFonts w:ascii="Helvetica" w:hAnsi="Helvetica"/>
          <w:b/>
          <w:bCs/>
        </w:rPr>
      </w:pPr>
      <w:r w:rsidRPr="00A90029">
        <w:rPr>
          <w:rFonts w:ascii="Helvetica" w:hAnsi="Helvetica"/>
          <w:b/>
          <w:bCs/>
        </w:rPr>
        <w:t xml:space="preserve">Data </w:t>
      </w:r>
      <w:r w:rsidR="00A90029" w:rsidRPr="00A90029">
        <w:rPr>
          <w:rFonts w:ascii="Helvetica" w:hAnsi="Helvetica"/>
          <w:b/>
          <w:bCs/>
        </w:rPr>
        <w:t>pre-processing</w:t>
      </w:r>
    </w:p>
    <w:p w14:paraId="0FEDC448" w14:textId="13C48F7A" w:rsidR="008357E6" w:rsidRDefault="002D19BF" w:rsidP="1660A965">
      <w:pPr>
        <w:spacing w:line="276" w:lineRule="auto"/>
        <w:jc w:val="both"/>
        <w:rPr>
          <w:rFonts w:ascii="Helvetica" w:hAnsi="Helvetica"/>
        </w:rPr>
      </w:pPr>
      <w:r w:rsidRPr="1660A965">
        <w:rPr>
          <w:rFonts w:ascii="Helvetica" w:hAnsi="Helvetica"/>
        </w:rPr>
        <w:t xml:space="preserve">The Cell Ranger pipelines were used to process sequencing data. </w:t>
      </w:r>
      <w:proofErr w:type="spellStart"/>
      <w:r w:rsidRPr="1660A965">
        <w:rPr>
          <w:rFonts w:ascii="Helvetica" w:hAnsi="Helvetica"/>
        </w:rPr>
        <w:t>Cellranger</w:t>
      </w:r>
      <w:proofErr w:type="spellEnd"/>
      <w:r w:rsidRPr="1660A965">
        <w:rPr>
          <w:rFonts w:ascii="Helvetica" w:hAnsi="Helvetica"/>
        </w:rPr>
        <w:t xml:space="preserve"> (v</w:t>
      </w:r>
      <w:r w:rsidR="00AF4DB8" w:rsidRPr="1660A965">
        <w:rPr>
          <w:rFonts w:ascii="Helvetica" w:hAnsi="Helvetica"/>
        </w:rPr>
        <w:t>7</w:t>
      </w:r>
      <w:r w:rsidRPr="1660A965">
        <w:rPr>
          <w:rFonts w:ascii="Helvetica" w:hAnsi="Helvetica"/>
        </w:rPr>
        <w:t xml:space="preserve">) </w:t>
      </w:r>
      <w:proofErr w:type="spellStart"/>
      <w:r w:rsidRPr="1660A965">
        <w:rPr>
          <w:rFonts w:ascii="Helvetica" w:hAnsi="Helvetica"/>
        </w:rPr>
        <w:t>mkfastq</w:t>
      </w:r>
      <w:proofErr w:type="spellEnd"/>
      <w:r w:rsidRPr="1660A965">
        <w:rPr>
          <w:rFonts w:ascii="Helvetica" w:hAnsi="Helvetica"/>
        </w:rPr>
        <w:t xml:space="preserve"> was applied to the Illumina BCL output to produce FASTQ files. </w:t>
      </w:r>
      <w:proofErr w:type="spellStart"/>
      <w:r w:rsidRPr="1660A965">
        <w:rPr>
          <w:rFonts w:ascii="Helvetica" w:hAnsi="Helvetica"/>
        </w:rPr>
        <w:t>Cellranger</w:t>
      </w:r>
      <w:proofErr w:type="spellEnd"/>
      <w:r w:rsidRPr="1660A965">
        <w:rPr>
          <w:rFonts w:ascii="Helvetica" w:hAnsi="Helvetica"/>
        </w:rPr>
        <w:t xml:space="preserve"> count </w:t>
      </w:r>
      <w:r w:rsidR="5061FB0E" w:rsidRPr="1660A965">
        <w:rPr>
          <w:rFonts w:ascii="Helvetica" w:hAnsi="Helvetica"/>
        </w:rPr>
        <w:t xml:space="preserve">(v7) </w:t>
      </w:r>
      <w:r w:rsidRPr="1660A965">
        <w:rPr>
          <w:rFonts w:ascii="Helvetica" w:hAnsi="Helvetica"/>
        </w:rPr>
        <w:t>was then applied to each FASTQ file to produce a Feature Barcoding and Gene expression library</w:t>
      </w:r>
      <w:r w:rsidR="132908A3" w:rsidRPr="1660A965">
        <w:rPr>
          <w:rFonts w:ascii="Helvetica" w:hAnsi="Helvetica"/>
        </w:rPr>
        <w:t xml:space="preserve">. We converted an HDF5 Feature-Barcode Matrix to a gene-cell count matrix using the </w:t>
      </w:r>
      <w:proofErr w:type="spellStart"/>
      <w:r w:rsidR="132908A3" w:rsidRPr="1660A965">
        <w:rPr>
          <w:rFonts w:ascii="Helvetica" w:hAnsi="Helvetica"/>
        </w:rPr>
        <w:t>cellranger</w:t>
      </w:r>
      <w:proofErr w:type="spellEnd"/>
      <w:r w:rsidR="132908A3" w:rsidRPr="1660A965">
        <w:rPr>
          <w:rFonts w:ascii="Helvetica" w:hAnsi="Helvetica"/>
        </w:rPr>
        <w:t xml:space="preserve"> mat2csv command provided by 10X genomics as the input for downstream analysis</w:t>
      </w:r>
      <w:r w:rsidR="00383C86" w:rsidRPr="1660A965">
        <w:rPr>
          <w:rFonts w:ascii="Helvetica" w:hAnsi="Helvetica"/>
        </w:rPr>
        <w:t xml:space="preserve"> </w:t>
      </w:r>
      <w:r w:rsidRPr="1660A965">
        <w:rPr>
          <w:rFonts w:ascii="Helvetica" w:hAnsi="Helvetica"/>
        </w:rPr>
        <w:fldChar w:fldCharType="begin"/>
      </w:r>
      <w:r w:rsidR="00C54D5E">
        <w:rPr>
          <w:rFonts w:ascii="Helvetica" w:hAnsi="Helvetica"/>
        </w:rPr>
        <w:instrText xml:space="preserve"> ADDIN EN.CITE &lt;EndNote&gt;&lt;Cite&gt;&lt;Author&gt;Fairfax&lt;/Author&gt;&lt;Year&gt;2020&lt;/Year&gt;&lt;RecNum&gt;18&lt;/RecNum&gt;&lt;DisplayText&gt;[1]&lt;/DisplayText&gt;&lt;record&gt;&lt;rec-number&gt;18&lt;/rec-number&gt;&lt;foreign-keys&gt;&lt;key app="EN" db-id="2ad2datpuvp0sredr97vs5aex0taxs9atr2w" timestamp="1643971521"&gt;18&lt;/key&gt;&lt;/foreign-keys&gt;&lt;ref-type name="Journal Article"&gt;17&lt;/ref-type&gt;&lt;contributors&gt;&lt;authors&gt;&lt;author&gt;Fairfax, Benjamin P.&lt;/author&gt;&lt;author&gt;Taylor, Chelsea A.&lt;/author&gt;&lt;author&gt;Watson, Robert A.&lt;/author&gt;&lt;author&gt;Nassiri, Isar&lt;/author&gt;&lt;author&gt;Danielli, Sara&lt;/author&gt;&lt;author&gt;Fang, Hai&lt;/author&gt;&lt;author&gt;Mahé, Elise A.&lt;/author&gt;&lt;author&gt;Cooper, Rosalin&lt;/author&gt;&lt;author&gt;Woodcock, Victoria&lt;/author&gt;&lt;author&gt;Traill, Zoe&lt;/author&gt;&lt;author&gt;Al-Mossawi, M. Hussein&lt;/author&gt;&lt;author&gt;Knight, Julian C.&lt;/author&gt;&lt;author&gt;Klenerman, Paul&lt;/author&gt;&lt;author&gt;Payne, Miranda&lt;/author&gt;&lt;author&gt;Middleton, Mark R.&lt;/author&gt;&lt;/authors&gt;&lt;/contributors&gt;&lt;titles&gt;&lt;title&gt;Peripheral CD8+ T cell characteristics associated with durable responses to immune checkpoint blockade in patients with metastatic melanoma&lt;/title&gt;&lt;secondary-title&gt;Nature Medicine&lt;/secondary-title&gt;&lt;/titles&gt;&lt;periodical&gt;&lt;full-title&gt;Nature Medicine&lt;/full-title&gt;&lt;/periodical&gt;&lt;pages&gt;193-199&lt;/pages&gt;&lt;volume&gt;26&lt;/volume&gt;&lt;number&gt;2&lt;/number&gt;&lt;dates&gt;&lt;year&gt;2020&lt;/year&gt;&lt;pub-dates&gt;&lt;date&gt;2020/02/01&lt;/date&gt;&lt;/pub-dates&gt;&lt;/dates&gt;&lt;isbn&gt;1546-170X&lt;/isbn&gt;&lt;urls&gt;&lt;related-urls&gt;&lt;url&gt;https://doi.org/10.1038/s41591-019-0734-6&lt;/url&gt;&lt;/related-urls&gt;&lt;/urls&gt;&lt;electronic-resource-num&gt;10.1038/s41591-019-0734-6&lt;/electronic-resource-num&gt;&lt;/record&gt;&lt;/Cite&gt;&lt;/EndNote&gt;</w:instrText>
      </w:r>
      <w:r w:rsidRPr="1660A965">
        <w:rPr>
          <w:rFonts w:ascii="Helvetica" w:hAnsi="Helvetica"/>
        </w:rPr>
        <w:fldChar w:fldCharType="separate"/>
      </w:r>
      <w:r w:rsidR="00C54D5E">
        <w:rPr>
          <w:rFonts w:ascii="Helvetica" w:hAnsi="Helvetica"/>
          <w:noProof/>
        </w:rPr>
        <w:t>[1]</w:t>
      </w:r>
      <w:r w:rsidRPr="1660A965">
        <w:rPr>
          <w:rFonts w:ascii="Helvetica" w:hAnsi="Helvetica"/>
        </w:rPr>
        <w:fldChar w:fldCharType="end"/>
      </w:r>
      <w:r w:rsidRPr="1660A965">
        <w:rPr>
          <w:rFonts w:ascii="Helvetica" w:hAnsi="Helvetica"/>
        </w:rPr>
        <w:t xml:space="preserve">. </w:t>
      </w:r>
    </w:p>
    <w:p w14:paraId="72A26479" w14:textId="3DBA355D" w:rsidR="008357E6" w:rsidRDefault="008357E6" w:rsidP="06E3C927">
      <w:pPr>
        <w:spacing w:line="276" w:lineRule="auto"/>
        <w:jc w:val="both"/>
        <w:rPr>
          <w:rFonts w:ascii="Helvetica" w:hAnsi="Helvetica"/>
        </w:rPr>
      </w:pPr>
    </w:p>
    <w:p w14:paraId="4CBD9767" w14:textId="07ECB02B" w:rsidR="008357E6" w:rsidRDefault="06E3C927" w:rsidP="06E3C927">
      <w:pPr>
        <w:spacing w:line="276" w:lineRule="auto"/>
        <w:jc w:val="both"/>
        <w:rPr>
          <w:rFonts w:ascii="Helvetica" w:hAnsi="Helvetica"/>
          <w:b/>
          <w:bCs/>
        </w:rPr>
      </w:pPr>
      <w:r w:rsidRPr="06E3C927">
        <w:rPr>
          <w:rFonts w:ascii="Helvetica" w:hAnsi="Helvetica"/>
          <w:b/>
          <w:bCs/>
        </w:rPr>
        <w:t>Data presentation</w:t>
      </w:r>
    </w:p>
    <w:p w14:paraId="4A282335" w14:textId="15709C5C" w:rsidR="00492ED3" w:rsidRDefault="002D19BF" w:rsidP="1660A965">
      <w:pPr>
        <w:spacing w:line="276" w:lineRule="auto"/>
        <w:jc w:val="both"/>
        <w:rPr>
          <w:rFonts w:ascii="Helvetica" w:hAnsi="Helvetica"/>
          <w:spacing w:val="3"/>
          <w:shd w:val="clear" w:color="auto" w:fill="FFFFFF"/>
        </w:rPr>
      </w:pPr>
      <w:r w:rsidRPr="1660A965">
        <w:rPr>
          <w:rFonts w:ascii="Helvetica" w:hAnsi="Helvetica"/>
        </w:rPr>
        <w:t xml:space="preserve">Plots were generated using </w:t>
      </w:r>
      <w:proofErr w:type="spellStart"/>
      <w:r w:rsidRPr="1660A965">
        <w:rPr>
          <w:rFonts w:ascii="Helvetica" w:hAnsi="Helvetica"/>
        </w:rPr>
        <w:t>ggpubr</w:t>
      </w:r>
      <w:proofErr w:type="spellEnd"/>
      <w:r w:rsidRPr="1660A965">
        <w:rPr>
          <w:rFonts w:ascii="Helvetica" w:hAnsi="Helvetica"/>
        </w:rPr>
        <w:t xml:space="preserve"> (v0.2) and customizing ggplot2</w:t>
      </w:r>
      <w:r w:rsidR="008D123F" w:rsidRPr="1660A965">
        <w:rPr>
          <w:rFonts w:ascii="Helvetica" w:hAnsi="Helvetica"/>
        </w:rPr>
        <w:t xml:space="preserve"> </w:t>
      </w:r>
      <w:r w:rsidR="00492ED3" w:rsidRPr="1660A965">
        <w:rPr>
          <w:rFonts w:ascii="Helvetica" w:hAnsi="Helvetica"/>
        </w:rPr>
        <w:fldChar w:fldCharType="begin"/>
      </w:r>
      <w:r w:rsidR="00C54D5E">
        <w:rPr>
          <w:rFonts w:ascii="Helvetica" w:hAnsi="Helvetica"/>
        </w:rPr>
        <w:instrText xml:space="preserve"> ADDIN EN.CITE &lt;EndNote&gt;&lt;Cite&gt;&lt;Author&gt;Almeida&lt;/Author&gt;&lt;Year&gt;2018&lt;/Year&gt;&lt;RecNum&gt;407&lt;/RecNum&gt;&lt;DisplayText&gt;[2]&lt;/DisplayText&gt;&lt;record&gt;&lt;rec-number&gt;407&lt;/rec-number&gt;&lt;foreign-keys&gt;&lt;key app="EN" db-id="0x0r5sx0trwx5bessv75zet8t5fazp0eetw2" timestamp="1654433476"&gt;407&lt;/key&gt;&lt;/foreign-keys&gt;&lt;ref-type name="Journal Article"&gt;17&lt;/ref-type&gt;&lt;contributors&gt;&lt;authors&gt;&lt;author&gt;Almeida, A.&lt;/author&gt;&lt;author&gt;Loy, A.&lt;/author&gt;&lt;author&gt;Hofmann, H.&lt;/author&gt;&lt;/authors&gt;&lt;/contributors&gt;&lt;auth-address&gt;Univ Estadual Campinas, Inst Comp, BR-13083852 Campinas, SP, Brazil&amp;#xD;Carleton Coll, Dept Math &amp;amp; Stat, Northfield, MN 55057 USA&amp;#xD;Iowa State Univ, Dept Stat, Ames, IA 50011 USA&lt;/auth-address&gt;&lt;titles&gt;&lt;title&gt;ggplot2 Compatible Quantile-Quantile Plots in R&lt;/title&gt;&lt;secondary-title&gt;R Journal&lt;/secondary-title&gt;&lt;alt-title&gt;R J&lt;/alt-title&gt;&lt;/titles&gt;&lt;periodical&gt;&lt;full-title&gt;R Journal&lt;/full-title&gt;&lt;abbr-1&gt;R J&lt;/abbr-1&gt;&lt;/periodical&gt;&lt;alt-periodical&gt;&lt;full-title&gt;R Journal&lt;/full-title&gt;&lt;abbr-1&gt;R J&lt;/abbr-1&gt;&lt;/alt-periodical&gt;&lt;pages&gt;248-261&lt;/pages&gt;&lt;volume&gt;10&lt;/volume&gt;&lt;number&gt;2&lt;/number&gt;&lt;keywords&gt;&lt;keyword&gt;power&lt;/keyword&gt;&lt;/keywords&gt;&lt;dates&gt;&lt;year&gt;2018&lt;/year&gt;&lt;pub-dates&gt;&lt;date&gt;Dec&lt;/date&gt;&lt;/pub-dates&gt;&lt;/dates&gt;&lt;isbn&gt;2073-4859&lt;/isbn&gt;&lt;accession-num&gt;WOS:000459346200017&lt;/accession-num&gt;&lt;urls&gt;&lt;related-urls&gt;&lt;url&gt;&amp;lt;Go to ISI&amp;gt;://WOS:000459346200017&lt;/url&gt;&lt;/related-urls&gt;&lt;/urls&gt;&lt;language&gt;English&lt;/language&gt;&lt;/record&gt;&lt;/Cite&gt;&lt;/EndNote&gt;</w:instrText>
      </w:r>
      <w:r w:rsidR="00492ED3" w:rsidRPr="1660A965">
        <w:rPr>
          <w:rFonts w:ascii="Helvetica" w:hAnsi="Helvetica"/>
        </w:rPr>
        <w:fldChar w:fldCharType="separate"/>
      </w:r>
      <w:r w:rsidR="00C54D5E">
        <w:rPr>
          <w:rFonts w:ascii="Helvetica" w:hAnsi="Helvetica"/>
          <w:noProof/>
        </w:rPr>
        <w:t>[2]</w:t>
      </w:r>
      <w:r w:rsidR="00492ED3" w:rsidRPr="1660A965">
        <w:rPr>
          <w:rFonts w:ascii="Helvetica" w:hAnsi="Helvetica"/>
        </w:rPr>
        <w:fldChar w:fldCharType="end"/>
      </w:r>
      <w:r w:rsidRPr="1660A965">
        <w:rPr>
          <w:rFonts w:ascii="Helvetica" w:hAnsi="Helvetica"/>
        </w:rPr>
        <w:t xml:space="preserve">. </w:t>
      </w:r>
      <w:r w:rsidR="00580083" w:rsidRPr="1660A965">
        <w:rPr>
          <w:rFonts w:ascii="Helvetica" w:hAnsi="Helvetica"/>
        </w:rPr>
        <w:t>We leveraged HTML document from R Markdown to develop an interactive report for programming-free graphical and interactive evaluation of QC metrics, visualization of cell-type annotation for each cell, and objective selection of insightful optimal cluster numbers.</w:t>
      </w:r>
    </w:p>
    <w:p w14:paraId="55EEBDCB" w14:textId="77777777" w:rsidR="00580083" w:rsidRDefault="00580083" w:rsidP="00E85883">
      <w:pPr>
        <w:spacing w:line="276" w:lineRule="auto"/>
        <w:jc w:val="both"/>
      </w:pPr>
    </w:p>
    <w:p w14:paraId="4F4CDA2C" w14:textId="77777777" w:rsidR="00770F94" w:rsidRDefault="00F323BF" w:rsidP="00585174">
      <w:pPr>
        <w:pStyle w:val="EndNoteBibliography"/>
        <w:jc w:val="both"/>
        <w:rPr>
          <w:rFonts w:ascii="Helvetica" w:hAnsi="Helvetica"/>
          <w:b/>
          <w:bCs/>
        </w:rPr>
      </w:pPr>
      <w:r w:rsidRPr="008357E6">
        <w:rPr>
          <w:rFonts w:ascii="Helvetica" w:hAnsi="Helvetica"/>
          <w:b/>
          <w:bCs/>
        </w:rPr>
        <w:t>Reference:</w:t>
      </w:r>
    </w:p>
    <w:p w14:paraId="685274DD" w14:textId="77777777" w:rsidR="00C54D5E" w:rsidRPr="00C54D5E" w:rsidRDefault="002D19BF" w:rsidP="00585174">
      <w:pPr>
        <w:pStyle w:val="EndNoteBibliography"/>
        <w:ind w:left="284" w:hanging="284"/>
        <w:jc w:val="both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C54D5E" w:rsidRPr="00C54D5E">
        <w:rPr>
          <w:noProof/>
        </w:rPr>
        <w:t>1.</w:t>
      </w:r>
      <w:r w:rsidR="00C54D5E" w:rsidRPr="00C54D5E">
        <w:rPr>
          <w:noProof/>
        </w:rPr>
        <w:tab/>
        <w:t>Fairfax BP, Taylor CA, Watson RA, Nassiri I, Danielli S, Fang H, Mahé EA, Cooper R, Woodcock V, Traill Z</w:t>
      </w:r>
      <w:r w:rsidR="00C54D5E" w:rsidRPr="00C54D5E">
        <w:rPr>
          <w:i/>
          <w:noProof/>
        </w:rPr>
        <w:t xml:space="preserve"> et al</w:t>
      </w:r>
      <w:r w:rsidR="00C54D5E" w:rsidRPr="00C54D5E">
        <w:rPr>
          <w:noProof/>
        </w:rPr>
        <w:t xml:space="preserve">: </w:t>
      </w:r>
      <w:r w:rsidR="00C54D5E" w:rsidRPr="00C54D5E">
        <w:rPr>
          <w:b/>
          <w:noProof/>
        </w:rPr>
        <w:t>Peripheral CD8+ T cell characteristics associated with durable responses to immune checkpoint blockade in patients with metastatic melanoma</w:t>
      </w:r>
      <w:r w:rsidR="00C54D5E" w:rsidRPr="00C54D5E">
        <w:rPr>
          <w:noProof/>
        </w:rPr>
        <w:t xml:space="preserve">. </w:t>
      </w:r>
      <w:r w:rsidR="00C54D5E" w:rsidRPr="00C54D5E">
        <w:rPr>
          <w:i/>
          <w:noProof/>
        </w:rPr>
        <w:t xml:space="preserve">Nature Medicine </w:t>
      </w:r>
      <w:r w:rsidR="00C54D5E" w:rsidRPr="00C54D5E">
        <w:rPr>
          <w:noProof/>
        </w:rPr>
        <w:t xml:space="preserve">2020, </w:t>
      </w:r>
      <w:r w:rsidR="00C54D5E" w:rsidRPr="00C54D5E">
        <w:rPr>
          <w:b/>
          <w:noProof/>
        </w:rPr>
        <w:t>26</w:t>
      </w:r>
      <w:r w:rsidR="00C54D5E" w:rsidRPr="00C54D5E">
        <w:rPr>
          <w:noProof/>
        </w:rPr>
        <w:t>(2):193-199.</w:t>
      </w:r>
    </w:p>
    <w:p w14:paraId="26DB10EA" w14:textId="77777777" w:rsidR="00C54D5E" w:rsidRPr="00C54D5E" w:rsidRDefault="00C54D5E" w:rsidP="00585174">
      <w:pPr>
        <w:pStyle w:val="EndNoteBibliography"/>
        <w:ind w:left="284" w:hanging="284"/>
        <w:jc w:val="both"/>
        <w:rPr>
          <w:noProof/>
        </w:rPr>
      </w:pPr>
      <w:r w:rsidRPr="00C54D5E">
        <w:rPr>
          <w:noProof/>
        </w:rPr>
        <w:t>2.</w:t>
      </w:r>
      <w:r w:rsidRPr="00C54D5E">
        <w:rPr>
          <w:noProof/>
        </w:rPr>
        <w:tab/>
        <w:t xml:space="preserve">Almeida A, Loy A, Hofmann H: </w:t>
      </w:r>
      <w:r w:rsidRPr="00C54D5E">
        <w:rPr>
          <w:b/>
          <w:noProof/>
        </w:rPr>
        <w:t>ggplot2 Compatible Quantile-Quantile Plots in R</w:t>
      </w:r>
      <w:r w:rsidRPr="00C54D5E">
        <w:rPr>
          <w:noProof/>
        </w:rPr>
        <w:t xml:space="preserve">. </w:t>
      </w:r>
      <w:r w:rsidRPr="00C54D5E">
        <w:rPr>
          <w:i/>
          <w:noProof/>
        </w:rPr>
        <w:t xml:space="preserve">R J </w:t>
      </w:r>
      <w:r w:rsidRPr="00C54D5E">
        <w:rPr>
          <w:noProof/>
        </w:rPr>
        <w:t xml:space="preserve">2018, </w:t>
      </w:r>
      <w:r w:rsidRPr="00C54D5E">
        <w:rPr>
          <w:b/>
          <w:noProof/>
        </w:rPr>
        <w:t>10</w:t>
      </w:r>
      <w:r w:rsidRPr="00C54D5E">
        <w:rPr>
          <w:noProof/>
        </w:rPr>
        <w:t>(2):248-261.</w:t>
      </w:r>
    </w:p>
    <w:p w14:paraId="76C1A455" w14:textId="3E5A3CCB" w:rsidR="0026441B" w:rsidRDefault="002D19BF" w:rsidP="00585174">
      <w:pPr>
        <w:spacing w:line="276" w:lineRule="auto"/>
        <w:jc w:val="both"/>
      </w:pPr>
      <w:r>
        <w:fldChar w:fldCharType="end"/>
      </w:r>
    </w:p>
    <w:sectPr w:rsidR="0026441B" w:rsidSect="002D2DBC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EDBE" w14:textId="77777777" w:rsidR="00F64124" w:rsidRDefault="00F64124" w:rsidP="009707C6">
      <w:r>
        <w:separator/>
      </w:r>
    </w:p>
  </w:endnote>
  <w:endnote w:type="continuationSeparator" w:id="0">
    <w:p w14:paraId="45B39B0F" w14:textId="77777777" w:rsidR="00F64124" w:rsidRDefault="00F64124" w:rsidP="0097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7740" w14:textId="754DE113" w:rsidR="009707C6" w:rsidRDefault="009707C6" w:rsidP="00E97E9D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BEB7AB0" w14:textId="77777777" w:rsidR="009707C6" w:rsidRDefault="009707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2902304"/>
      <w:docPartObj>
        <w:docPartGallery w:val="Page Numbers (Bottom of Page)"/>
        <w:docPartUnique/>
      </w:docPartObj>
    </w:sdtPr>
    <w:sdtContent>
      <w:p w14:paraId="59559934" w14:textId="0083613B" w:rsidR="009707C6" w:rsidRDefault="009707C6" w:rsidP="00E97E9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4A8824" w14:textId="77777777" w:rsidR="009707C6" w:rsidRDefault="00970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6E95E" w14:textId="77777777" w:rsidR="00F64124" w:rsidRDefault="00F64124" w:rsidP="009707C6">
      <w:r>
        <w:separator/>
      </w:r>
    </w:p>
  </w:footnote>
  <w:footnote w:type="continuationSeparator" w:id="0">
    <w:p w14:paraId="5275A906" w14:textId="77777777" w:rsidR="00F64124" w:rsidRDefault="00F64124" w:rsidP="00970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0r5sx0trwx5bessv75zet8t5fazp0eetw2&quot;&gt;My EndNote Library&lt;record-ids&gt;&lt;item&gt;407&lt;/item&gt;&lt;/record-ids&gt;&lt;/item&gt;&lt;/Libraries&gt;"/>
  </w:docVars>
  <w:rsids>
    <w:rsidRoot w:val="002D19BF"/>
    <w:rsid w:val="0002206E"/>
    <w:rsid w:val="000269F5"/>
    <w:rsid w:val="000B539A"/>
    <w:rsid w:val="00134A65"/>
    <w:rsid w:val="00157580"/>
    <w:rsid w:val="00177394"/>
    <w:rsid w:val="001C7D40"/>
    <w:rsid w:val="00201560"/>
    <w:rsid w:val="002639ED"/>
    <w:rsid w:val="0026441B"/>
    <w:rsid w:val="002D19BF"/>
    <w:rsid w:val="002D2DBC"/>
    <w:rsid w:val="002D5F3A"/>
    <w:rsid w:val="002F14D3"/>
    <w:rsid w:val="00332BE6"/>
    <w:rsid w:val="003409E1"/>
    <w:rsid w:val="00383C86"/>
    <w:rsid w:val="003C10DE"/>
    <w:rsid w:val="003D7394"/>
    <w:rsid w:val="00410CD4"/>
    <w:rsid w:val="00431905"/>
    <w:rsid w:val="0048727E"/>
    <w:rsid w:val="00492ED3"/>
    <w:rsid w:val="004A176F"/>
    <w:rsid w:val="004F3D07"/>
    <w:rsid w:val="00580083"/>
    <w:rsid w:val="00585174"/>
    <w:rsid w:val="00661E91"/>
    <w:rsid w:val="00661EC5"/>
    <w:rsid w:val="00697774"/>
    <w:rsid w:val="006A1AD9"/>
    <w:rsid w:val="006C3545"/>
    <w:rsid w:val="00770F94"/>
    <w:rsid w:val="00774FE2"/>
    <w:rsid w:val="007C0708"/>
    <w:rsid w:val="008357E6"/>
    <w:rsid w:val="008A0101"/>
    <w:rsid w:val="008D123F"/>
    <w:rsid w:val="008E387B"/>
    <w:rsid w:val="008F1E4C"/>
    <w:rsid w:val="00913F68"/>
    <w:rsid w:val="009141B1"/>
    <w:rsid w:val="00961226"/>
    <w:rsid w:val="009666E6"/>
    <w:rsid w:val="009707C6"/>
    <w:rsid w:val="009754F5"/>
    <w:rsid w:val="00983938"/>
    <w:rsid w:val="00994347"/>
    <w:rsid w:val="00A501F1"/>
    <w:rsid w:val="00A90029"/>
    <w:rsid w:val="00A9006A"/>
    <w:rsid w:val="00AF4DB8"/>
    <w:rsid w:val="00B20463"/>
    <w:rsid w:val="00B40C52"/>
    <w:rsid w:val="00BD5DCA"/>
    <w:rsid w:val="00BE0870"/>
    <w:rsid w:val="00C3230C"/>
    <w:rsid w:val="00C402C8"/>
    <w:rsid w:val="00C53A3B"/>
    <w:rsid w:val="00C54D5E"/>
    <w:rsid w:val="00C55600"/>
    <w:rsid w:val="00C97948"/>
    <w:rsid w:val="00CF71B5"/>
    <w:rsid w:val="00D6140C"/>
    <w:rsid w:val="00DD344C"/>
    <w:rsid w:val="00DD6482"/>
    <w:rsid w:val="00E6106D"/>
    <w:rsid w:val="00E763DF"/>
    <w:rsid w:val="00E85883"/>
    <w:rsid w:val="00ED5625"/>
    <w:rsid w:val="00F00650"/>
    <w:rsid w:val="00F323BF"/>
    <w:rsid w:val="00F41293"/>
    <w:rsid w:val="00F42754"/>
    <w:rsid w:val="00F64124"/>
    <w:rsid w:val="00FC6EBE"/>
    <w:rsid w:val="0358CD05"/>
    <w:rsid w:val="068CA322"/>
    <w:rsid w:val="06E3C927"/>
    <w:rsid w:val="132908A3"/>
    <w:rsid w:val="1660A965"/>
    <w:rsid w:val="17BD5FC6"/>
    <w:rsid w:val="29C9322E"/>
    <w:rsid w:val="2A890887"/>
    <w:rsid w:val="2B6646E3"/>
    <w:rsid w:val="2DC0A949"/>
    <w:rsid w:val="3146A356"/>
    <w:rsid w:val="320456C9"/>
    <w:rsid w:val="3AD45D3F"/>
    <w:rsid w:val="3DDEBA99"/>
    <w:rsid w:val="5061F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7878D"/>
  <w15:chartTrackingRefBased/>
  <w15:docId w15:val="{8DB8087C-4134-254E-A48D-96FCAB0C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394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5758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19BF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2D19BF"/>
    <w:pPr>
      <w:jc w:val="center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19BF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D19BF"/>
    <w:rPr>
      <w:rFonts w:ascii="Calibri" w:eastAsiaTheme="minorHAnsi" w:hAnsi="Calibri" w:cs="Calibr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D19BF"/>
    <w:rPr>
      <w:rFonts w:ascii="Calibri" w:hAnsi="Calibri" w:cs="Calibri"/>
      <w:lang w:val="en-US"/>
    </w:rPr>
  </w:style>
  <w:style w:type="character" w:styleId="Emphasis">
    <w:name w:val="Emphasis"/>
    <w:basedOn w:val="DefaultParagraphFont"/>
    <w:uiPriority w:val="20"/>
    <w:qFormat/>
    <w:rsid w:val="00157580"/>
    <w:rPr>
      <w:i/>
      <w:iCs/>
    </w:rPr>
  </w:style>
  <w:style w:type="character" w:styleId="Hyperlink">
    <w:name w:val="Hyperlink"/>
    <w:basedOn w:val="DefaultParagraphFont"/>
    <w:uiPriority w:val="99"/>
    <w:unhideWhenUsed/>
    <w:rsid w:val="0015758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5758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9777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707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07C6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9707C6"/>
  </w:style>
  <w:style w:type="paragraph" w:customStyle="1" w:styleId="paragraph">
    <w:name w:val="paragraph"/>
    <w:basedOn w:val="Normal"/>
    <w:rsid w:val="00492E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5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Isar Nassiri</cp:lastModifiedBy>
  <cp:revision>41</cp:revision>
  <dcterms:created xsi:type="dcterms:W3CDTF">2022-02-11T13:38:00Z</dcterms:created>
  <dcterms:modified xsi:type="dcterms:W3CDTF">2023-03-25T10:18:00Z</dcterms:modified>
</cp:coreProperties>
</file>