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81792" w14:textId="4687C107" w:rsidR="00154A0D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 w:hint="eastAsia"/>
          <w:sz w:val="24"/>
          <w:szCs w:val="24"/>
        </w:rPr>
        <w:t>aterials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methods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LC-MS/MS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D82E29">
        <w:rPr>
          <w:rFonts w:ascii="Times New Roman" w:hAnsi="Times New Roman" w:cs="Times New Roman"/>
          <w:sz w:val="24"/>
          <w:szCs w:val="24"/>
        </w:rPr>
        <w:t>etabolite analysis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8BEC9" w14:textId="61050B9F" w:rsidR="00154A0D" w:rsidRPr="002B02BD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1A7654">
        <w:rPr>
          <w:rFonts w:ascii="Times New Roman" w:hAnsi="Times New Roman" w:cs="Times New Roman"/>
          <w:sz w:val="24"/>
          <w:szCs w:val="24"/>
        </w:rPr>
        <w:t>Sample preparation and extraction</w:t>
      </w:r>
    </w:p>
    <w:p w14:paraId="658BE947" w14:textId="77777777" w:rsidR="00154A0D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</w:t>
      </w:r>
      <w:r w:rsidRPr="002B02BD">
        <w:rPr>
          <w:rFonts w:ascii="Times New Roman" w:hAnsi="Times New Roman" w:cs="Times New Roman"/>
          <w:sz w:val="24"/>
          <w:szCs w:val="24"/>
        </w:rPr>
        <w:t>epatopancreas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02BD">
        <w:rPr>
          <w:rFonts w:ascii="Times New Roman" w:hAnsi="Times New Roman" w:cs="Times New Roman"/>
          <w:sz w:val="24"/>
          <w:szCs w:val="24"/>
        </w:rPr>
        <w:t>intestine</w:t>
      </w:r>
      <w:r>
        <w:rPr>
          <w:rFonts w:ascii="Times New Roman" w:hAnsi="Times New Roman" w:cs="Times New Roman"/>
          <w:sz w:val="24"/>
          <w:szCs w:val="24"/>
        </w:rPr>
        <w:t xml:space="preserve"> and muscles of 12 fish (6 for 4</w:t>
      </w:r>
      <w:r w:rsidRPr="001B5316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 and 6 for 17</w:t>
      </w:r>
      <w:r w:rsidRPr="001B5316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A7654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1A7654">
        <w:rPr>
          <w:rFonts w:ascii="Times New Roman" w:hAnsi="Times New Roman" w:cs="Times New Roman"/>
          <w:sz w:val="24"/>
          <w:szCs w:val="24"/>
        </w:rPr>
        <w:t xml:space="preserve"> thawed on ice. Take 50 mg of one sample and homogenize it with 1000 ul of ice-cold methanol/water (70%, v/v). Add cold steel balls to the mixture and homogenate for at 30 Hz for 3 min. Whirl the mixture for 1 min, and then centrifuge it with 12,000 rpm at 4</w:t>
      </w:r>
      <w:r w:rsidRPr="001B5316">
        <w:rPr>
          <w:rFonts w:ascii="Times New Roman" w:hAnsi="Times New Roman" w:cs="Times New Roman"/>
          <w:sz w:val="24"/>
          <w:szCs w:val="24"/>
        </w:rPr>
        <w:t>°C</w:t>
      </w:r>
      <w:r w:rsidRPr="001A7654">
        <w:rPr>
          <w:rFonts w:ascii="Times New Roman" w:hAnsi="Times New Roman" w:cs="Times New Roman"/>
          <w:sz w:val="24"/>
          <w:szCs w:val="24"/>
        </w:rPr>
        <w:t xml:space="preserve"> for 10 min. The collected supernatant will be used for LC-MS/MS analysis.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134D7" w14:textId="199BCA0D" w:rsidR="00154A0D" w:rsidRPr="001A7654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1A7654">
        <w:rPr>
          <w:rFonts w:ascii="Times New Roman" w:hAnsi="Times New Roman" w:cs="Times New Roman"/>
          <w:sz w:val="24"/>
          <w:szCs w:val="24"/>
        </w:rPr>
        <w:t>HPLC Conditions</w:t>
      </w:r>
    </w:p>
    <w:p w14:paraId="4ED4F319" w14:textId="77777777" w:rsidR="00154A0D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7654">
        <w:rPr>
          <w:rFonts w:ascii="Times New Roman" w:hAnsi="Times New Roman" w:cs="Times New Roman"/>
          <w:sz w:val="24"/>
          <w:szCs w:val="24"/>
        </w:rPr>
        <w:t>The sample extracts were analyzed using an LC-ESI-MS/MS system (UPLC, Shim-pack UFLC SHIMADZU CBM A system, https://www.shimadzu.com/; MS, QTRAP® System, https://sciex.com/). The analytical conditions were as follows, UPLC: column, Waters ACQUITY UPLC HSS T3 C18 (1.8 µm, 2.1 mm*100 mm); column temperature, 40</w:t>
      </w:r>
      <w:r w:rsidRPr="001B5316">
        <w:rPr>
          <w:rFonts w:ascii="Times New Roman" w:hAnsi="Times New Roman" w:cs="Times New Roman"/>
          <w:sz w:val="24"/>
          <w:szCs w:val="24"/>
        </w:rPr>
        <w:t>°C</w:t>
      </w:r>
      <w:r w:rsidRPr="001A7654">
        <w:rPr>
          <w:rFonts w:ascii="Times New Roman" w:hAnsi="Times New Roman" w:cs="Times New Roman"/>
          <w:sz w:val="24"/>
          <w:szCs w:val="24"/>
        </w:rPr>
        <w:t>; flow rate, 0.4 m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1A7654">
        <w:rPr>
          <w:rFonts w:ascii="Times New Roman" w:hAnsi="Times New Roman" w:cs="Times New Roman"/>
          <w:sz w:val="24"/>
          <w:szCs w:val="24"/>
        </w:rPr>
        <w:t>/min; injection volume, 2μ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1A7654">
        <w:rPr>
          <w:rFonts w:ascii="Times New Roman" w:hAnsi="Times New Roman" w:cs="Times New Roman"/>
          <w:sz w:val="24"/>
          <w:szCs w:val="24"/>
        </w:rPr>
        <w:t>; solvent system, water (0.04% acetic acid): acetonitrile (0.04% acetic acid); gradient program, 95:5 V/V at 0 min, 5:95 V/V at 11.0 min, 5:95 V/V at 12.0 min, 95:5 V/V at 12.1 min, 95:5 V/V at 14.0 min.</w:t>
      </w:r>
    </w:p>
    <w:p w14:paraId="5A7EDB80" w14:textId="08A30ECC" w:rsidR="00154A0D" w:rsidRPr="00596DFA" w:rsidRDefault="00154A0D" w:rsidP="00154A0D">
      <w:pPr>
        <w:spacing w:beforeLines="50" w:before="156" w:afterLines="50" w:after="156"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596DFA">
        <w:rPr>
          <w:rFonts w:ascii="Times New Roman" w:hAnsi="Times New Roman" w:cs="Times New Roman"/>
          <w:sz w:val="24"/>
          <w:szCs w:val="24"/>
        </w:rPr>
        <w:t xml:space="preserve">3 </w:t>
      </w:r>
      <w:r w:rsidRPr="00596DFA">
        <w:rPr>
          <w:rFonts w:ascii="Times New Roman" w:eastAsia="宋体" w:hAnsi="Times New Roman" w:cs="Times New Roman"/>
          <w:sz w:val="24"/>
          <w:szCs w:val="24"/>
        </w:rPr>
        <w:t>ESI-QTRAP-MS/MS</w:t>
      </w:r>
    </w:p>
    <w:p w14:paraId="4FB79A09" w14:textId="77777777" w:rsidR="00154A0D" w:rsidRPr="00596DFA" w:rsidRDefault="00154A0D" w:rsidP="00154A0D">
      <w:pPr>
        <w:spacing w:beforeLines="50" w:before="156" w:afterLines="50" w:after="156"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596DFA">
        <w:rPr>
          <w:rFonts w:ascii="Times New Roman" w:eastAsia="宋体" w:hAnsi="Times New Roman" w:cs="Times New Roman"/>
          <w:sz w:val="24"/>
          <w:szCs w:val="24"/>
        </w:rPr>
        <w:t>LIT and triple quadrupole (QQQ) scans were acquired on a triple quadrupole-linear ion trap mass spectrometer (QTRAP), QTRAP® LC-MS/MS System, equipped with an ESI Turbo Ion-Spray interface, operating in positive and negative ion mode and controlled by Analyst 1.6.3 software (Sciex). The ESI source operation parameters were as follows: source temperature 500 ∘C; ion spray voltage (IS) 5500 V (positive), -4500 V (negative); ion source gas I (GSI), gas II (GSII), and curtain gas (CUR) were set at 55, 60, and 25.0 psi, respectively; the collision gas (CAD) was high. Instrument tuning and mass calibration were performed with 10 and 100 μmol/L polypropylene glycol solutions in QQQ and LIT modes, respectively. A specific set of MRM transitions were monitored for each period according to the metabolites eluted within this period.</w:t>
      </w:r>
    </w:p>
    <w:p w14:paraId="519D319F" w14:textId="727B52D1" w:rsidR="00154A0D" w:rsidRPr="0092583B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92583B">
        <w:rPr>
          <w:rFonts w:ascii="Times New Roman" w:hAnsi="Times New Roman" w:cs="Times New Roman"/>
          <w:sz w:val="24"/>
          <w:szCs w:val="24"/>
        </w:rPr>
        <w:t xml:space="preserve">Metabolite profiling. </w:t>
      </w:r>
    </w:p>
    <w:p w14:paraId="16857F40" w14:textId="77777777" w:rsidR="00154A0D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583B">
        <w:rPr>
          <w:rFonts w:ascii="Times New Roman" w:hAnsi="Times New Roman" w:cs="Times New Roman"/>
          <w:sz w:val="24"/>
          <w:szCs w:val="24"/>
        </w:rPr>
        <w:t xml:space="preserve">Metabolite profiling was carried out using a widely targeted metabolome method by </w:t>
      </w:r>
      <w:r w:rsidRPr="0092583B">
        <w:rPr>
          <w:rFonts w:ascii="Times New Roman" w:hAnsi="Times New Roman" w:cs="Times New Roman"/>
          <w:sz w:val="24"/>
          <w:szCs w:val="24"/>
        </w:rPr>
        <w:lastRenderedPageBreak/>
        <w:t>Wuhan Metware Biotechnology Co., Ltd. (Wuhan, China) (http://www.metware.cn/). The sample were extracted as previously described before analysis using an LC–electrospray ionization (ESI)-MS/MS system. The extracts were absorbed (CNWBOND Carbon-GCB SPE Cartridge, 250 mg, 3 ml; Shanghai ANPEL Scientific Instrument Co., Ltd.). Quantification of metabolites was carried out using a multiple reaction monitoring (MRM) method</w:t>
      </w:r>
      <w:r>
        <w:rPr>
          <w:rFonts w:ascii="Times New Roman" w:hAnsi="Times New Roman" w:cs="Times New Roman"/>
          <w:sz w:val="24"/>
          <w:szCs w:val="24"/>
        </w:rPr>
        <w:t xml:space="preserve"> with 6 b</w:t>
      </w:r>
      <w:r w:rsidRPr="006016EE">
        <w:rPr>
          <w:rFonts w:ascii="Times New Roman" w:hAnsi="Times New Roman" w:cs="Times New Roman"/>
          <w:sz w:val="24"/>
          <w:szCs w:val="24"/>
        </w:rPr>
        <w:t>iological repetition</w:t>
      </w:r>
      <w:r>
        <w:rPr>
          <w:rFonts w:ascii="Times New Roman" w:hAnsi="Times New Roman" w:cs="Times New Roman"/>
          <w:sz w:val="24"/>
          <w:szCs w:val="24"/>
        </w:rPr>
        <w:t>s each temperature treatment</w:t>
      </w:r>
      <w:r w:rsidRPr="009258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F6F9A" w14:textId="00250A4D" w:rsidR="00154A0D" w:rsidRPr="001A7654" w:rsidRDefault="00154A0D" w:rsidP="00154A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B</w:t>
      </w:r>
      <w:r w:rsidRPr="006016EE">
        <w:rPr>
          <w:rFonts w:ascii="Times New Roman" w:hAnsi="Times New Roman" w:cs="Times New Roman"/>
          <w:sz w:val="24"/>
          <w:szCs w:val="24"/>
        </w:rPr>
        <w:t>ioinformatic analysis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92702" w14:textId="51235D49" w:rsidR="00154A0D" w:rsidRPr="00A62558" w:rsidRDefault="00154A0D" w:rsidP="00154A0D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Pr="00A62558">
        <w:rPr>
          <w:rFonts w:ascii="Times New Roman" w:hAnsi="Times New Roman" w:cs="Times New Roman"/>
          <w:sz w:val="24"/>
          <w:szCs w:val="24"/>
        </w:rPr>
        <w:t>rincipal component analysis (PCA) was performed by statistics function prcomp within R (www.r-project.org). The data was unit variance scaled before unsupervised PCA.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2C9">
        <w:rPr>
          <w:rFonts w:ascii="Times New Roman" w:hAnsi="Times New Roman" w:cs="Times New Roman"/>
          <w:sz w:val="24"/>
          <w:szCs w:val="24"/>
        </w:rPr>
        <w:t>The standardized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A52C9">
        <w:rPr>
          <w:rFonts w:ascii="Times New Roman" w:hAnsi="Times New Roman" w:cs="Times New Roman"/>
          <w:sz w:val="24"/>
          <w:szCs w:val="24"/>
        </w:rPr>
        <w:t>scores of the first three components which explained the highest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A52C9">
        <w:rPr>
          <w:rFonts w:ascii="Times New Roman" w:hAnsi="Times New Roman" w:cs="Times New Roman"/>
          <w:sz w:val="24"/>
          <w:szCs w:val="24"/>
        </w:rPr>
        <w:t>variation were used to make biplots.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558">
        <w:rPr>
          <w:rFonts w:ascii="Times New Roman" w:hAnsi="Times New Roman" w:cs="Times New Roman"/>
          <w:sz w:val="24"/>
          <w:szCs w:val="24"/>
        </w:rPr>
        <w:t xml:space="preserve">The hierarchical cluster analysis (HCA) results of samples and metabolites were presented as heatmaps with dendrograms, while pearson correlation coefficients (PCC) between samples were caculated by the cor function in R and presented </w:t>
      </w:r>
      <w:r w:rsidR="00C27A1E">
        <w:rPr>
          <w:rFonts w:ascii="Times New Roman" w:hAnsi="Times New Roman" w:cs="Times New Roman" w:hint="eastAsia"/>
          <w:sz w:val="24"/>
          <w:szCs w:val="24"/>
        </w:rPr>
        <w:t>by</w:t>
      </w:r>
      <w:r w:rsidRPr="00A62558">
        <w:rPr>
          <w:rFonts w:ascii="Times New Roman" w:hAnsi="Times New Roman" w:cs="Times New Roman"/>
          <w:sz w:val="24"/>
          <w:szCs w:val="24"/>
        </w:rPr>
        <w:t xml:space="preserve"> heatmaps. Both HCA and PCC were carried out by R package pheatmap. For HCA, normalized signal intensities of metabolites (unit variance scaling) are visualized as a color spectrum.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558">
        <w:rPr>
          <w:rFonts w:ascii="Times New Roman" w:hAnsi="Times New Roman" w:cs="Times New Roman"/>
          <w:sz w:val="24"/>
          <w:szCs w:val="24"/>
        </w:rPr>
        <w:t>Significantly regulated metabolites between groups were determined by VIP &gt;= 1 and absolute Log2FC (fold change) &gt;= 1. VIP values were extracted from OPLS-DA result, which also contain score plots and permutation plots, was generated using R package MetaboAnalystR. The data was log transform (log2) and mean centering before OPLS-DA. In order to avoid overfitting, a permutation test (200 permutations) was performed.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558">
        <w:rPr>
          <w:rFonts w:ascii="Times New Roman" w:hAnsi="Times New Roman" w:cs="Times New Roman"/>
          <w:sz w:val="24"/>
          <w:szCs w:val="24"/>
        </w:rPr>
        <w:t xml:space="preserve">Identified metabolites were annotated using KEGG Compound database (http://www.kegg.jp/kegg/compound/), annotated metabolites were then mapped to KEGG Pathway database (http://www.kegg.jp/kegg/pathway.html). Pathways with significantly regulated metabolites mapped to were then fed into MSEA (metabolite sets enrichment analysis), their significance was determined by hypergeometric test’s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62558">
        <w:rPr>
          <w:rFonts w:ascii="Times New Roman" w:hAnsi="Times New Roman" w:cs="Times New Roman"/>
          <w:sz w:val="24"/>
          <w:szCs w:val="24"/>
        </w:rPr>
        <w:t>-values.</w:t>
      </w:r>
    </w:p>
    <w:p w14:paraId="06D1E768" w14:textId="77777777" w:rsidR="00066027" w:rsidRPr="00154A0D" w:rsidRDefault="00066027"/>
    <w:sectPr w:rsidR="00066027" w:rsidRPr="00154A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8A037" w14:textId="77777777" w:rsidR="00E511C4" w:rsidRDefault="00E511C4" w:rsidP="00154A0D">
      <w:r>
        <w:separator/>
      </w:r>
    </w:p>
  </w:endnote>
  <w:endnote w:type="continuationSeparator" w:id="0">
    <w:p w14:paraId="3935A03C" w14:textId="77777777" w:rsidR="00E511C4" w:rsidRDefault="00E511C4" w:rsidP="0015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667B" w14:textId="77777777" w:rsidR="00E511C4" w:rsidRDefault="00E511C4" w:rsidP="00154A0D">
      <w:r>
        <w:separator/>
      </w:r>
    </w:p>
  </w:footnote>
  <w:footnote w:type="continuationSeparator" w:id="0">
    <w:p w14:paraId="1E7B606B" w14:textId="77777777" w:rsidR="00E511C4" w:rsidRDefault="00E511C4" w:rsidP="00154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30"/>
    <w:rsid w:val="00066027"/>
    <w:rsid w:val="00154A0D"/>
    <w:rsid w:val="00A41E06"/>
    <w:rsid w:val="00A65130"/>
    <w:rsid w:val="00B41420"/>
    <w:rsid w:val="00C27A1E"/>
    <w:rsid w:val="00E5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17B11"/>
  <w15:chartTrackingRefBased/>
  <w15:docId w15:val="{E9930303-2385-4DE1-9C72-3DC7D054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A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4A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4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4A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Sijia</dc:creator>
  <cp:keywords/>
  <dc:description/>
  <cp:lastModifiedBy>liu Sijia</cp:lastModifiedBy>
  <cp:revision>4</cp:revision>
  <dcterms:created xsi:type="dcterms:W3CDTF">2022-03-03T07:18:00Z</dcterms:created>
  <dcterms:modified xsi:type="dcterms:W3CDTF">2022-03-04T10:58:00Z</dcterms:modified>
</cp:coreProperties>
</file>