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8B87B3" w14:textId="77777777" w:rsidR="00B313F4" w:rsidRDefault="00456DA7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en-US"/>
        </w:rPr>
        <w:drawing>
          <wp:inline distT="0" distB="0" distL="0" distR="0" wp14:anchorId="7F21C451" wp14:editId="4D754545">
            <wp:extent cx="5274310" cy="4153535"/>
            <wp:effectExtent l="0" t="0" r="2540" b="0"/>
            <wp:docPr id="16030690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069031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5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1A881" w14:textId="77777777" w:rsidR="00B313F4" w:rsidRDefault="00456DA7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Fig.</w:t>
      </w:r>
      <w:proofErr w:type="gramEnd"/>
      <w:r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 w:hint="eastAsia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Detection frequencies of SVs with different sizes.</w:t>
      </w:r>
      <w:proofErr w:type="gramEnd"/>
      <w:r>
        <w:rPr>
          <w:rFonts w:ascii="Arial" w:hAnsi="Arial" w:cs="Arial"/>
          <w:sz w:val="24"/>
          <w:szCs w:val="24"/>
        </w:rPr>
        <w:t xml:space="preserve"> a. DEL; b. INS; c. DUP; d. INV.</w:t>
      </w:r>
    </w:p>
    <w:p w14:paraId="35D21FC6" w14:textId="77777777" w:rsidR="00651553" w:rsidRDefault="00651553">
      <w:pPr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4B18B7AE" w14:textId="77777777" w:rsidR="00651553" w:rsidRDefault="00651553">
      <w:pPr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7F8FD91F" w14:textId="77777777" w:rsidR="00651553" w:rsidRDefault="00651553">
      <w:pPr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51121A37" w14:textId="77777777" w:rsidR="00651553" w:rsidRDefault="00651553">
      <w:pPr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7F7C99E1" w14:textId="77777777" w:rsidR="00651553" w:rsidRDefault="00651553">
      <w:pPr>
        <w:spacing w:line="480" w:lineRule="auto"/>
        <w:jc w:val="left"/>
        <w:rPr>
          <w:rFonts w:ascii="Microsoft YaHei UI" w:eastAsia="Microsoft YaHei UI" w:hAnsi="Microsoft YaHei UI" w:cs="Microsoft YaHei UI"/>
          <w:color w:val="4472C4" w:themeColor="accent1"/>
          <w:kern w:val="0"/>
          <w:sz w:val="15"/>
          <w:szCs w:val="15"/>
          <w:shd w:val="clear" w:color="auto" w:fill="FFFFFF"/>
          <w:lang w:bidi="ar"/>
        </w:rPr>
      </w:pPr>
    </w:p>
    <w:p w14:paraId="69B5A107" w14:textId="03223B54" w:rsidR="00651553" w:rsidRDefault="00651553" w:rsidP="00651553">
      <w:pPr>
        <w:spacing w:line="480" w:lineRule="auto"/>
        <w:jc w:val="center"/>
        <w:rPr>
          <w:rFonts w:ascii="Microsoft YaHei UI" w:eastAsia="Microsoft YaHei UI" w:hAnsi="Microsoft YaHei UI" w:cs="Times New Roman"/>
          <w:color w:val="4874CB"/>
          <w:kern w:val="0"/>
          <w:sz w:val="15"/>
          <w:szCs w:val="15"/>
          <w:shd w:val="clear" w:color="auto" w:fill="FFFFFF"/>
        </w:rPr>
      </w:pPr>
      <w:r>
        <w:rPr>
          <w:noProof/>
          <w:lang w:eastAsia="en-US"/>
        </w:rPr>
        <w:lastRenderedPageBreak/>
        <w:drawing>
          <wp:inline distT="0" distB="0" distL="0" distR="0" wp14:anchorId="5BA47DAE" wp14:editId="274E5511">
            <wp:extent cx="5266055" cy="2190750"/>
            <wp:effectExtent l="0" t="0" r="0" b="0"/>
            <wp:docPr id="17666056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F6DDE" w14:textId="77777777" w:rsidR="00651553" w:rsidRDefault="00651553" w:rsidP="00651553">
      <w:pPr>
        <w:spacing w:line="480" w:lineRule="auto"/>
        <w:jc w:val="left"/>
        <w:rPr>
          <w:rFonts w:ascii="Arial" w:eastAsia="SimSun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Fig.</w:t>
      </w:r>
      <w:proofErr w:type="gramEnd"/>
      <w:r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 w:hint="eastAsia"/>
          <w:sz w:val="24"/>
          <w:szCs w:val="24"/>
        </w:rPr>
        <w:t xml:space="preserve">2. </w:t>
      </w:r>
      <w:proofErr w:type="gramStart"/>
      <w:r>
        <w:rPr>
          <w:rFonts w:ascii="Arial" w:hAnsi="Arial" w:cs="Arial" w:hint="eastAsia"/>
          <w:sz w:val="24"/>
          <w:szCs w:val="24"/>
        </w:rPr>
        <w:t xml:space="preserve">SVs in 133 </w:t>
      </w:r>
      <w:r>
        <w:rPr>
          <w:rFonts w:ascii="Arial" w:hAnsi="Arial" w:cs="Arial" w:hint="eastAsia"/>
          <w:i/>
          <w:iCs/>
          <w:sz w:val="24"/>
          <w:szCs w:val="24"/>
        </w:rPr>
        <w:t>L. sativa</w:t>
      </w:r>
      <w:r>
        <w:rPr>
          <w:rFonts w:ascii="Arial" w:hAnsi="Arial" w:cs="Arial" w:hint="eastAsia"/>
          <w:sz w:val="24"/>
          <w:szCs w:val="24"/>
        </w:rPr>
        <w:t xml:space="preserve"> accessions.</w:t>
      </w:r>
      <w:proofErr w:type="gramEnd"/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 w:hint="eastAsia"/>
          <w:b/>
          <w:bCs/>
          <w:sz w:val="24"/>
          <w:szCs w:val="24"/>
        </w:rPr>
        <w:t>a</w:t>
      </w:r>
      <w:r>
        <w:rPr>
          <w:rFonts w:ascii="Arial" w:hAnsi="Arial" w:cs="Arial" w:hint="eastAsia"/>
          <w:sz w:val="24"/>
          <w:szCs w:val="24"/>
        </w:rPr>
        <w:t xml:space="preserve">. The distribution of SVs along the lettuce genome. </w:t>
      </w:r>
      <w:proofErr w:type="spellStart"/>
      <w:r>
        <w:rPr>
          <w:rFonts w:ascii="Arial" w:hAnsi="Arial" w:cs="Arial" w:hint="eastAsia"/>
          <w:sz w:val="24"/>
          <w:szCs w:val="24"/>
        </w:rPr>
        <w:t>Circos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plot from outer to inter tracks shows, (I) gene density in a 1-Mb sliding window, (II) GC content, (III-VII) SV count in the 1-Mb window for various SV types, including DEL (III), INS (IV), TRA (V), INV (VI), and DUP (VII). </w:t>
      </w:r>
      <w:r>
        <w:rPr>
          <w:rFonts w:ascii="Arial" w:hAnsi="Arial" w:cs="Arial" w:hint="eastAsia"/>
          <w:b/>
          <w:bCs/>
          <w:sz w:val="24"/>
          <w:szCs w:val="24"/>
        </w:rPr>
        <w:t>b.</w:t>
      </w:r>
      <w:r>
        <w:rPr>
          <w:rFonts w:ascii="Arial" w:hAnsi="Arial" w:cs="Arial" w:hint="eastAsia"/>
          <w:sz w:val="24"/>
          <w:szCs w:val="24"/>
        </w:rPr>
        <w:t xml:space="preserve"> The number of different SV types. </w:t>
      </w:r>
      <w:r>
        <w:rPr>
          <w:rFonts w:ascii="Arial" w:hAnsi="Arial" w:cs="Arial" w:hint="eastAsia"/>
          <w:b/>
          <w:bCs/>
          <w:sz w:val="24"/>
          <w:szCs w:val="24"/>
        </w:rPr>
        <w:t>c.</w:t>
      </w:r>
      <w:r>
        <w:rPr>
          <w:rFonts w:ascii="Arial" w:hAnsi="Arial" w:cs="Arial" w:hint="eastAsia"/>
          <w:sz w:val="24"/>
          <w:szCs w:val="24"/>
        </w:rPr>
        <w:t xml:space="preserve"> Detection frequencies of SVs with different sizes. </w:t>
      </w:r>
      <w:r>
        <w:rPr>
          <w:rFonts w:ascii="Arial" w:hAnsi="Arial" w:cs="Arial" w:hint="eastAsia"/>
          <w:b/>
          <w:bCs/>
          <w:sz w:val="24"/>
          <w:szCs w:val="24"/>
        </w:rPr>
        <w:t>d.</w:t>
      </w:r>
      <w:r>
        <w:rPr>
          <w:rFonts w:ascii="Arial" w:hAnsi="Arial" w:cs="Arial" w:hint="eastAsia"/>
          <w:sz w:val="24"/>
          <w:szCs w:val="24"/>
        </w:rPr>
        <w:t xml:space="preserve"> The density of SVs and gene on each chromosome (count per Mb).</w:t>
      </w:r>
      <w:r>
        <w:rPr>
          <w:rFonts w:ascii="Arial" w:hAnsi="Arial" w:cs="Arial" w:hint="eastAsia"/>
          <w:b/>
          <w:bCs/>
          <w:sz w:val="24"/>
          <w:szCs w:val="24"/>
        </w:rPr>
        <w:t xml:space="preserve"> e.</w:t>
      </w:r>
      <w:r>
        <w:rPr>
          <w:rFonts w:ascii="Arial" w:hAnsi="Arial" w:cs="Arial" w:hint="eastAsia"/>
          <w:sz w:val="24"/>
          <w:szCs w:val="24"/>
        </w:rPr>
        <w:t xml:space="preserve"> The number of SVs from different generic regions.</w:t>
      </w:r>
    </w:p>
    <w:p w14:paraId="3756E62B" w14:textId="77777777" w:rsidR="00651553" w:rsidRDefault="00651553" w:rsidP="00651553">
      <w:pPr>
        <w:spacing w:line="480" w:lineRule="auto"/>
        <w:jc w:val="center"/>
        <w:rPr>
          <w:rFonts w:ascii="Microsoft YaHei UI" w:eastAsia="Microsoft YaHei UI" w:hAnsi="Microsoft YaHei UI" w:cs="Times New Roman"/>
          <w:color w:val="4874CB"/>
          <w:kern w:val="0"/>
          <w:sz w:val="15"/>
          <w:szCs w:val="15"/>
          <w:shd w:val="clear" w:color="auto" w:fill="FFFFFF"/>
        </w:rPr>
      </w:pPr>
      <w:r>
        <w:rPr>
          <w:rFonts w:ascii="Microsoft YaHei UI" w:eastAsia="Microsoft YaHei UI" w:hAnsi="Microsoft YaHei UI" w:hint="eastAsia"/>
          <w:color w:val="4874CB"/>
          <w:kern w:val="0"/>
          <w:sz w:val="15"/>
          <w:szCs w:val="15"/>
          <w:shd w:val="clear" w:color="auto" w:fill="FFFFFF"/>
        </w:rPr>
        <w:t xml:space="preserve"> </w:t>
      </w:r>
    </w:p>
    <w:p w14:paraId="1BC8D7AA" w14:textId="77777777" w:rsidR="00651553" w:rsidRDefault="00651553" w:rsidP="00651553">
      <w:pPr>
        <w:spacing w:line="480" w:lineRule="auto"/>
        <w:jc w:val="center"/>
        <w:rPr>
          <w:rFonts w:ascii="Microsoft YaHei UI" w:eastAsia="Microsoft YaHei UI" w:hAnsi="Microsoft YaHei UI"/>
          <w:color w:val="4874CB"/>
          <w:kern w:val="0"/>
          <w:sz w:val="15"/>
          <w:szCs w:val="15"/>
          <w:shd w:val="clear" w:color="auto" w:fill="FFFFFF"/>
        </w:rPr>
      </w:pPr>
      <w:r>
        <w:rPr>
          <w:rFonts w:ascii="Microsoft YaHei UI" w:eastAsia="Microsoft YaHei UI" w:hAnsi="Microsoft YaHei UI" w:hint="eastAsia"/>
          <w:color w:val="4874CB"/>
          <w:kern w:val="0"/>
          <w:sz w:val="15"/>
          <w:szCs w:val="15"/>
          <w:shd w:val="clear" w:color="auto" w:fill="FFFFFF"/>
        </w:rPr>
        <w:t xml:space="preserve"> </w:t>
      </w:r>
    </w:p>
    <w:p w14:paraId="030658A6" w14:textId="77777777" w:rsidR="00651553" w:rsidRDefault="00651553" w:rsidP="00651553">
      <w:pPr>
        <w:spacing w:line="480" w:lineRule="auto"/>
        <w:jc w:val="center"/>
        <w:rPr>
          <w:rFonts w:ascii="Microsoft YaHei UI" w:eastAsia="Microsoft YaHei UI" w:hAnsi="Microsoft YaHei UI"/>
          <w:color w:val="4874CB"/>
          <w:kern w:val="0"/>
          <w:sz w:val="15"/>
          <w:szCs w:val="15"/>
          <w:shd w:val="clear" w:color="auto" w:fill="FFFFFF"/>
        </w:rPr>
      </w:pPr>
      <w:r>
        <w:rPr>
          <w:rFonts w:ascii="Microsoft YaHei UI" w:eastAsia="Microsoft YaHei UI" w:hAnsi="Microsoft YaHei UI" w:hint="eastAsia"/>
          <w:color w:val="4874CB"/>
          <w:kern w:val="0"/>
          <w:sz w:val="15"/>
          <w:szCs w:val="15"/>
          <w:shd w:val="clear" w:color="auto" w:fill="FFFFFF"/>
        </w:rPr>
        <w:t xml:space="preserve"> </w:t>
      </w:r>
    </w:p>
    <w:p w14:paraId="25837B26" w14:textId="77777777" w:rsidR="00651553" w:rsidRDefault="00651553" w:rsidP="00651553">
      <w:pPr>
        <w:spacing w:line="480" w:lineRule="auto"/>
        <w:jc w:val="center"/>
        <w:rPr>
          <w:rFonts w:ascii="Microsoft YaHei UI" w:eastAsia="Microsoft YaHei UI" w:hAnsi="Microsoft YaHei UI"/>
          <w:color w:val="4874CB"/>
          <w:kern w:val="0"/>
          <w:sz w:val="15"/>
          <w:szCs w:val="15"/>
          <w:shd w:val="clear" w:color="auto" w:fill="FFFFFF"/>
        </w:rPr>
      </w:pPr>
      <w:r>
        <w:rPr>
          <w:rFonts w:ascii="Microsoft YaHei UI" w:eastAsia="Microsoft YaHei UI" w:hAnsi="Microsoft YaHei UI" w:hint="eastAsia"/>
          <w:color w:val="4874CB"/>
          <w:kern w:val="0"/>
          <w:sz w:val="15"/>
          <w:szCs w:val="15"/>
          <w:shd w:val="clear" w:color="auto" w:fill="FFFFFF"/>
        </w:rPr>
        <w:t xml:space="preserve"> </w:t>
      </w:r>
    </w:p>
    <w:p w14:paraId="4018260B" w14:textId="2D87A617" w:rsidR="00651553" w:rsidRDefault="00651553" w:rsidP="00651553">
      <w:pPr>
        <w:spacing w:line="480" w:lineRule="auto"/>
        <w:jc w:val="center"/>
        <w:rPr>
          <w:rFonts w:ascii="Microsoft YaHei UI" w:eastAsia="Microsoft YaHei UI" w:hAnsi="Microsoft YaHei UI"/>
          <w:color w:val="4874CB"/>
          <w:kern w:val="0"/>
          <w:sz w:val="15"/>
          <w:szCs w:val="15"/>
          <w:shd w:val="clear" w:color="auto" w:fill="FFFFFF"/>
        </w:rPr>
      </w:pPr>
      <w:r>
        <w:rPr>
          <w:noProof/>
          <w:lang w:eastAsia="en-US"/>
        </w:rPr>
        <w:lastRenderedPageBreak/>
        <w:drawing>
          <wp:inline distT="0" distB="0" distL="0" distR="0" wp14:anchorId="50766961" wp14:editId="54326CE0">
            <wp:extent cx="5274310" cy="2208530"/>
            <wp:effectExtent l="0" t="0" r="2540" b="1270"/>
            <wp:docPr id="160701350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crosoft YaHei UI" w:eastAsia="Microsoft YaHei UI" w:hAnsi="Microsoft YaHei UI" w:hint="eastAsia"/>
          <w:color w:val="4874CB"/>
          <w:kern w:val="0"/>
          <w:sz w:val="15"/>
          <w:szCs w:val="15"/>
          <w:shd w:val="clear" w:color="auto" w:fill="FFFFFF"/>
        </w:rPr>
        <w:t xml:space="preserve"> </w:t>
      </w:r>
    </w:p>
    <w:p w14:paraId="61CFB02F" w14:textId="773FBC12" w:rsidR="00B313F4" w:rsidRPr="00651553" w:rsidRDefault="00651553">
      <w:pPr>
        <w:spacing w:line="480" w:lineRule="auto"/>
        <w:jc w:val="left"/>
        <w:rPr>
          <w:rFonts w:ascii="Arial" w:eastAsia="SimSun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Fig.</w:t>
      </w:r>
      <w:proofErr w:type="gramEnd"/>
      <w:r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 w:hint="eastAsia"/>
          <w:sz w:val="24"/>
          <w:szCs w:val="24"/>
        </w:rPr>
        <w:t xml:space="preserve">3. </w:t>
      </w:r>
      <w:proofErr w:type="gramStart"/>
      <w:r>
        <w:rPr>
          <w:rFonts w:ascii="Arial" w:hAnsi="Arial" w:cs="Arial" w:hint="eastAsia"/>
          <w:sz w:val="24"/>
          <w:szCs w:val="24"/>
        </w:rPr>
        <w:t xml:space="preserve">SVs in 200 </w:t>
      </w:r>
      <w:r>
        <w:rPr>
          <w:rFonts w:ascii="Arial" w:hAnsi="Arial" w:cs="Arial" w:hint="eastAsia"/>
          <w:i/>
          <w:iCs/>
          <w:sz w:val="24"/>
          <w:szCs w:val="24"/>
        </w:rPr>
        <w:t xml:space="preserve">L. </w:t>
      </w:r>
      <w:proofErr w:type="spellStart"/>
      <w:r>
        <w:rPr>
          <w:rFonts w:ascii="Arial" w:hAnsi="Arial" w:cs="Arial" w:hint="eastAsia"/>
          <w:i/>
          <w:iCs/>
          <w:sz w:val="24"/>
          <w:szCs w:val="24"/>
        </w:rPr>
        <w:t>serriola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accessions.</w:t>
      </w:r>
      <w:proofErr w:type="gramEnd"/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 w:hint="eastAsia"/>
          <w:b/>
          <w:bCs/>
          <w:sz w:val="24"/>
          <w:szCs w:val="24"/>
        </w:rPr>
        <w:t>a</w:t>
      </w:r>
      <w:r>
        <w:rPr>
          <w:rFonts w:ascii="Arial" w:hAnsi="Arial" w:cs="Arial" w:hint="eastAsia"/>
          <w:sz w:val="24"/>
          <w:szCs w:val="24"/>
        </w:rPr>
        <w:t xml:space="preserve">. The distribution of SVs along the lettuce genome. </w:t>
      </w:r>
      <w:proofErr w:type="spellStart"/>
      <w:r>
        <w:rPr>
          <w:rFonts w:ascii="Arial" w:hAnsi="Arial" w:cs="Arial" w:hint="eastAsia"/>
          <w:sz w:val="24"/>
          <w:szCs w:val="24"/>
        </w:rPr>
        <w:t>Circos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plot from outer to inter tracks shows, (I) gene density in a 1-Mb sliding window, (II) GC content, (III-VII) SV count in the 1-Mb window for various SV types, including DEL (III), INS (IV), TRA (V), INV (VI), and DUP (VII). </w:t>
      </w:r>
      <w:r>
        <w:rPr>
          <w:rFonts w:ascii="Arial" w:hAnsi="Arial" w:cs="Arial" w:hint="eastAsia"/>
          <w:b/>
          <w:bCs/>
          <w:sz w:val="24"/>
          <w:szCs w:val="24"/>
        </w:rPr>
        <w:t>b.</w:t>
      </w:r>
      <w:r>
        <w:rPr>
          <w:rFonts w:ascii="Arial" w:hAnsi="Arial" w:cs="Arial" w:hint="eastAsia"/>
          <w:sz w:val="24"/>
          <w:szCs w:val="24"/>
        </w:rPr>
        <w:t xml:space="preserve"> The number of different SV types. </w:t>
      </w:r>
      <w:r>
        <w:rPr>
          <w:rFonts w:ascii="Arial" w:hAnsi="Arial" w:cs="Arial" w:hint="eastAsia"/>
          <w:b/>
          <w:bCs/>
          <w:sz w:val="24"/>
          <w:szCs w:val="24"/>
        </w:rPr>
        <w:t>c.</w:t>
      </w:r>
      <w:r>
        <w:rPr>
          <w:rFonts w:ascii="Arial" w:hAnsi="Arial" w:cs="Arial" w:hint="eastAsia"/>
          <w:sz w:val="24"/>
          <w:szCs w:val="24"/>
        </w:rPr>
        <w:t xml:space="preserve"> Detection frequencies of SVs with different sizes. </w:t>
      </w:r>
      <w:r>
        <w:rPr>
          <w:rFonts w:ascii="Arial" w:hAnsi="Arial" w:cs="Arial" w:hint="eastAsia"/>
          <w:b/>
          <w:bCs/>
          <w:sz w:val="24"/>
          <w:szCs w:val="24"/>
        </w:rPr>
        <w:t>d.</w:t>
      </w:r>
      <w:r>
        <w:rPr>
          <w:rFonts w:ascii="Arial" w:hAnsi="Arial" w:cs="Arial" w:hint="eastAsia"/>
          <w:sz w:val="24"/>
          <w:szCs w:val="24"/>
        </w:rPr>
        <w:t xml:space="preserve"> The density of SVs and gene on each chromosome (count per Mb).</w:t>
      </w:r>
      <w:r>
        <w:rPr>
          <w:rFonts w:ascii="Arial" w:hAnsi="Arial" w:cs="Arial" w:hint="eastAsia"/>
          <w:b/>
          <w:bCs/>
          <w:sz w:val="24"/>
          <w:szCs w:val="24"/>
        </w:rPr>
        <w:t xml:space="preserve"> e.</w:t>
      </w:r>
      <w:r>
        <w:rPr>
          <w:rFonts w:ascii="Arial" w:hAnsi="Arial" w:cs="Arial" w:hint="eastAsia"/>
          <w:sz w:val="24"/>
          <w:szCs w:val="24"/>
        </w:rPr>
        <w:t xml:space="preserve"> The number of SVs from different generic regions.</w:t>
      </w:r>
    </w:p>
    <w:p w14:paraId="77A6F1FB" w14:textId="77777777" w:rsidR="00B313F4" w:rsidRDefault="00B313F4">
      <w:pPr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5A9E3480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0250F855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7538295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59C586B1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09CD08C0" w14:textId="77777777" w:rsidR="00B313F4" w:rsidRDefault="00B313F4">
      <w:pPr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19D55610" w14:textId="77777777" w:rsidR="00B313F4" w:rsidRDefault="00B313F4">
      <w:pPr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1649766E" w14:textId="77777777" w:rsidR="00B313F4" w:rsidRPr="00642118" w:rsidRDefault="00B313F4" w:rsidP="00642118">
      <w:pPr>
        <w:spacing w:line="480" w:lineRule="auto"/>
      </w:pPr>
    </w:p>
    <w:p w14:paraId="1B51117C" w14:textId="6BA9173A" w:rsidR="00B313F4" w:rsidRDefault="00AD3B39">
      <w:pPr>
        <w:spacing w:line="480" w:lineRule="auto"/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06A25F0D" wp14:editId="1463A046">
            <wp:extent cx="5274310" cy="1788160"/>
            <wp:effectExtent l="0" t="0" r="2540" b="2540"/>
            <wp:docPr id="6193212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88C61" w14:textId="2DD8A1A1" w:rsidR="00B313F4" w:rsidRDefault="00456DA7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Fig.</w:t>
      </w:r>
      <w:proofErr w:type="gramEnd"/>
      <w:r>
        <w:rPr>
          <w:rFonts w:ascii="Arial" w:hAnsi="Arial" w:cs="Arial"/>
          <w:sz w:val="24"/>
          <w:szCs w:val="24"/>
        </w:rPr>
        <w:t xml:space="preserve"> S</w:t>
      </w:r>
      <w:r w:rsidR="00166A63">
        <w:rPr>
          <w:rFonts w:ascii="Arial" w:hAnsi="Arial" w:cs="Arial" w:hint="eastAsia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 w:hint="eastAsia"/>
          <w:sz w:val="24"/>
          <w:szCs w:val="24"/>
        </w:rPr>
        <w:t xml:space="preserve"> Principal component analysis (PCA) using the filtered SVs of </w:t>
      </w:r>
      <w:r>
        <w:rPr>
          <w:rFonts w:ascii="Arial" w:hAnsi="Arial" w:cs="Arial" w:hint="eastAsia"/>
          <w:i/>
          <w:iCs/>
          <w:sz w:val="24"/>
          <w:szCs w:val="24"/>
        </w:rPr>
        <w:t xml:space="preserve">L. sativa </w:t>
      </w:r>
      <w:r>
        <w:rPr>
          <w:rFonts w:ascii="Arial" w:hAnsi="Arial" w:cs="Arial" w:hint="eastAsia"/>
          <w:sz w:val="24"/>
          <w:szCs w:val="24"/>
        </w:rPr>
        <w:t>(a)</w:t>
      </w:r>
      <w:r>
        <w:rPr>
          <w:rFonts w:ascii="Arial" w:hAnsi="Arial" w:cs="Arial" w:hint="eastAsia"/>
          <w:i/>
          <w:iCs/>
          <w:sz w:val="24"/>
          <w:szCs w:val="24"/>
        </w:rPr>
        <w:t xml:space="preserve"> </w:t>
      </w:r>
      <w:r>
        <w:rPr>
          <w:rFonts w:ascii="Arial" w:hAnsi="Arial" w:cs="Arial" w:hint="eastAsia"/>
          <w:sz w:val="24"/>
          <w:szCs w:val="24"/>
        </w:rPr>
        <w:t>and</w:t>
      </w:r>
      <w:r>
        <w:rPr>
          <w:rFonts w:ascii="Arial" w:hAnsi="Arial" w:cs="Arial" w:hint="eastAsia"/>
          <w:i/>
          <w:iCs/>
          <w:sz w:val="24"/>
          <w:szCs w:val="24"/>
        </w:rPr>
        <w:t xml:space="preserve"> L. </w:t>
      </w:r>
      <w:proofErr w:type="spellStart"/>
      <w:r>
        <w:rPr>
          <w:rFonts w:ascii="Arial" w:hAnsi="Arial" w:cs="Arial" w:hint="eastAsia"/>
          <w:i/>
          <w:iCs/>
          <w:sz w:val="24"/>
          <w:szCs w:val="24"/>
        </w:rPr>
        <w:t>serriola</w:t>
      </w:r>
      <w:proofErr w:type="spellEnd"/>
      <w:r>
        <w:rPr>
          <w:rFonts w:ascii="Arial" w:hAnsi="Arial" w:cs="Arial" w:hint="eastAsia"/>
          <w:i/>
          <w:iCs/>
          <w:sz w:val="24"/>
          <w:szCs w:val="24"/>
        </w:rPr>
        <w:t xml:space="preserve"> </w:t>
      </w:r>
      <w:r>
        <w:rPr>
          <w:rFonts w:ascii="Arial" w:hAnsi="Arial" w:cs="Arial" w:hint="eastAsia"/>
          <w:sz w:val="24"/>
          <w:szCs w:val="24"/>
        </w:rPr>
        <w:t>(b)</w:t>
      </w:r>
      <w:r>
        <w:rPr>
          <w:rFonts w:ascii="Arial" w:hAnsi="Arial" w:cs="Arial" w:hint="eastAsia"/>
          <w:i/>
          <w:iCs/>
          <w:sz w:val="24"/>
          <w:szCs w:val="24"/>
        </w:rPr>
        <w:t>.</w:t>
      </w:r>
    </w:p>
    <w:p w14:paraId="3A631400" w14:textId="77777777" w:rsidR="006E6773" w:rsidRDefault="006E6773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53CF30D8" w14:textId="77777777" w:rsidR="00166A63" w:rsidRDefault="00166A63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4711F7EE" w14:textId="77777777" w:rsidR="00166A63" w:rsidRDefault="00166A63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06F77378" w14:textId="77777777" w:rsidR="00166A63" w:rsidRDefault="00166A63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7A002F75" w14:textId="77777777" w:rsidR="00166A63" w:rsidRDefault="00166A63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77E60780" w14:textId="77777777" w:rsidR="00166A63" w:rsidRDefault="00166A63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6AA714D4" w14:textId="77777777" w:rsidR="00166A63" w:rsidRDefault="00166A63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1ED7C591" w14:textId="77777777" w:rsidR="00166A63" w:rsidRDefault="00166A63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74DFDBFC" w14:textId="77777777" w:rsidR="00166A63" w:rsidRDefault="00166A63" w:rsidP="00166A63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US"/>
        </w:rPr>
        <w:lastRenderedPageBreak/>
        <w:drawing>
          <wp:inline distT="0" distB="0" distL="0" distR="0" wp14:anchorId="6F6F2A91" wp14:editId="16C0E607">
            <wp:extent cx="3750310" cy="2892425"/>
            <wp:effectExtent l="0" t="0" r="2540" b="3175"/>
            <wp:docPr id="2051824416" name="图片 2051824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892646" name="图片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0564" cy="289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01A8A" w14:textId="13A916FD" w:rsidR="006E6773" w:rsidRDefault="00166A63" w:rsidP="00166A63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Fig.</w:t>
      </w:r>
      <w:proofErr w:type="gramEnd"/>
      <w:r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 w:hint="eastAsia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Cross-validation errors for each K from 1 to 10.</w:t>
      </w:r>
      <w:proofErr w:type="gramEnd"/>
      <w:r>
        <w:rPr>
          <w:rFonts w:ascii="Arial" w:hAnsi="Arial" w:cs="Arial"/>
          <w:sz w:val="24"/>
          <w:szCs w:val="24"/>
        </w:rPr>
        <w:t xml:space="preserve"> Each box plot</w:t>
      </w:r>
      <w:r>
        <w:rPr>
          <w:rFonts w:ascii="Arial" w:hAnsi="Arial" w:cs="Arial" w:hint="eastAsia"/>
          <w:sz w:val="24"/>
          <w:szCs w:val="24"/>
        </w:rPr>
        <w:t xml:space="preserve">   </w:t>
      </w:r>
      <w:r>
        <w:rPr>
          <w:rFonts w:ascii="Arial" w:eastAsia="SimSun" w:hAnsi="Arial" w:cs="Arial"/>
          <w:sz w:val="24"/>
          <w:szCs w:val="24"/>
          <w:lang w:bidi="ar"/>
        </w:rPr>
        <w:t xml:space="preserve">represents the values from 20 independent Admixture runs with randomly chosen seeds. The inner line represents the median, </w:t>
      </w:r>
      <w:r>
        <w:rPr>
          <w:rStyle w:val="CommentReference"/>
          <w:rFonts w:ascii="Arial" w:eastAsia="Arial" w:hAnsi="Arial" w:cs="Arial"/>
          <w:sz w:val="24"/>
          <w:szCs w:val="24"/>
          <w:lang w:bidi="ar"/>
        </w:rPr>
        <w:t>and the upper and lower bounds of the box</w:t>
      </w:r>
      <w:r>
        <w:rPr>
          <w:rFonts w:ascii="Arial" w:eastAsia="SimSun" w:hAnsi="Arial" w:cs="Arial"/>
          <w:sz w:val="24"/>
          <w:szCs w:val="24"/>
          <w:lang w:bidi="ar"/>
        </w:rPr>
        <w:t xml:space="preserve"> represent the percentile of 25th and 75th, respectively. Whiskers represent 1.5 times of the interquartile range, and points outside the box are outliers</w:t>
      </w:r>
      <w:r>
        <w:rPr>
          <w:rFonts w:ascii="Arial" w:hAnsi="Arial" w:cs="Arial"/>
          <w:sz w:val="24"/>
          <w:szCs w:val="24"/>
        </w:rPr>
        <w:t>.</w:t>
      </w:r>
    </w:p>
    <w:p w14:paraId="36AAE9BD" w14:textId="77777777" w:rsidR="00B313F4" w:rsidRDefault="00B313F4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1306057A" w14:textId="77777777" w:rsidR="00642118" w:rsidRDefault="00642118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2D4A0690" w14:textId="77777777" w:rsidR="00642118" w:rsidRDefault="00642118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42B1B320" w14:textId="77777777" w:rsidR="00642118" w:rsidRDefault="00642118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2928549F" w14:textId="77777777" w:rsidR="00642118" w:rsidRDefault="00642118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55D5C50F" w14:textId="0D354AE6" w:rsidR="00B313F4" w:rsidRDefault="006E6773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US"/>
        </w:rPr>
        <w:lastRenderedPageBreak/>
        <w:drawing>
          <wp:inline distT="0" distB="0" distL="0" distR="0" wp14:anchorId="50870876" wp14:editId="675C6577">
            <wp:extent cx="4808220" cy="3457575"/>
            <wp:effectExtent l="0" t="0" r="0" b="9525"/>
            <wp:docPr id="9609925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992561" name="图片 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220" cy="345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7700F" w14:textId="49DEFCA2" w:rsidR="006E6773" w:rsidRDefault="006E6773" w:rsidP="006E6773">
      <w:pPr>
        <w:spacing w:line="480" w:lineRule="auto"/>
        <w:jc w:val="left"/>
        <w:rPr>
          <w:rStyle w:val="16"/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Fig.</w:t>
      </w:r>
      <w:proofErr w:type="gramEnd"/>
      <w:r>
        <w:rPr>
          <w:rFonts w:ascii="Arial" w:hAnsi="Arial" w:cs="Arial"/>
          <w:sz w:val="24"/>
          <w:szCs w:val="24"/>
        </w:rPr>
        <w:t xml:space="preserve"> S6. </w:t>
      </w:r>
      <w:proofErr w:type="gramStart"/>
      <w:r>
        <w:rPr>
          <w:rFonts w:ascii="Arial" w:hAnsi="Arial" w:cs="Arial"/>
          <w:sz w:val="24"/>
          <w:szCs w:val="24"/>
        </w:rPr>
        <w:t>Model-based clustering analysis with different numbers of ancestry kinship (</w:t>
      </w:r>
      <w:r>
        <w:rPr>
          <w:rFonts w:ascii="Arial" w:hAnsi="Arial" w:cs="Arial"/>
          <w:i/>
          <w:iCs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) from 2 to 10.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16"/>
          <w:rFonts w:ascii="Arial" w:hAnsi="Arial" w:cs="Arial"/>
          <w:sz w:val="24"/>
          <w:szCs w:val="24"/>
        </w:rPr>
        <w:t xml:space="preserve">Species are indicated in the colored bar at the bottom, with the green color for </w:t>
      </w:r>
      <w:r>
        <w:rPr>
          <w:rStyle w:val="16"/>
          <w:rFonts w:ascii="Arial" w:hAnsi="Arial" w:cs="Arial"/>
          <w:i/>
          <w:iCs/>
          <w:sz w:val="24"/>
          <w:szCs w:val="24"/>
        </w:rPr>
        <w:t xml:space="preserve">L. sativa </w:t>
      </w:r>
      <w:r>
        <w:rPr>
          <w:rStyle w:val="16"/>
          <w:rFonts w:ascii="Arial" w:hAnsi="Arial" w:cs="Arial"/>
          <w:sz w:val="24"/>
          <w:szCs w:val="24"/>
        </w:rPr>
        <w:t xml:space="preserve">and orange for </w:t>
      </w:r>
      <w:r>
        <w:rPr>
          <w:rStyle w:val="16"/>
          <w:rFonts w:ascii="Arial" w:hAnsi="Arial" w:cs="Arial"/>
          <w:i/>
          <w:iCs/>
          <w:sz w:val="24"/>
          <w:szCs w:val="24"/>
        </w:rPr>
        <w:t xml:space="preserve">L. </w:t>
      </w:r>
      <w:proofErr w:type="spellStart"/>
      <w:r>
        <w:rPr>
          <w:rStyle w:val="16"/>
          <w:rFonts w:ascii="Arial" w:hAnsi="Arial" w:cs="Arial"/>
          <w:i/>
          <w:iCs/>
          <w:sz w:val="24"/>
          <w:szCs w:val="24"/>
        </w:rPr>
        <w:t>serriola</w:t>
      </w:r>
      <w:proofErr w:type="spellEnd"/>
      <w:r>
        <w:rPr>
          <w:rStyle w:val="16"/>
          <w:rFonts w:ascii="Arial" w:hAnsi="Arial" w:cs="Arial"/>
          <w:sz w:val="24"/>
          <w:szCs w:val="24"/>
        </w:rPr>
        <w:t xml:space="preserve">. Geographic groups of </w:t>
      </w:r>
      <w:r>
        <w:rPr>
          <w:rStyle w:val="16"/>
          <w:rFonts w:ascii="Arial" w:hAnsi="Arial" w:cs="Arial"/>
          <w:i/>
          <w:iCs/>
          <w:sz w:val="24"/>
          <w:szCs w:val="24"/>
        </w:rPr>
        <w:t xml:space="preserve">L. </w:t>
      </w:r>
      <w:proofErr w:type="spellStart"/>
      <w:r>
        <w:rPr>
          <w:rStyle w:val="16"/>
          <w:rFonts w:ascii="Arial" w:hAnsi="Arial" w:cs="Arial"/>
          <w:i/>
          <w:iCs/>
          <w:sz w:val="24"/>
          <w:szCs w:val="24"/>
        </w:rPr>
        <w:t>serriola</w:t>
      </w:r>
      <w:proofErr w:type="spellEnd"/>
      <w:r>
        <w:rPr>
          <w:rStyle w:val="16"/>
          <w:rFonts w:ascii="Arial" w:hAnsi="Arial" w:cs="Arial"/>
          <w:i/>
          <w:iCs/>
          <w:sz w:val="24"/>
          <w:szCs w:val="24"/>
        </w:rPr>
        <w:t xml:space="preserve"> </w:t>
      </w:r>
      <w:r>
        <w:rPr>
          <w:rStyle w:val="16"/>
          <w:rFonts w:ascii="Arial" w:hAnsi="Arial" w:cs="Arial"/>
          <w:sz w:val="24"/>
          <w:szCs w:val="24"/>
        </w:rPr>
        <w:t xml:space="preserve">are indicated in text from central Asia (CAS), the Caucasus (CAU), western Asia (WAS), southern Europe (SEU), and </w:t>
      </w:r>
      <w:proofErr w:type="gramStart"/>
      <w:r>
        <w:rPr>
          <w:rStyle w:val="16"/>
          <w:rFonts w:ascii="Arial" w:hAnsi="Arial" w:cs="Arial"/>
          <w:sz w:val="24"/>
          <w:szCs w:val="24"/>
        </w:rPr>
        <w:t>eastern</w:t>
      </w:r>
      <w:proofErr w:type="gramEnd"/>
      <w:r>
        <w:rPr>
          <w:rStyle w:val="16"/>
          <w:rFonts w:ascii="Arial" w:hAnsi="Arial" w:cs="Arial"/>
          <w:sz w:val="24"/>
          <w:szCs w:val="24"/>
        </w:rPr>
        <w:t xml:space="preserve"> Europe (EEU). Turkish samples and the admixed ones from </w:t>
      </w:r>
      <w:r>
        <w:rPr>
          <w:rStyle w:val="16"/>
          <w:rFonts w:ascii="Arial" w:hAnsi="Arial" w:cs="Arial"/>
          <w:i/>
          <w:iCs/>
          <w:sz w:val="24"/>
          <w:szCs w:val="24"/>
        </w:rPr>
        <w:t xml:space="preserve">L. sativa </w:t>
      </w:r>
      <w:r>
        <w:rPr>
          <w:rStyle w:val="16"/>
          <w:rFonts w:ascii="Arial" w:hAnsi="Arial" w:cs="Arial"/>
          <w:sz w:val="24"/>
          <w:szCs w:val="24"/>
        </w:rPr>
        <w:t xml:space="preserve">and </w:t>
      </w:r>
      <w:r>
        <w:rPr>
          <w:rStyle w:val="16"/>
          <w:rFonts w:ascii="Arial" w:hAnsi="Arial" w:cs="Arial"/>
          <w:i/>
          <w:iCs/>
          <w:sz w:val="24"/>
          <w:szCs w:val="24"/>
        </w:rPr>
        <w:t xml:space="preserve">L. </w:t>
      </w:r>
      <w:proofErr w:type="spellStart"/>
      <w:r>
        <w:rPr>
          <w:rStyle w:val="16"/>
          <w:rFonts w:ascii="Arial" w:hAnsi="Arial" w:cs="Arial"/>
          <w:i/>
          <w:iCs/>
          <w:sz w:val="24"/>
          <w:szCs w:val="24"/>
        </w:rPr>
        <w:t>serriola</w:t>
      </w:r>
      <w:proofErr w:type="spellEnd"/>
      <w:r>
        <w:rPr>
          <w:rStyle w:val="16"/>
          <w:rFonts w:ascii="Arial" w:hAnsi="Arial" w:cs="Arial"/>
          <w:i/>
          <w:iCs/>
          <w:sz w:val="24"/>
          <w:szCs w:val="24"/>
        </w:rPr>
        <w:t xml:space="preserve"> </w:t>
      </w:r>
      <w:r>
        <w:rPr>
          <w:rStyle w:val="16"/>
          <w:rFonts w:ascii="Arial" w:hAnsi="Arial" w:cs="Arial"/>
          <w:sz w:val="24"/>
          <w:szCs w:val="24"/>
        </w:rPr>
        <w:t>are indicated by arrows.</w:t>
      </w:r>
    </w:p>
    <w:p w14:paraId="04F5C2A5" w14:textId="77777777" w:rsidR="00B313F4" w:rsidRDefault="00B313F4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6338E086" w14:textId="77777777" w:rsidR="00B313F4" w:rsidRDefault="00B313F4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180A5172" w14:textId="77777777" w:rsidR="00B313F4" w:rsidRDefault="00B313F4">
      <w:pPr>
        <w:spacing w:line="480" w:lineRule="auto"/>
        <w:jc w:val="left"/>
        <w:rPr>
          <w:rFonts w:ascii="Arial" w:hAnsi="Arial" w:cs="Arial"/>
          <w:i/>
          <w:iCs/>
          <w:sz w:val="24"/>
          <w:szCs w:val="24"/>
        </w:rPr>
      </w:pPr>
    </w:p>
    <w:p w14:paraId="5EE330F1" w14:textId="77777777" w:rsidR="00B313F4" w:rsidRDefault="00456DA7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114300" distR="114300" wp14:anchorId="6DB7DCAD" wp14:editId="4199B84E">
            <wp:extent cx="5273675" cy="5716905"/>
            <wp:effectExtent l="0" t="0" r="9525" b="1079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71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98609" w14:textId="6F8C49E4" w:rsidR="00B313F4" w:rsidRDefault="00456DA7">
      <w:pPr>
        <w:spacing w:line="48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Fig.</w:t>
      </w:r>
      <w:proofErr w:type="gramEnd"/>
      <w:r>
        <w:rPr>
          <w:rFonts w:ascii="Arial" w:hAnsi="Arial" w:cs="Arial"/>
          <w:sz w:val="24"/>
          <w:szCs w:val="24"/>
        </w:rPr>
        <w:t xml:space="preserve"> S</w:t>
      </w:r>
      <w:r w:rsidR="00BF77C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Genome-wide association results of leaf margin undulation (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), seedling </w:t>
      </w:r>
      <w:bookmarkStart w:id="1" w:name="OLE_LINK5"/>
      <w:r>
        <w:rPr>
          <w:rFonts w:ascii="Arial" w:hAnsi="Arial" w:cs="Arial"/>
          <w:sz w:val="24"/>
          <w:szCs w:val="24"/>
        </w:rPr>
        <w:t>cotyledon shape</w:t>
      </w:r>
      <w:bookmarkEnd w:id="1"/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), leaf venation (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), leaf morphology (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), and flower anthocyanin presence (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 w:hint="eastAsia"/>
          <w:sz w:val="24"/>
          <w:szCs w:val="24"/>
        </w:rPr>
        <w:t xml:space="preserve">, </w:t>
      </w:r>
      <w:r>
        <w:rPr>
          <w:rFonts w:ascii="Arial" w:eastAsia="SimSun" w:hAnsi="Arial" w:cs="Arial"/>
          <w:sz w:val="24"/>
          <w:szCs w:val="24"/>
          <w:lang w:bidi="ar"/>
        </w:rPr>
        <w:t>leaf anthocyanin content</w:t>
      </w:r>
      <w:r>
        <w:rPr>
          <w:rFonts w:ascii="Arial" w:eastAsia="SimSun" w:hAnsi="Arial" w:cs="Arial" w:hint="eastAsia"/>
          <w:sz w:val="24"/>
          <w:szCs w:val="24"/>
          <w:lang w:bidi="ar"/>
        </w:rPr>
        <w:t xml:space="preserve"> (</w:t>
      </w:r>
      <w:r>
        <w:rPr>
          <w:rFonts w:ascii="Arial" w:eastAsia="SimSun" w:hAnsi="Arial" w:cs="Arial" w:hint="eastAsia"/>
          <w:b/>
          <w:bCs/>
          <w:sz w:val="24"/>
          <w:szCs w:val="24"/>
          <w:lang w:bidi="ar"/>
        </w:rPr>
        <w:t>f</w:t>
      </w:r>
      <w:r>
        <w:rPr>
          <w:rFonts w:ascii="Arial" w:eastAsia="SimSun" w:hAnsi="Arial" w:cs="Arial" w:hint="eastAsia"/>
          <w:sz w:val="24"/>
          <w:szCs w:val="24"/>
          <w:lang w:bidi="ar"/>
        </w:rPr>
        <w:t>).</w:t>
      </w:r>
      <w:proofErr w:type="gramEnd"/>
      <w:r>
        <w:rPr>
          <w:rFonts w:ascii="Arial" w:hAnsi="Arial" w:cs="Arial"/>
          <w:sz w:val="24"/>
          <w:szCs w:val="24"/>
        </w:rPr>
        <w:t xml:space="preserve"> Manhattan plots are shown in the left and Q-Q plots are in the right for each agronomic trait.</w:t>
      </w:r>
    </w:p>
    <w:p w14:paraId="4FF7E41B" w14:textId="77777777" w:rsidR="00B313F4" w:rsidRDefault="00456DA7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noProof/>
          <w:sz w:val="24"/>
          <w:szCs w:val="24"/>
          <w:lang w:eastAsia="en-US"/>
        </w:rPr>
        <w:lastRenderedPageBreak/>
        <w:drawing>
          <wp:inline distT="0" distB="0" distL="114300" distR="114300" wp14:anchorId="4140720F" wp14:editId="60648E9A">
            <wp:extent cx="5268595" cy="6511290"/>
            <wp:effectExtent l="0" t="0" r="1905" b="3810"/>
            <wp:docPr id="4" name="图片 4" descr="FigS6_GWAS_seed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S6_GWAS_seedcolor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51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6BBAB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5B8A837C" w14:textId="1E1365E9" w:rsidR="00B313F4" w:rsidRDefault="00456DA7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Fig.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 w:hint="eastAsia"/>
          <w:sz w:val="24"/>
          <w:szCs w:val="24"/>
        </w:rPr>
        <w:t>S</w:t>
      </w:r>
      <w:r w:rsidR="00BF77C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. Identification of a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bHLH</w:t>
      </w:r>
      <w:proofErr w:type="spellEnd"/>
      <w:r>
        <w:rPr>
          <w:rFonts w:ascii="Arial" w:hAnsi="Arial" w:cs="Arial"/>
          <w:sz w:val="24"/>
          <w:szCs w:val="24"/>
        </w:rPr>
        <w:t xml:space="preserve"> gene associated with seed coat color in </w:t>
      </w:r>
      <w:r>
        <w:rPr>
          <w:rFonts w:ascii="Arial" w:hAnsi="Arial" w:cs="Arial"/>
          <w:i/>
          <w:iCs/>
          <w:sz w:val="24"/>
          <w:szCs w:val="24"/>
        </w:rPr>
        <w:t>L. sativa</w:t>
      </w:r>
      <w:r>
        <w:rPr>
          <w:rFonts w:ascii="Arial" w:hAnsi="Arial" w:cs="Arial"/>
          <w:sz w:val="24"/>
          <w:szCs w:val="24"/>
        </w:rPr>
        <w:t>. Manhattan plots of the genome-wide association results of seed coat co</w:t>
      </w:r>
      <w:r>
        <w:rPr>
          <w:rFonts w:ascii="Arial" w:hAnsi="Arial" w:cs="Arial"/>
          <w:sz w:val="24"/>
          <w:szCs w:val="24"/>
        </w:rPr>
        <w:t>lor using SNPs (</w:t>
      </w:r>
      <w:r>
        <w:rPr>
          <w:rFonts w:ascii="Arial" w:hAnsi="Arial" w:cs="Arial"/>
          <w:b/>
          <w:bCs/>
          <w:sz w:val="24"/>
          <w:szCs w:val="24"/>
        </w:rPr>
        <w:t>a</w:t>
      </w:r>
      <w:proofErr w:type="gramStart"/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，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indels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), and SVs (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). Manhattan plots are shown in the left and Q-Q plots are in the right for each data set.</w:t>
      </w:r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 w:hint="eastAsia"/>
          <w:b/>
          <w:bCs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. Manhattan plot of GWA</w:t>
      </w:r>
      <w:r>
        <w:rPr>
          <w:rFonts w:ascii="Arial" w:hAnsi="Arial" w:cs="Arial" w:hint="eastAsia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using SVs (red triangles), </w:t>
      </w:r>
      <w:proofErr w:type="spellStart"/>
      <w:r>
        <w:rPr>
          <w:rFonts w:ascii="Arial" w:hAnsi="Arial" w:cs="Arial"/>
          <w:sz w:val="24"/>
          <w:szCs w:val="24"/>
        </w:rPr>
        <w:t>indels</w:t>
      </w:r>
      <w:proofErr w:type="spellEnd"/>
      <w:r>
        <w:rPr>
          <w:rFonts w:ascii="Arial" w:hAnsi="Arial" w:cs="Arial"/>
          <w:sz w:val="24"/>
          <w:szCs w:val="24"/>
        </w:rPr>
        <w:t xml:space="preserve"> (blue dots), and SNPs (black dots) within the </w:t>
      </w:r>
      <w:r>
        <w:rPr>
          <w:rFonts w:ascii="Arial" w:hAnsi="Arial" w:cs="Arial"/>
          <w:sz w:val="24"/>
          <w:szCs w:val="24"/>
        </w:rPr>
        <w:lastRenderedPageBreak/>
        <w:t>Chr7:49.23-52.92 M</w:t>
      </w:r>
      <w:r>
        <w:rPr>
          <w:rFonts w:ascii="Arial" w:hAnsi="Arial" w:cs="Arial"/>
          <w:sz w:val="24"/>
          <w:szCs w:val="24"/>
        </w:rPr>
        <w:t xml:space="preserve">b </w:t>
      </w:r>
      <w:proofErr w:type="gramStart"/>
      <w:r>
        <w:rPr>
          <w:rFonts w:ascii="Arial" w:hAnsi="Arial" w:cs="Arial"/>
          <w:sz w:val="24"/>
          <w:szCs w:val="24"/>
        </w:rPr>
        <w:t>region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 w:hint="eastAsia"/>
          <w:b/>
          <w:bCs/>
          <w:sz w:val="24"/>
          <w:szCs w:val="24"/>
        </w:rPr>
        <w:t>e</w:t>
      </w:r>
      <w:proofErr w:type="gramEnd"/>
      <w:r>
        <w:rPr>
          <w:rFonts w:ascii="Arial" w:hAnsi="Arial" w:cs="Arial"/>
          <w:sz w:val="24"/>
          <w:szCs w:val="24"/>
        </w:rPr>
        <w:t xml:space="preserve">. linkage disequilibrium (LD) </w:t>
      </w:r>
      <w:proofErr w:type="spellStart"/>
      <w:r>
        <w:rPr>
          <w:rFonts w:ascii="Arial" w:hAnsi="Arial" w:cs="Arial"/>
          <w:sz w:val="24"/>
          <w:szCs w:val="24"/>
        </w:rPr>
        <w:t>heatmap</w:t>
      </w:r>
      <w:proofErr w:type="spellEnd"/>
      <w:r>
        <w:rPr>
          <w:rFonts w:ascii="Arial" w:hAnsi="Arial" w:cs="Arial"/>
          <w:sz w:val="24"/>
          <w:szCs w:val="24"/>
        </w:rPr>
        <w:t xml:space="preserve"> using all the variants within the Chr7:49.23-52.92 Mb region filtered with MAF &lt; 0.05.</w:t>
      </w:r>
    </w:p>
    <w:p w14:paraId="6BE30955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FE9E12F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4A70CA13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64051A6F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32D404DE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0ACB8BBF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3DBCE2B9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12529FDD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06CB8DCC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4A0B7A8A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3568D926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125F588E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6ED4F994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B77933B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35583100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135C9C81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62ECA99F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2C3431C6" w14:textId="77777777" w:rsidR="00B313F4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696639D1" w14:textId="4C3B6EC4" w:rsidR="00B313F4" w:rsidRDefault="008C137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8C1374">
        <w:rPr>
          <w:rFonts w:ascii="Arial" w:hAnsi="Arial" w:cs="Arial"/>
          <w:noProof/>
          <w:sz w:val="24"/>
          <w:szCs w:val="24"/>
          <w:lang w:eastAsia="en-US"/>
        </w:rPr>
        <w:lastRenderedPageBreak/>
        <w:drawing>
          <wp:inline distT="0" distB="0" distL="0" distR="0" wp14:anchorId="7EA5703E" wp14:editId="3B658442">
            <wp:extent cx="5274310" cy="1545590"/>
            <wp:effectExtent l="0" t="0" r="2540" b="0"/>
            <wp:docPr id="28283916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4EC4F" w14:textId="55C85D57" w:rsidR="00B313F4" w:rsidRDefault="00456DA7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bookmarkStart w:id="2" w:name="OLE_LINK1"/>
      <w:proofErr w:type="gramStart"/>
      <w:r>
        <w:rPr>
          <w:rFonts w:ascii="Arial" w:hAnsi="Arial" w:cs="Arial"/>
          <w:sz w:val="24"/>
          <w:szCs w:val="24"/>
        </w:rPr>
        <w:t>Fig.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 w:hint="eastAsia"/>
          <w:sz w:val="24"/>
          <w:szCs w:val="24"/>
        </w:rPr>
        <w:t>S</w:t>
      </w:r>
      <w:bookmarkEnd w:id="2"/>
      <w:r w:rsidR="00BF77C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 w:hint="eastAsia"/>
          <w:sz w:val="24"/>
          <w:szCs w:val="24"/>
        </w:rPr>
        <w:t xml:space="preserve"> Principal component analysis (PCA) using the filtered </w:t>
      </w:r>
      <w:r w:rsidR="008C1374">
        <w:rPr>
          <w:rFonts w:ascii="Arial" w:hAnsi="Arial" w:cs="Arial"/>
          <w:sz w:val="24"/>
          <w:szCs w:val="24"/>
        </w:rPr>
        <w:t>SNP (</w:t>
      </w:r>
      <w:r w:rsidR="008C1374" w:rsidRPr="008C1374">
        <w:rPr>
          <w:rFonts w:ascii="Arial" w:hAnsi="Arial" w:cs="Arial"/>
          <w:b/>
          <w:bCs/>
          <w:sz w:val="24"/>
          <w:szCs w:val="24"/>
        </w:rPr>
        <w:t>a</w:t>
      </w:r>
      <w:r w:rsidR="008C1374">
        <w:rPr>
          <w:rFonts w:ascii="Arial" w:hAnsi="Arial" w:cs="Arial"/>
          <w:sz w:val="24"/>
          <w:szCs w:val="24"/>
        </w:rPr>
        <w:t xml:space="preserve">), </w:t>
      </w:r>
      <w:proofErr w:type="spellStart"/>
      <w:r w:rsidR="008C1374">
        <w:rPr>
          <w:rFonts w:ascii="Arial" w:hAnsi="Arial" w:cs="Arial"/>
          <w:sz w:val="24"/>
          <w:szCs w:val="24"/>
        </w:rPr>
        <w:t>Indel</w:t>
      </w:r>
      <w:proofErr w:type="spellEnd"/>
      <w:r w:rsidR="008C1374">
        <w:rPr>
          <w:rFonts w:ascii="Arial" w:hAnsi="Arial" w:cs="Arial"/>
          <w:sz w:val="24"/>
          <w:szCs w:val="24"/>
        </w:rPr>
        <w:t xml:space="preserve"> (</w:t>
      </w:r>
      <w:r w:rsidR="008C1374" w:rsidRPr="008C1374">
        <w:rPr>
          <w:rFonts w:ascii="Arial" w:hAnsi="Arial" w:cs="Arial"/>
          <w:b/>
          <w:bCs/>
          <w:sz w:val="24"/>
          <w:szCs w:val="24"/>
        </w:rPr>
        <w:t>b</w:t>
      </w:r>
      <w:r w:rsidR="008C1374">
        <w:rPr>
          <w:rFonts w:ascii="Arial" w:hAnsi="Arial" w:cs="Arial"/>
          <w:sz w:val="24"/>
          <w:szCs w:val="24"/>
        </w:rPr>
        <w:t xml:space="preserve">) and </w:t>
      </w:r>
      <w:r>
        <w:rPr>
          <w:rFonts w:ascii="Arial" w:hAnsi="Arial" w:cs="Arial" w:hint="eastAsia"/>
          <w:sz w:val="24"/>
          <w:szCs w:val="24"/>
        </w:rPr>
        <w:t>SV</w:t>
      </w:r>
      <w:r w:rsidR="008C1374">
        <w:rPr>
          <w:rFonts w:ascii="Arial" w:hAnsi="Arial" w:cs="Arial"/>
          <w:sz w:val="24"/>
          <w:szCs w:val="24"/>
        </w:rPr>
        <w:t>(</w:t>
      </w:r>
      <w:r w:rsidR="008C1374" w:rsidRPr="008C1374">
        <w:rPr>
          <w:rFonts w:ascii="Arial" w:hAnsi="Arial" w:cs="Arial"/>
          <w:b/>
          <w:bCs/>
          <w:sz w:val="24"/>
          <w:szCs w:val="24"/>
        </w:rPr>
        <w:t>c</w:t>
      </w:r>
      <w:r w:rsidR="008C137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 w:hint="eastAsia"/>
          <w:sz w:val="24"/>
          <w:szCs w:val="24"/>
        </w:rPr>
        <w:t xml:space="preserve"> of </w:t>
      </w:r>
      <w:r>
        <w:rPr>
          <w:rFonts w:ascii="Arial" w:hAnsi="Arial" w:cs="Arial" w:hint="eastAsia"/>
          <w:i/>
          <w:iCs/>
          <w:sz w:val="24"/>
          <w:szCs w:val="24"/>
        </w:rPr>
        <w:t xml:space="preserve">L. </w:t>
      </w:r>
      <w:r>
        <w:rPr>
          <w:rFonts w:ascii="Arial" w:hAnsi="Arial" w:cs="Arial" w:hint="eastAsia"/>
          <w:i/>
          <w:iCs/>
          <w:sz w:val="24"/>
          <w:szCs w:val="24"/>
        </w:rPr>
        <w:t>sativa</w:t>
      </w:r>
      <w:r>
        <w:rPr>
          <w:rFonts w:ascii="Arial" w:hAnsi="Arial" w:cs="Arial" w:hint="eastAsia"/>
          <w:sz w:val="24"/>
          <w:szCs w:val="24"/>
        </w:rPr>
        <w:t xml:space="preserve">, </w:t>
      </w:r>
      <w:r w:rsidR="000B7CC6">
        <w:rPr>
          <w:rFonts w:ascii="Arial" w:hAnsi="Arial" w:cs="Arial" w:hint="eastAsia"/>
          <w:sz w:val="24"/>
          <w:szCs w:val="24"/>
        </w:rPr>
        <w:t>in which</w:t>
      </w:r>
      <w:r w:rsidR="000B7CC6" w:rsidRPr="000B7CC6">
        <w:rPr>
          <w:rFonts w:ascii="Arial" w:hAnsi="Arial" w:cs="Arial"/>
          <w:sz w:val="24"/>
          <w:szCs w:val="24"/>
        </w:rPr>
        <w:t xml:space="preserve"> </w:t>
      </w:r>
      <w:r w:rsidR="000B7CC6">
        <w:rPr>
          <w:rFonts w:ascii="Arial" w:hAnsi="Arial" w:cs="Arial"/>
          <w:sz w:val="24"/>
          <w:szCs w:val="24"/>
        </w:rPr>
        <w:t>b</w:t>
      </w:r>
      <w:r w:rsidR="000B7CC6" w:rsidRPr="000B7CC6">
        <w:rPr>
          <w:rFonts w:ascii="Arial" w:hAnsi="Arial" w:cs="Arial"/>
          <w:sz w:val="24"/>
          <w:szCs w:val="24"/>
        </w:rPr>
        <w:t xml:space="preserve">lack dots are </w:t>
      </w:r>
      <w:r w:rsidR="000B7CC6">
        <w:rPr>
          <w:rFonts w:ascii="Arial" w:hAnsi="Arial" w:cs="Arial" w:hint="eastAsia"/>
          <w:sz w:val="24"/>
          <w:szCs w:val="24"/>
        </w:rPr>
        <w:t>represents seed coat color is black</w:t>
      </w:r>
      <w:r w:rsidR="000B7CC6" w:rsidRPr="000B7CC6">
        <w:rPr>
          <w:rFonts w:ascii="Arial" w:hAnsi="Arial" w:cs="Arial"/>
          <w:sz w:val="24"/>
          <w:szCs w:val="24"/>
        </w:rPr>
        <w:t xml:space="preserve">, white hollow dots </w:t>
      </w:r>
      <w:bookmarkStart w:id="3" w:name="OLE_LINK2"/>
      <w:r w:rsidR="000B7CC6">
        <w:rPr>
          <w:rFonts w:ascii="Arial" w:hAnsi="Arial" w:cs="Arial" w:hint="eastAsia"/>
          <w:sz w:val="24"/>
          <w:szCs w:val="24"/>
        </w:rPr>
        <w:t xml:space="preserve">represents seed coat color is </w:t>
      </w:r>
      <w:bookmarkEnd w:id="3"/>
      <w:r w:rsidR="000B7CC6">
        <w:rPr>
          <w:rFonts w:ascii="Arial" w:hAnsi="Arial" w:cs="Arial" w:hint="eastAsia"/>
          <w:sz w:val="24"/>
          <w:szCs w:val="24"/>
        </w:rPr>
        <w:t>white</w:t>
      </w:r>
      <w:r w:rsidR="000B7CC6">
        <w:rPr>
          <w:rFonts w:ascii="Arial" w:hAnsi="Arial" w:cs="Arial"/>
          <w:sz w:val="24"/>
          <w:szCs w:val="24"/>
        </w:rPr>
        <w:t>.</w:t>
      </w:r>
    </w:p>
    <w:p w14:paraId="7FF16DEC" w14:textId="77777777" w:rsidR="00B313F4" w:rsidRPr="000B7CC6" w:rsidRDefault="00B313F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6C12FEA7" w14:textId="77777777" w:rsidR="00B313F4" w:rsidRDefault="00B313F4">
      <w:pPr>
        <w:spacing w:line="480" w:lineRule="auto"/>
        <w:rPr>
          <w:rFonts w:ascii="Arial" w:hAnsi="Arial" w:cs="Arial"/>
          <w:sz w:val="24"/>
          <w:szCs w:val="24"/>
        </w:rPr>
      </w:pPr>
    </w:p>
    <w:p w14:paraId="2FC039B1" w14:textId="77777777" w:rsidR="00B313F4" w:rsidRDefault="00B313F4">
      <w:pPr>
        <w:spacing w:line="480" w:lineRule="auto"/>
        <w:rPr>
          <w:rFonts w:ascii="Arial" w:hAnsi="Arial" w:cs="Arial"/>
          <w:sz w:val="24"/>
          <w:szCs w:val="24"/>
        </w:rPr>
      </w:pPr>
    </w:p>
    <w:p w14:paraId="7C71F9DD" w14:textId="77777777" w:rsidR="00B313F4" w:rsidRDefault="00B313F4">
      <w:pPr>
        <w:spacing w:line="480" w:lineRule="auto"/>
        <w:rPr>
          <w:rFonts w:ascii="Arial" w:hAnsi="Arial" w:cs="Arial"/>
          <w:sz w:val="24"/>
          <w:szCs w:val="24"/>
        </w:rPr>
      </w:pPr>
    </w:p>
    <w:p w14:paraId="3B8B86D3" w14:textId="77777777" w:rsidR="00B313F4" w:rsidRDefault="00B313F4">
      <w:pPr>
        <w:spacing w:line="480" w:lineRule="auto"/>
        <w:rPr>
          <w:rFonts w:ascii="Arial" w:hAnsi="Arial" w:cs="Arial"/>
          <w:sz w:val="24"/>
          <w:szCs w:val="24"/>
        </w:rPr>
      </w:pPr>
    </w:p>
    <w:p w14:paraId="72C02A16" w14:textId="77777777" w:rsidR="00B313F4" w:rsidRDefault="00B313F4">
      <w:pPr>
        <w:spacing w:line="480" w:lineRule="auto"/>
        <w:rPr>
          <w:rFonts w:ascii="Arial" w:hAnsi="Arial" w:cs="Arial"/>
          <w:sz w:val="24"/>
          <w:szCs w:val="24"/>
        </w:rPr>
      </w:pPr>
    </w:p>
    <w:p w14:paraId="511B7B3D" w14:textId="77777777" w:rsidR="00B313F4" w:rsidRDefault="00B313F4">
      <w:pPr>
        <w:spacing w:line="480" w:lineRule="auto"/>
        <w:rPr>
          <w:rFonts w:ascii="Arial" w:hAnsi="Arial" w:cs="Arial"/>
          <w:sz w:val="24"/>
          <w:szCs w:val="24"/>
        </w:rPr>
      </w:pPr>
    </w:p>
    <w:p w14:paraId="2653A6B5" w14:textId="77777777" w:rsidR="00B313F4" w:rsidRDefault="00B313F4">
      <w:pPr>
        <w:spacing w:line="480" w:lineRule="auto"/>
        <w:rPr>
          <w:rFonts w:ascii="Arial" w:hAnsi="Arial" w:cs="Arial"/>
          <w:sz w:val="24"/>
          <w:szCs w:val="24"/>
        </w:rPr>
      </w:pPr>
    </w:p>
    <w:p w14:paraId="722F3588" w14:textId="77777777" w:rsidR="00B313F4" w:rsidRDefault="00B313F4">
      <w:pPr>
        <w:spacing w:line="480" w:lineRule="auto"/>
        <w:rPr>
          <w:rFonts w:ascii="Arial" w:hAnsi="Arial" w:cs="Arial"/>
          <w:sz w:val="24"/>
          <w:szCs w:val="24"/>
        </w:rPr>
      </w:pPr>
    </w:p>
    <w:p w14:paraId="1825A310" w14:textId="77777777" w:rsidR="00B313F4" w:rsidRDefault="00B313F4">
      <w:pPr>
        <w:spacing w:line="480" w:lineRule="auto"/>
        <w:rPr>
          <w:rFonts w:ascii="Arial" w:hAnsi="Arial" w:cs="Arial"/>
          <w:sz w:val="24"/>
          <w:szCs w:val="24"/>
        </w:rPr>
      </w:pPr>
    </w:p>
    <w:p w14:paraId="76ED4BA4" w14:textId="77777777" w:rsidR="00B313F4" w:rsidRDefault="00B313F4">
      <w:pPr>
        <w:spacing w:line="480" w:lineRule="auto"/>
      </w:pPr>
    </w:p>
    <w:p w14:paraId="087BC094" w14:textId="00CDE847" w:rsidR="00B313F4" w:rsidRDefault="00554257">
      <w:pPr>
        <w:spacing w:line="480" w:lineRule="auto"/>
      </w:pPr>
      <w:r>
        <w:rPr>
          <w:noProof/>
          <w:lang w:eastAsia="en-US"/>
        </w:rPr>
        <w:lastRenderedPageBreak/>
        <w:drawing>
          <wp:inline distT="0" distB="0" distL="0" distR="0" wp14:anchorId="76549B38" wp14:editId="3B0D5E44">
            <wp:extent cx="5274310" cy="7115175"/>
            <wp:effectExtent l="0" t="0" r="2540" b="9525"/>
            <wp:docPr id="25346319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63190" name="图片 25346319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793C2" w14:textId="29DAEA5A" w:rsidR="00B313F4" w:rsidRDefault="00456DA7">
      <w:pPr>
        <w:spacing w:line="48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Fig.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 w:hint="eastAsia"/>
          <w:sz w:val="24"/>
          <w:szCs w:val="24"/>
        </w:rPr>
        <w:t>S1</w:t>
      </w:r>
      <w:r w:rsidR="00BF77C3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. Read mapping from a </w:t>
      </w:r>
      <w:r>
        <w:rPr>
          <w:rFonts w:ascii="Arial" w:hAnsi="Arial" w:cs="Arial"/>
          <w:i/>
          <w:iCs/>
          <w:sz w:val="24"/>
          <w:szCs w:val="24"/>
        </w:rPr>
        <w:t xml:space="preserve">L.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serriola</w:t>
      </w:r>
      <w:proofErr w:type="spellEnd"/>
      <w:r>
        <w:rPr>
          <w:rFonts w:ascii="Arial" w:hAnsi="Arial" w:cs="Arial"/>
          <w:sz w:val="24"/>
          <w:szCs w:val="24"/>
        </w:rPr>
        <w:t xml:space="preserve"> accession TKI-340. </w:t>
      </w:r>
      <w:proofErr w:type="gramStart"/>
      <w:r>
        <w:rPr>
          <w:rFonts w:ascii="Arial" w:hAnsi="Arial" w:cs="Arial"/>
          <w:sz w:val="24"/>
          <w:szCs w:val="24"/>
        </w:rPr>
        <w:t>a-j</w:t>
      </w:r>
      <w:proofErr w:type="gramEnd"/>
      <w:r>
        <w:rPr>
          <w:rFonts w:ascii="Arial" w:hAnsi="Arial" w:cs="Arial"/>
          <w:sz w:val="24"/>
          <w:szCs w:val="24"/>
        </w:rPr>
        <w:t xml:space="preserve">. Overall view of 10 SVs with different coordinates detected by three SV calling software, from above </w:t>
      </w:r>
      <w:proofErr w:type="spellStart"/>
      <w:r>
        <w:rPr>
          <w:rFonts w:ascii="Arial" w:hAnsi="Arial" w:cs="Arial"/>
          <w:sz w:val="24"/>
          <w:szCs w:val="24"/>
        </w:rPr>
        <w:t>Breakdancer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Delly</w:t>
      </w:r>
      <w:proofErr w:type="spellEnd"/>
      <w:r>
        <w:rPr>
          <w:rFonts w:ascii="Arial" w:hAnsi="Arial" w:cs="Arial"/>
          <w:sz w:val="24"/>
          <w:szCs w:val="24"/>
        </w:rPr>
        <w:t>, Manta.</w:t>
      </w:r>
      <w:bookmarkEnd w:id="0"/>
    </w:p>
    <w:sectPr w:rsidR="00B313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548C5" w14:textId="77777777" w:rsidR="00456DA7" w:rsidRDefault="00456DA7" w:rsidP="008D79A6">
      <w:r>
        <w:separator/>
      </w:r>
    </w:p>
  </w:endnote>
  <w:endnote w:type="continuationSeparator" w:id="0">
    <w:p w14:paraId="64035A99" w14:textId="77777777" w:rsidR="00456DA7" w:rsidRDefault="00456DA7" w:rsidP="008D7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9968DB" w14:textId="77777777" w:rsidR="00456DA7" w:rsidRDefault="00456DA7" w:rsidP="008D79A6">
      <w:r>
        <w:separator/>
      </w:r>
    </w:p>
  </w:footnote>
  <w:footnote w:type="continuationSeparator" w:id="0">
    <w:p w14:paraId="5018C1BA" w14:textId="77777777" w:rsidR="00456DA7" w:rsidRDefault="00456DA7" w:rsidP="008D7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iOGZhMmYwYjA0OTdmNTI5MDc4YzYyNDVkOGQxZjIifQ=="/>
  </w:docVars>
  <w:rsids>
    <w:rsidRoot w:val="00DF41E7"/>
    <w:rsid w:val="000206FC"/>
    <w:rsid w:val="00075134"/>
    <w:rsid w:val="000B6B0E"/>
    <w:rsid w:val="000B7CC6"/>
    <w:rsid w:val="000D60A8"/>
    <w:rsid w:val="000E0057"/>
    <w:rsid w:val="001242F5"/>
    <w:rsid w:val="00127B4D"/>
    <w:rsid w:val="00166A63"/>
    <w:rsid w:val="001F5962"/>
    <w:rsid w:val="00206BAC"/>
    <w:rsid w:val="002B2E19"/>
    <w:rsid w:val="00453ACB"/>
    <w:rsid w:val="00456DA7"/>
    <w:rsid w:val="00483DE9"/>
    <w:rsid w:val="004A652F"/>
    <w:rsid w:val="004B0735"/>
    <w:rsid w:val="004F0CDF"/>
    <w:rsid w:val="00554257"/>
    <w:rsid w:val="00574A4C"/>
    <w:rsid w:val="005A219F"/>
    <w:rsid w:val="005B6DDB"/>
    <w:rsid w:val="005F37A6"/>
    <w:rsid w:val="006046FC"/>
    <w:rsid w:val="006118AE"/>
    <w:rsid w:val="00613DAB"/>
    <w:rsid w:val="00642118"/>
    <w:rsid w:val="00651553"/>
    <w:rsid w:val="006535B7"/>
    <w:rsid w:val="00692E7E"/>
    <w:rsid w:val="006C27BF"/>
    <w:rsid w:val="006E6773"/>
    <w:rsid w:val="0073334D"/>
    <w:rsid w:val="00762E4B"/>
    <w:rsid w:val="0077505A"/>
    <w:rsid w:val="0079689B"/>
    <w:rsid w:val="007A3FB8"/>
    <w:rsid w:val="007B1AEA"/>
    <w:rsid w:val="008A068F"/>
    <w:rsid w:val="008A7661"/>
    <w:rsid w:val="008B0F9F"/>
    <w:rsid w:val="008B3DAB"/>
    <w:rsid w:val="008C1374"/>
    <w:rsid w:val="008D79A6"/>
    <w:rsid w:val="008F5608"/>
    <w:rsid w:val="00912FEA"/>
    <w:rsid w:val="0094690A"/>
    <w:rsid w:val="009828E3"/>
    <w:rsid w:val="009C45E1"/>
    <w:rsid w:val="00A31ED1"/>
    <w:rsid w:val="00A416D2"/>
    <w:rsid w:val="00A758FB"/>
    <w:rsid w:val="00A82A04"/>
    <w:rsid w:val="00AC6AD0"/>
    <w:rsid w:val="00AD3B39"/>
    <w:rsid w:val="00AE1AF7"/>
    <w:rsid w:val="00AE76CE"/>
    <w:rsid w:val="00B11BC6"/>
    <w:rsid w:val="00B12D24"/>
    <w:rsid w:val="00B313F4"/>
    <w:rsid w:val="00B31BEE"/>
    <w:rsid w:val="00B32CD6"/>
    <w:rsid w:val="00B43CEE"/>
    <w:rsid w:val="00B92081"/>
    <w:rsid w:val="00BB4375"/>
    <w:rsid w:val="00BF77C3"/>
    <w:rsid w:val="00C817FB"/>
    <w:rsid w:val="00C90A2D"/>
    <w:rsid w:val="00D57A08"/>
    <w:rsid w:val="00D62254"/>
    <w:rsid w:val="00D971C1"/>
    <w:rsid w:val="00DA784E"/>
    <w:rsid w:val="00DC3956"/>
    <w:rsid w:val="00DD5ED0"/>
    <w:rsid w:val="00DF41E7"/>
    <w:rsid w:val="00DF4838"/>
    <w:rsid w:val="00E11193"/>
    <w:rsid w:val="00E27224"/>
    <w:rsid w:val="00E87700"/>
    <w:rsid w:val="00EE0AF5"/>
    <w:rsid w:val="00F10183"/>
    <w:rsid w:val="00F16B89"/>
    <w:rsid w:val="00F22A45"/>
    <w:rsid w:val="00FF7F57"/>
    <w:rsid w:val="01AB4154"/>
    <w:rsid w:val="023447F4"/>
    <w:rsid w:val="13374D92"/>
    <w:rsid w:val="1E4D69D6"/>
    <w:rsid w:val="22C97EDA"/>
    <w:rsid w:val="3B995F8D"/>
    <w:rsid w:val="3BB61105"/>
    <w:rsid w:val="3DE41CD2"/>
    <w:rsid w:val="3F5D194E"/>
    <w:rsid w:val="3FCF7263"/>
    <w:rsid w:val="4F273004"/>
    <w:rsid w:val="665A6C7D"/>
    <w:rsid w:val="6EF836BB"/>
    <w:rsid w:val="7A464ADD"/>
    <w:rsid w:val="7DAE4E52"/>
    <w:rsid w:val="7DB5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ACA4D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6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pPr>
      <w:jc w:val="left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16">
    <w:name w:val="16"/>
    <w:basedOn w:val="DefaultParagraphFont"/>
    <w:qFormat/>
    <w:rPr>
      <w:rFonts w:ascii="Times New Roman" w:hAnsi="Times New Roman" w:cs="Times New Roman" w:hint="default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838"/>
    <w:rPr>
      <w:rFonts w:ascii="Tahoma" w:eastAsiaTheme="minorEastAsia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6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pPr>
      <w:jc w:val="left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16">
    <w:name w:val="16"/>
    <w:basedOn w:val="DefaultParagraphFont"/>
    <w:qFormat/>
    <w:rPr>
      <w:rFonts w:ascii="Times New Roman" w:hAnsi="Times New Roman" w:cs="Times New Roman" w:hint="default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838"/>
    <w:rPr>
      <w:rFonts w:ascii="Tahoma" w:eastAsiaTheme="minorEastAsi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76669-47E2-4B53-95B5-3B44FD0D1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11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兆武</dc:creator>
  <cp:lastModifiedBy>Melanie Lapinig</cp:lastModifiedBy>
  <cp:revision>18</cp:revision>
  <dcterms:created xsi:type="dcterms:W3CDTF">2022-11-07T03:30:00Z</dcterms:created>
  <dcterms:modified xsi:type="dcterms:W3CDTF">2023-10-19T06:59:00Z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51B765B2DD3B46BABCA8175AA310A353</vt:lpwstr>
  </property>
</Properties>
</file>