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7A24D" w14:textId="77777777" w:rsidR="008A3485" w:rsidRDefault="008A3485" w:rsidP="008A348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Supplementary Materials</w:t>
      </w:r>
    </w:p>
    <w:p w14:paraId="1FDA1AAC" w14:textId="77777777" w:rsidR="008A3485" w:rsidRDefault="008A3485" w:rsidP="008A3485">
      <w:pPr>
        <w:spacing w:line="360" w:lineRule="auto"/>
        <w:ind w:left="-156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 wp14:anchorId="348EE7D9" wp14:editId="6D2BD826">
            <wp:extent cx="7496175" cy="483496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1272" cy="484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E02E5" w14:textId="77777777" w:rsidR="008A3485" w:rsidRPr="00A14533" w:rsidRDefault="008A3485" w:rsidP="008A3485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A14533">
        <w:rPr>
          <w:rFonts w:ascii="Arial" w:hAnsi="Arial" w:cs="Arial"/>
          <w:b/>
          <w:bCs/>
          <w:lang w:val="en-US"/>
        </w:rPr>
        <w:t>Figure S1:</w:t>
      </w:r>
      <w:r w:rsidRPr="00A14533">
        <w:rPr>
          <w:sz w:val="20"/>
          <w:szCs w:val="20"/>
          <w:lang w:val="en-US"/>
        </w:rPr>
        <w:t xml:space="preserve"> </w:t>
      </w:r>
      <w:r w:rsidRPr="00A14533">
        <w:rPr>
          <w:rFonts w:ascii="Arial" w:hAnsi="Arial" w:cs="Arial"/>
          <w:lang w:val="en-US"/>
        </w:rPr>
        <w:t>Comparison between the T pathological stage proportions of the old and young groups. The y-axis represents the number of patients. * p-value&lt;0.05</w:t>
      </w:r>
    </w:p>
    <w:p w14:paraId="1F01B1F8" w14:textId="77777777" w:rsidR="008A3485" w:rsidRDefault="008A3485" w:rsidP="008A348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F153DB7" w14:textId="77777777" w:rsidR="008A3485" w:rsidRDefault="008A3485" w:rsidP="008A3485">
      <w:pPr>
        <w:spacing w:line="360" w:lineRule="auto"/>
        <w:ind w:left="-156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4FAD5A8" wp14:editId="35E35E95">
            <wp:extent cx="7279566" cy="44958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8892" cy="450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D63AC" w14:textId="77777777" w:rsidR="008A3485" w:rsidRPr="00A14533" w:rsidRDefault="008A3485" w:rsidP="008A3485">
      <w:pPr>
        <w:spacing w:line="360" w:lineRule="auto"/>
        <w:jc w:val="both"/>
        <w:rPr>
          <w:rFonts w:ascii="Arial" w:hAnsi="Arial" w:cs="Arial"/>
          <w:lang w:val="en-US"/>
        </w:rPr>
      </w:pPr>
      <w:r w:rsidRPr="00A14533">
        <w:rPr>
          <w:rFonts w:ascii="Arial" w:hAnsi="Arial" w:cs="Arial"/>
          <w:b/>
          <w:bCs/>
          <w:lang w:val="en-US"/>
        </w:rPr>
        <w:t>Figure S2:</w:t>
      </w:r>
      <w:r w:rsidRPr="00A14533">
        <w:rPr>
          <w:sz w:val="20"/>
          <w:szCs w:val="20"/>
          <w:lang w:val="en-US"/>
        </w:rPr>
        <w:t xml:space="preserve"> </w:t>
      </w:r>
      <w:r w:rsidRPr="00A14533">
        <w:rPr>
          <w:rFonts w:ascii="Arial" w:hAnsi="Arial" w:cs="Arial"/>
          <w:lang w:val="en-US"/>
        </w:rPr>
        <w:t>Age distribution of the seven cancers used in the age group analysis</w:t>
      </w:r>
      <w:r>
        <w:rPr>
          <w:rFonts w:ascii="Arial" w:hAnsi="Arial" w:cs="Arial"/>
          <w:lang w:val="en-US"/>
        </w:rPr>
        <w:t>.</w:t>
      </w:r>
      <w:r w:rsidRPr="00A45607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E</w:t>
      </w:r>
      <w:r w:rsidRPr="00FE68DF">
        <w:rPr>
          <w:rFonts w:ascii="Arial" w:hAnsi="Arial" w:cs="Arial"/>
          <w:lang w:val="en-US"/>
        </w:rPr>
        <w:t>rror bars represent the maximum and minimum values</w:t>
      </w:r>
      <w:r>
        <w:rPr>
          <w:rFonts w:ascii="Arial" w:hAnsi="Arial" w:cs="Arial"/>
          <w:lang w:val="en-US"/>
        </w:rPr>
        <w:t>.</w:t>
      </w:r>
    </w:p>
    <w:p w14:paraId="0A157293" w14:textId="77777777" w:rsidR="008A3485" w:rsidRDefault="008A3485" w:rsidP="008A3485">
      <w:pPr>
        <w:spacing w:line="360" w:lineRule="auto"/>
        <w:ind w:hanging="1418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noProof/>
          <w:lang w:val="en-US"/>
        </w:rPr>
        <w:lastRenderedPageBreak/>
        <w:drawing>
          <wp:inline distT="0" distB="0" distL="0" distR="0" wp14:anchorId="6EB037B8" wp14:editId="79567385">
            <wp:extent cx="7353300" cy="5657648"/>
            <wp:effectExtent l="0" t="0" r="0" b="63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386" cy="567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4533">
        <w:rPr>
          <w:rFonts w:ascii="Arial" w:hAnsi="Arial" w:cs="Arial"/>
          <w:b/>
          <w:bCs/>
          <w:lang w:val="en-US"/>
        </w:rPr>
        <w:t xml:space="preserve">Figure S3: Overlap between upregulated cancer-DEGs and </w:t>
      </w:r>
      <w:r>
        <w:rPr>
          <w:rFonts w:ascii="Arial" w:hAnsi="Arial" w:cs="Arial"/>
          <w:b/>
          <w:bCs/>
          <w:lang w:val="en-US"/>
        </w:rPr>
        <w:t>T</w:t>
      </w:r>
      <w:r w:rsidRPr="00A14533">
        <w:rPr>
          <w:rFonts w:ascii="Arial" w:hAnsi="Arial" w:cs="Arial"/>
          <w:b/>
          <w:bCs/>
          <w:lang w:val="en-US"/>
        </w:rPr>
        <w:t>issue</w:t>
      </w:r>
      <w:r>
        <w:rPr>
          <w:rFonts w:ascii="Arial" w:hAnsi="Arial" w:cs="Arial"/>
          <w:b/>
          <w:bCs/>
          <w:lang w:val="en-US"/>
        </w:rPr>
        <w:t>-S</w:t>
      </w:r>
      <w:r w:rsidRPr="00A14533">
        <w:rPr>
          <w:rFonts w:ascii="Arial" w:hAnsi="Arial" w:cs="Arial"/>
          <w:b/>
          <w:bCs/>
          <w:lang w:val="en-US"/>
        </w:rPr>
        <w:t xml:space="preserve">pecific genes.  </w:t>
      </w:r>
      <w:r w:rsidRPr="00A14533">
        <w:rPr>
          <w:rFonts w:ascii="Arial" w:hAnsi="Arial" w:cs="Arial"/>
          <w:lang w:val="en-US"/>
        </w:rPr>
        <w:t xml:space="preserve">Heatmap of odds ratio on the chance of the overlap. In the columns we have the TCGA cancers and in the rows the </w:t>
      </w:r>
      <w:proofErr w:type="spellStart"/>
      <w:r w:rsidRPr="00A14533">
        <w:rPr>
          <w:rFonts w:ascii="Arial" w:hAnsi="Arial" w:cs="Arial"/>
          <w:lang w:val="en-US"/>
        </w:rPr>
        <w:t>GTEx</w:t>
      </w:r>
      <w:proofErr w:type="spellEnd"/>
      <w:r w:rsidRPr="00A14533">
        <w:rPr>
          <w:rFonts w:ascii="Arial" w:hAnsi="Arial" w:cs="Arial"/>
          <w:lang w:val="en-US"/>
        </w:rPr>
        <w:t xml:space="preserve"> tissues. Red borders represent significant results (FDR &lt; 0.05). </w:t>
      </w:r>
    </w:p>
    <w:p w14:paraId="556F2321" w14:textId="549C5CA4" w:rsidR="00060132" w:rsidRDefault="00060132" w:rsidP="008A3485">
      <w:pPr>
        <w:spacing w:line="360" w:lineRule="auto"/>
        <w:ind w:hanging="1418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D9AE662" wp14:editId="25AC9E78">
            <wp:extent cx="6491417" cy="5196798"/>
            <wp:effectExtent l="0" t="0" r="0" b="0"/>
            <wp:docPr id="19880836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83629" name="Imagem 198808362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1417" cy="519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92C41" w14:textId="5E797BCC" w:rsidR="008A3485" w:rsidRPr="000F5D9B" w:rsidRDefault="000F5D9B" w:rsidP="00060132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0F5D9B">
        <w:rPr>
          <w:rFonts w:ascii="Arial" w:hAnsi="Arial" w:cs="Arial"/>
          <w:b/>
          <w:bCs/>
          <w:lang w:val="en-US"/>
        </w:rPr>
        <w:t xml:space="preserve">Figure S4: Gene Enrichment Analysis. </w:t>
      </w:r>
      <w:r w:rsidRPr="000F5D9B">
        <w:rPr>
          <w:rFonts w:ascii="Arial" w:hAnsi="Arial" w:cs="Arial"/>
          <w:lang w:val="en-US"/>
        </w:rPr>
        <w:t>Biological Processes (Gene Ontology) associated with downregulated Tissue-Specific cancer-DEGs. Only significant results are shown (FDR &lt; 0.05). For better visualization, the enrichment ratio was log-transformed.</w:t>
      </w:r>
    </w:p>
    <w:p w14:paraId="6D83C0AB" w14:textId="44AA7656" w:rsidR="008A3485" w:rsidRDefault="00A900E5" w:rsidP="008A3485">
      <w:pPr>
        <w:spacing w:line="360" w:lineRule="auto"/>
        <w:ind w:left="-1418" w:firstLine="992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5A8AAA11" wp14:editId="2D1080D9">
            <wp:extent cx="6065769" cy="7704000"/>
            <wp:effectExtent l="0" t="0" r="0" b="0"/>
            <wp:docPr id="12013614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361412" name="Imagem 1201361412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923"/>
                    <a:stretch/>
                  </pic:blipFill>
                  <pic:spPr bwMode="auto">
                    <a:xfrm>
                      <a:off x="0" y="0"/>
                      <a:ext cx="6065769" cy="77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35CE0" w14:textId="24BC3DE7" w:rsidR="008A3485" w:rsidRDefault="008A3485" w:rsidP="008A3485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6C10E8">
        <w:rPr>
          <w:rFonts w:ascii="Arial" w:hAnsi="Arial" w:cs="Arial"/>
          <w:b/>
          <w:bCs/>
          <w:lang w:val="en-US"/>
        </w:rPr>
        <w:t>Figure S</w:t>
      </w:r>
      <w:r w:rsidR="00060132">
        <w:rPr>
          <w:rFonts w:ascii="Arial" w:hAnsi="Arial" w:cs="Arial"/>
          <w:b/>
          <w:bCs/>
          <w:lang w:val="en-US"/>
        </w:rPr>
        <w:t>5</w:t>
      </w:r>
      <w:r w:rsidRPr="006C10E8">
        <w:rPr>
          <w:rFonts w:ascii="Arial" w:hAnsi="Arial" w:cs="Arial"/>
          <w:b/>
          <w:bCs/>
          <w:lang w:val="en-US"/>
        </w:rPr>
        <w:t xml:space="preserve">: Overlap between DEGs and alternative specificity categories.  </w:t>
      </w:r>
      <w:r w:rsidRPr="006C10E8">
        <w:rPr>
          <w:rFonts w:ascii="Arial" w:hAnsi="Arial" w:cs="Arial"/>
          <w:lang w:val="en-US"/>
        </w:rPr>
        <w:t>Heatmap of odds ratio on the chance of the overlap. Red borders represent significant results (FDR &lt; 0.05). A-C Ageing-DEGs, D-E Cancer-DEGs. Inf = Odds ratio tends to infinity due to the low number of downregulated DEGs, but the result is not significant.</w:t>
      </w:r>
      <w:r w:rsidRPr="00054996">
        <w:rPr>
          <w:rFonts w:ascii="Arial" w:hAnsi="Arial" w:cs="Arial"/>
          <w:lang w:val="en-US"/>
        </w:rPr>
        <w:t xml:space="preserve"> “Up” and “Down” represent whether genes are upregulated or downregulated</w:t>
      </w:r>
      <w:r>
        <w:rPr>
          <w:rFonts w:ascii="Arial" w:hAnsi="Arial" w:cs="Arial"/>
          <w:lang w:val="en-US"/>
        </w:rPr>
        <w:t>.</w:t>
      </w:r>
      <w:r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2ED44FDF" w14:textId="2B155DBB" w:rsidR="00331887" w:rsidRDefault="00331887" w:rsidP="00331887">
      <w:pPr>
        <w:ind w:hanging="709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  <w:lang w:val="en-US"/>
        </w:rPr>
        <w:lastRenderedPageBreak/>
        <w:drawing>
          <wp:inline distT="0" distB="0" distL="0" distR="0" wp14:anchorId="6DB9A4B9" wp14:editId="0FF15625">
            <wp:extent cx="6485861" cy="4394583"/>
            <wp:effectExtent l="0" t="0" r="0" b="0"/>
            <wp:docPr id="10714041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404186" name="Imagem 107140418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0697" cy="43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8E160" w14:textId="09B1A2A2" w:rsidR="00331887" w:rsidRPr="00094E5E" w:rsidRDefault="00331887" w:rsidP="00331887">
      <w:pPr>
        <w:spacing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094E5E">
        <w:rPr>
          <w:rFonts w:ascii="Arial" w:hAnsi="Arial" w:cs="Arial"/>
          <w:b/>
          <w:bCs/>
          <w:sz w:val="20"/>
          <w:szCs w:val="20"/>
          <w:lang w:val="en-US"/>
        </w:rPr>
        <w:t xml:space="preserve">Figure </w:t>
      </w:r>
      <w:r>
        <w:rPr>
          <w:rFonts w:ascii="Arial" w:hAnsi="Arial" w:cs="Arial"/>
          <w:b/>
          <w:bCs/>
          <w:sz w:val="20"/>
          <w:szCs w:val="20"/>
          <w:lang w:val="en-US"/>
        </w:rPr>
        <w:t>S6</w:t>
      </w:r>
      <w:r w:rsidRPr="00094E5E">
        <w:rPr>
          <w:rFonts w:ascii="Arial" w:hAnsi="Arial" w:cs="Arial"/>
          <w:b/>
          <w:bCs/>
          <w:sz w:val="20"/>
          <w:szCs w:val="20"/>
          <w:lang w:val="en-US"/>
        </w:rPr>
        <w:t xml:space="preserve">: </w:t>
      </w:r>
      <w:r w:rsidRPr="00094E5E">
        <w:rPr>
          <w:rFonts w:ascii="Arial" w:hAnsi="Arial" w:cs="Arial"/>
          <w:sz w:val="20"/>
          <w:szCs w:val="20"/>
          <w:lang w:val="en-US"/>
        </w:rPr>
        <w:t xml:space="preserve">Kaplan-Meier curves of the significant </w:t>
      </w:r>
      <w:r>
        <w:rPr>
          <w:rFonts w:ascii="Arial" w:hAnsi="Arial" w:cs="Arial"/>
          <w:sz w:val="20"/>
          <w:szCs w:val="20"/>
          <w:lang w:val="en-US"/>
        </w:rPr>
        <w:t>disease free survival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094E5E">
        <w:rPr>
          <w:rFonts w:ascii="Arial" w:hAnsi="Arial" w:cs="Arial"/>
          <w:sz w:val="20"/>
          <w:szCs w:val="20"/>
          <w:lang w:val="en-US"/>
        </w:rPr>
        <w:t xml:space="preserve">results </w:t>
      </w:r>
      <w:r>
        <w:rPr>
          <w:rFonts w:ascii="Arial" w:hAnsi="Arial" w:cs="Arial"/>
          <w:sz w:val="20"/>
          <w:szCs w:val="20"/>
          <w:lang w:val="en-US"/>
        </w:rPr>
        <w:t>from the</w:t>
      </w:r>
      <w:r w:rsidRPr="00094E5E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Figure 3B</w:t>
      </w:r>
      <w:r w:rsidRPr="00094E5E">
        <w:rPr>
          <w:rFonts w:ascii="Arial" w:hAnsi="Arial" w:cs="Arial"/>
          <w:sz w:val="20"/>
          <w:szCs w:val="20"/>
          <w:lang w:val="en-US"/>
        </w:rPr>
        <w:t>.</w:t>
      </w:r>
    </w:p>
    <w:p w14:paraId="1922FAFA" w14:textId="77777777" w:rsidR="00331887" w:rsidRDefault="00331887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75F6E513" w14:textId="253C6608" w:rsidR="00EE073C" w:rsidRPr="00A26928" w:rsidRDefault="00A26928">
      <w:pPr>
        <w:rPr>
          <w:b/>
          <w:bCs/>
          <w:lang w:val="en-US"/>
        </w:rPr>
      </w:pPr>
      <w:r w:rsidRPr="00A26928">
        <w:rPr>
          <w:b/>
          <w:bCs/>
          <w:lang w:val="en-US"/>
        </w:rPr>
        <w:lastRenderedPageBreak/>
        <w:t>Su</w:t>
      </w:r>
      <w:r>
        <w:rPr>
          <w:b/>
          <w:bCs/>
          <w:lang w:val="en-US"/>
        </w:rPr>
        <w:t>pplementary tables:</w:t>
      </w:r>
    </w:p>
    <w:p w14:paraId="6135489A" w14:textId="0C2BDF8D" w:rsidR="00F600C3" w:rsidRPr="00A26928" w:rsidRDefault="00C67BE2">
      <w:pPr>
        <w:rPr>
          <w:lang w:val="en-US"/>
        </w:rPr>
      </w:pPr>
      <w:r w:rsidRPr="00C67BE2">
        <w:rPr>
          <w:b/>
          <w:bCs/>
          <w:lang w:val="en-US"/>
        </w:rPr>
        <w:t>Supplementary file 1</w:t>
      </w:r>
      <w:r w:rsidR="00A26928" w:rsidRPr="00A26928">
        <w:rPr>
          <w:b/>
          <w:bCs/>
          <w:lang w:val="en-US"/>
        </w:rPr>
        <w:t xml:space="preserve"> – </w:t>
      </w:r>
      <w:r w:rsidR="00A26928" w:rsidRPr="00A26928">
        <w:rPr>
          <w:lang w:val="en-US"/>
        </w:rPr>
        <w:t>Number of Samples</w:t>
      </w:r>
    </w:p>
    <w:p w14:paraId="0C2551D8" w14:textId="79619A4C" w:rsidR="00A26928" w:rsidRPr="00A26928" w:rsidRDefault="00C67BE2">
      <w:pPr>
        <w:rPr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 w:rsidR="00A26928" w:rsidRPr="00A26928">
        <w:rPr>
          <w:b/>
          <w:bCs/>
          <w:lang w:val="en-US"/>
        </w:rPr>
        <w:t>2</w:t>
      </w:r>
      <w:r w:rsidR="00A26928">
        <w:rPr>
          <w:b/>
          <w:bCs/>
          <w:lang w:val="en-US"/>
        </w:rPr>
        <w:t xml:space="preserve"> </w:t>
      </w:r>
      <w:r w:rsidR="00A26928" w:rsidRPr="00A26928">
        <w:rPr>
          <w:b/>
          <w:bCs/>
          <w:lang w:val="en-US"/>
        </w:rPr>
        <w:t>–</w:t>
      </w:r>
      <w:r w:rsidR="00A26928" w:rsidRPr="00A26928">
        <w:rPr>
          <w:lang w:val="en-US"/>
        </w:rPr>
        <w:t>Tau data</w:t>
      </w:r>
    </w:p>
    <w:p w14:paraId="0BF971BD" w14:textId="516A5CA0" w:rsidR="00A26928" w:rsidRPr="00A26928" w:rsidRDefault="00C67BE2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 w:rsidR="00A26928" w:rsidRPr="00A26928">
        <w:rPr>
          <w:b/>
          <w:bCs/>
          <w:lang w:val="en-US"/>
        </w:rPr>
        <w:t xml:space="preserve">3 – </w:t>
      </w:r>
      <w:r w:rsidR="00A26928" w:rsidRPr="00A26928">
        <w:rPr>
          <w:lang w:val="en-US"/>
        </w:rPr>
        <w:t>Alternative Category Genes</w:t>
      </w:r>
    </w:p>
    <w:p w14:paraId="5207A96C" w14:textId="37689B6D" w:rsidR="00A26928" w:rsidRPr="00A26928" w:rsidRDefault="00C67BE2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>
        <w:rPr>
          <w:b/>
          <w:bCs/>
          <w:lang w:val="en-US"/>
        </w:rPr>
        <w:t xml:space="preserve">4 </w:t>
      </w:r>
      <w:r w:rsidR="00A26928" w:rsidRPr="00A26928">
        <w:rPr>
          <w:b/>
          <w:bCs/>
          <w:lang w:val="en-US"/>
        </w:rPr>
        <w:t xml:space="preserve">– </w:t>
      </w:r>
      <w:r w:rsidR="00A26928" w:rsidRPr="00A26928">
        <w:rPr>
          <w:lang w:val="en-US"/>
        </w:rPr>
        <w:t>Cancer-DEGs</w:t>
      </w:r>
    </w:p>
    <w:p w14:paraId="1B0EF5E1" w14:textId="16124A6D" w:rsidR="00A26928" w:rsidRPr="00A26928" w:rsidRDefault="00C67BE2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>
        <w:rPr>
          <w:b/>
          <w:bCs/>
          <w:lang w:val="en-US"/>
        </w:rPr>
        <w:t xml:space="preserve">5 </w:t>
      </w:r>
      <w:r w:rsidR="00A26928" w:rsidRPr="00A26928">
        <w:rPr>
          <w:b/>
          <w:bCs/>
          <w:lang w:val="en-US"/>
        </w:rPr>
        <w:t xml:space="preserve">– </w:t>
      </w:r>
      <w:r w:rsidR="00A26928" w:rsidRPr="00A26928">
        <w:rPr>
          <w:lang w:val="en-US"/>
        </w:rPr>
        <w:t>Ageing-DEGs</w:t>
      </w:r>
    </w:p>
    <w:p w14:paraId="28F2B6EE" w14:textId="6B0C5047" w:rsidR="00A26928" w:rsidRDefault="00C67BE2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>Supplementary file</w:t>
      </w:r>
      <w:r>
        <w:rPr>
          <w:b/>
          <w:bCs/>
          <w:lang w:val="en-US"/>
        </w:rPr>
        <w:t xml:space="preserve"> 6</w:t>
      </w:r>
      <w:r w:rsidR="00A26928" w:rsidRPr="00A26928">
        <w:rPr>
          <w:b/>
          <w:bCs/>
          <w:lang w:val="en-US"/>
        </w:rPr>
        <w:t xml:space="preserve"> – </w:t>
      </w:r>
      <w:r w:rsidR="00A26928" w:rsidRPr="00A26928">
        <w:rPr>
          <w:lang w:val="en-US"/>
        </w:rPr>
        <w:t>Genes in each tau’s categories</w:t>
      </w:r>
    </w:p>
    <w:p w14:paraId="078FD913" w14:textId="5828A78D" w:rsidR="00A26928" w:rsidRDefault="00C67BE2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>
        <w:rPr>
          <w:b/>
          <w:bCs/>
          <w:lang w:val="en-US"/>
        </w:rPr>
        <w:t>7</w:t>
      </w:r>
      <w:r w:rsidR="00A26928">
        <w:rPr>
          <w:b/>
          <w:bCs/>
          <w:lang w:val="en-US"/>
        </w:rPr>
        <w:t xml:space="preserve">– </w:t>
      </w:r>
      <w:r w:rsidR="003E4D70">
        <w:rPr>
          <w:lang w:val="en-US"/>
        </w:rPr>
        <w:t>Gene ontology of High and Low Tissue Specificity Genes</w:t>
      </w:r>
    </w:p>
    <w:p w14:paraId="3D409454" w14:textId="31DB70C3" w:rsidR="00A26928" w:rsidRDefault="00C67BE2">
      <w:pPr>
        <w:rPr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>
        <w:rPr>
          <w:b/>
          <w:bCs/>
          <w:lang w:val="en-US"/>
        </w:rPr>
        <w:t xml:space="preserve">8 </w:t>
      </w:r>
      <w:r w:rsidR="00A26928">
        <w:rPr>
          <w:b/>
          <w:bCs/>
          <w:lang w:val="en-US"/>
        </w:rPr>
        <w:t xml:space="preserve">– </w:t>
      </w:r>
      <w:r w:rsidR="003E4D70">
        <w:rPr>
          <w:lang w:val="en-US"/>
        </w:rPr>
        <w:t xml:space="preserve">Gene ontology of </w:t>
      </w:r>
      <w:r w:rsidR="003E4D70" w:rsidRPr="003E4D70">
        <w:rPr>
          <w:lang w:val="en-US"/>
        </w:rPr>
        <w:t xml:space="preserve">upregulated Tissue-Unexpressed </w:t>
      </w:r>
      <w:r w:rsidR="003E4D70">
        <w:rPr>
          <w:lang w:val="en-US"/>
        </w:rPr>
        <w:t>cancer-</w:t>
      </w:r>
      <w:r w:rsidR="003E4D70" w:rsidRPr="003E4D70">
        <w:rPr>
          <w:lang w:val="en-US"/>
        </w:rPr>
        <w:t>DEGs</w:t>
      </w:r>
    </w:p>
    <w:p w14:paraId="2CCFD1FB" w14:textId="596BDC9E" w:rsidR="003E4D70" w:rsidRDefault="003E4D70" w:rsidP="003E4D70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>
        <w:rPr>
          <w:b/>
          <w:bCs/>
          <w:lang w:val="en-US"/>
        </w:rPr>
        <w:t xml:space="preserve">9– </w:t>
      </w:r>
      <w:r w:rsidRPr="00A26928">
        <w:rPr>
          <w:lang w:val="en-US"/>
        </w:rPr>
        <w:t>Cancer-DEGs old group</w:t>
      </w:r>
    </w:p>
    <w:p w14:paraId="3BB765AC" w14:textId="05E62A5E" w:rsidR="003E4D70" w:rsidRPr="00A26928" w:rsidRDefault="003E4D70" w:rsidP="003E4D70">
      <w:pPr>
        <w:rPr>
          <w:b/>
          <w:bCs/>
          <w:lang w:val="en-US"/>
        </w:rPr>
      </w:pPr>
      <w:r w:rsidRPr="00C67BE2">
        <w:rPr>
          <w:b/>
          <w:bCs/>
          <w:lang w:val="en-US"/>
        </w:rPr>
        <w:t xml:space="preserve">Supplementary file </w:t>
      </w:r>
      <w:r>
        <w:rPr>
          <w:b/>
          <w:bCs/>
          <w:lang w:val="en-US"/>
        </w:rPr>
        <w:t xml:space="preserve">10 – </w:t>
      </w:r>
      <w:r w:rsidRPr="00A26928">
        <w:rPr>
          <w:lang w:val="en-US"/>
        </w:rPr>
        <w:t>Cancer-DEGs young group</w:t>
      </w:r>
    </w:p>
    <w:p w14:paraId="11E8D8BF" w14:textId="77777777" w:rsidR="003E4D70" w:rsidRPr="00A26928" w:rsidRDefault="003E4D70">
      <w:pPr>
        <w:rPr>
          <w:b/>
          <w:bCs/>
          <w:lang w:val="en-US"/>
        </w:rPr>
      </w:pPr>
    </w:p>
    <w:sectPr w:rsidR="003E4D70" w:rsidRPr="00A26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G0NDc0tzA1sLC0MDFT0lEKTi0uzszPAykwqwUAqwyckiwAAAA="/>
  </w:docVars>
  <w:rsids>
    <w:rsidRoot w:val="00BE0AFE"/>
    <w:rsid w:val="00060132"/>
    <w:rsid w:val="000F5D9B"/>
    <w:rsid w:val="00107B5A"/>
    <w:rsid w:val="00331887"/>
    <w:rsid w:val="003E4D70"/>
    <w:rsid w:val="005A66CF"/>
    <w:rsid w:val="008012B3"/>
    <w:rsid w:val="008A3485"/>
    <w:rsid w:val="00A26928"/>
    <w:rsid w:val="00A900E5"/>
    <w:rsid w:val="00BE0AFE"/>
    <w:rsid w:val="00C67BE2"/>
    <w:rsid w:val="00EE073C"/>
    <w:rsid w:val="00F6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0F82"/>
  <w15:chartTrackingRefBased/>
  <w15:docId w15:val="{F43F6A75-DF7C-4AD0-8000-771E00CB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"/><Relationship Id="rId11" Type="http://schemas.microsoft.com/office/2007/relationships/hdphoto" Target="media/hdphoto2.wdp"/><Relationship Id="rId5" Type="http://schemas.openxmlformats.org/officeDocument/2006/relationships/image" Target="media/image1.ti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t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F3666-C7A2-4D50-8069-AA6C06EC7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Arantes</dc:creator>
  <cp:keywords/>
  <dc:description/>
  <cp:lastModifiedBy>Gabriel Arantes</cp:lastModifiedBy>
  <cp:revision>12</cp:revision>
  <dcterms:created xsi:type="dcterms:W3CDTF">2023-03-30T12:03:00Z</dcterms:created>
  <dcterms:modified xsi:type="dcterms:W3CDTF">2023-09-15T14:43:00Z</dcterms:modified>
</cp:coreProperties>
</file>