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306C" w:rsidRPr="00EF5E5B" w:rsidRDefault="005D6586">
      <w:pPr>
        <w:rPr>
          <w:rFonts w:ascii="Arial" w:hAnsi="Arial" w:cs="Arial"/>
        </w:rPr>
      </w:pPr>
      <w:bookmarkStart w:id="0" w:name="_GoBack"/>
      <w:r w:rsidRPr="00EF5E5B">
        <w:rPr>
          <w:rFonts w:ascii="Arial" w:hAnsi="Arial" w:cs="Arial"/>
        </w:rPr>
        <w:t>List of Additional files</w:t>
      </w:r>
    </w:p>
    <w:p w:rsidR="005D6586" w:rsidRPr="00EF5E5B" w:rsidRDefault="005D6586" w:rsidP="005D6586">
      <w:pPr>
        <w:widowControl w:val="0"/>
        <w:spacing w:after="120" w:line="480" w:lineRule="auto"/>
        <w:ind w:left="425" w:hanging="425"/>
        <w:rPr>
          <w:rFonts w:ascii="Arial" w:eastAsia="SimSun" w:hAnsi="Arial" w:cs="Arial"/>
          <w:b/>
          <w:kern w:val="2"/>
        </w:rPr>
      </w:pPr>
      <w:r w:rsidRPr="00EF5E5B">
        <w:rPr>
          <w:rFonts w:ascii="Arial" w:eastAsia="SimSun" w:hAnsi="Arial" w:cs="Arial"/>
          <w:b/>
          <w:kern w:val="2"/>
        </w:rPr>
        <w:t>Additional files</w:t>
      </w:r>
    </w:p>
    <w:p w:rsidR="005D6586" w:rsidRPr="00EF5E5B" w:rsidRDefault="005D6586" w:rsidP="005D6586">
      <w:pPr>
        <w:widowControl w:val="0"/>
        <w:spacing w:after="120" w:line="480" w:lineRule="auto"/>
        <w:ind w:left="425" w:hanging="425"/>
        <w:rPr>
          <w:rFonts w:ascii="Arial" w:hAnsi="Arial" w:cs="Arial"/>
          <w:kern w:val="2"/>
        </w:rPr>
      </w:pPr>
      <w:r w:rsidRPr="00EF5E5B">
        <w:rPr>
          <w:rFonts w:ascii="Arial" w:eastAsia="SimSun" w:hAnsi="Arial" w:cs="Arial"/>
          <w:kern w:val="2"/>
        </w:rPr>
        <w:t xml:space="preserve">Additional </w:t>
      </w:r>
      <w:proofErr w:type="spellStart"/>
      <w:r w:rsidRPr="00EF5E5B">
        <w:rPr>
          <w:rFonts w:ascii="Arial" w:eastAsia="SimSun" w:hAnsi="Arial" w:cs="Arial"/>
          <w:kern w:val="2"/>
        </w:rPr>
        <w:t>excel.file</w:t>
      </w:r>
      <w:proofErr w:type="spellEnd"/>
      <w:r w:rsidRPr="00EF5E5B">
        <w:rPr>
          <w:rFonts w:ascii="Arial" w:eastAsia="SimSun" w:hAnsi="Arial" w:cs="Arial"/>
          <w:kern w:val="2"/>
        </w:rPr>
        <w:t xml:space="preserve"> 1. Copy numbers of pro-</w:t>
      </w:r>
      <w:proofErr w:type="spellStart"/>
      <w:r w:rsidRPr="00EF5E5B">
        <w:rPr>
          <w:rFonts w:ascii="Arial" w:eastAsia="SimSun" w:hAnsi="Arial" w:cs="Arial"/>
          <w:kern w:val="2"/>
        </w:rPr>
        <w:t>resilin</w:t>
      </w:r>
      <w:proofErr w:type="spellEnd"/>
      <w:r w:rsidRPr="00EF5E5B">
        <w:rPr>
          <w:rFonts w:ascii="Arial" w:eastAsia="SimSun" w:hAnsi="Arial" w:cs="Arial"/>
          <w:kern w:val="2"/>
        </w:rPr>
        <w:t xml:space="preserve"> genes among several representative decapod species. </w:t>
      </w:r>
    </w:p>
    <w:p w:rsidR="005D6586" w:rsidRPr="00EF5E5B" w:rsidRDefault="005D6586" w:rsidP="005D6586">
      <w:pPr>
        <w:widowControl w:val="0"/>
        <w:spacing w:after="120" w:line="480" w:lineRule="auto"/>
        <w:ind w:left="425" w:hanging="425"/>
        <w:rPr>
          <w:rFonts w:ascii="Arial" w:hAnsi="Arial" w:cs="Arial"/>
          <w:kern w:val="2"/>
        </w:rPr>
      </w:pPr>
      <w:r w:rsidRPr="00EF5E5B">
        <w:rPr>
          <w:rFonts w:ascii="Arial" w:hAnsi="Arial" w:cs="Arial"/>
        </w:rPr>
        <w:t xml:space="preserve">Additional file 1. </w:t>
      </w:r>
      <w:r w:rsidRPr="00EF5E5B">
        <w:rPr>
          <w:rFonts w:ascii="Arial" w:hAnsi="Arial" w:cs="Arial"/>
          <w:kern w:val="2"/>
        </w:rPr>
        <w:t xml:space="preserve">Comparison of differentially expressed genes (DEGs). Volcano plot of DEGs in the (A) OE vs. OL, (B) OL vs. AO, and (C) OE vs. AO comparisons, and (D) Venn diagram of overlapping DEGs among these comparisons. False Discovery Rate (FDR) </w:t>
      </w:r>
      <w:proofErr w:type="gramStart"/>
      <w:r w:rsidRPr="00EF5E5B">
        <w:rPr>
          <w:rFonts w:ascii="Arial" w:hAnsi="Arial" w:cs="Arial"/>
          <w:kern w:val="2"/>
        </w:rPr>
        <w:t>is used</w:t>
      </w:r>
      <w:proofErr w:type="gramEnd"/>
      <w:r w:rsidRPr="00EF5E5B">
        <w:rPr>
          <w:rFonts w:ascii="Arial" w:hAnsi="Arial" w:cs="Arial"/>
          <w:kern w:val="2"/>
        </w:rPr>
        <w:t xml:space="preserve"> to find the </w:t>
      </w:r>
      <w:r w:rsidRPr="00EF5E5B">
        <w:rPr>
          <w:rFonts w:ascii="Arial" w:hAnsi="Arial" w:cs="Arial"/>
          <w:i/>
          <w:kern w:val="2"/>
        </w:rPr>
        <w:t>P</w:t>
      </w:r>
      <w:r w:rsidRPr="00EF5E5B">
        <w:rPr>
          <w:rFonts w:ascii="Arial" w:hAnsi="Arial" w:cs="Arial"/>
          <w:kern w:val="2"/>
        </w:rPr>
        <w:t xml:space="preserve">-value threshold. Abbreviation: Abbreviation: ovigerous setae in the prepuberty females at early (OE) and late premolt (OL) and adult (AO) stages; Up, up-regulation, Down, down-regulation; and ND, no difference. </w:t>
      </w:r>
      <w:r w:rsidRPr="00EF5E5B">
        <w:rPr>
          <w:rFonts w:ascii="Arial" w:hAnsi="Arial" w:cs="Arial"/>
        </w:rPr>
        <w:t xml:space="preserve">Statistical analysis of the DEGs between the OE and OL libraries included 6,547 genes, 3,764 of which were </w:t>
      </w:r>
      <w:proofErr w:type="gramStart"/>
      <w:r w:rsidRPr="00EF5E5B">
        <w:rPr>
          <w:rFonts w:ascii="Arial" w:hAnsi="Arial" w:cs="Arial"/>
        </w:rPr>
        <w:t>up-regulated</w:t>
      </w:r>
      <w:proofErr w:type="gramEnd"/>
      <w:r w:rsidRPr="00EF5E5B">
        <w:rPr>
          <w:rFonts w:ascii="Arial" w:hAnsi="Arial" w:cs="Arial"/>
        </w:rPr>
        <w:t xml:space="preserve"> and 2,783 were down-regulated (Additional file 1A). Overall, 7,793 DEGs are found in the OL vs. AO comparison, including 3,712 up-regulated genes and 4,081 down-regulated genes (Additional file 1B). In total, 7,481 DEGs were screened between the OE and AO libraries, with 4,189 </w:t>
      </w:r>
      <w:proofErr w:type="gramStart"/>
      <w:r w:rsidRPr="00EF5E5B">
        <w:rPr>
          <w:rFonts w:ascii="Arial" w:hAnsi="Arial" w:cs="Arial"/>
        </w:rPr>
        <w:t>up-regulated</w:t>
      </w:r>
      <w:proofErr w:type="gramEnd"/>
      <w:r w:rsidRPr="00EF5E5B">
        <w:rPr>
          <w:rFonts w:ascii="Arial" w:hAnsi="Arial" w:cs="Arial"/>
        </w:rPr>
        <w:t xml:space="preserve"> and 3,292 down-regulated significantly (Additional file 1C). A Venn diagram revealed the shared and unique DEGs among the OE vs. OL, OL vs. AO, and OE vs. AO comparisons (Additional file 1D). </w:t>
      </w:r>
    </w:p>
    <w:p w:rsidR="005D6586" w:rsidRPr="00EF5E5B" w:rsidRDefault="005D6586" w:rsidP="005D6586">
      <w:pPr>
        <w:widowControl w:val="0"/>
        <w:spacing w:after="120" w:line="480" w:lineRule="auto"/>
        <w:ind w:left="425" w:hanging="425"/>
        <w:rPr>
          <w:rFonts w:ascii="Arial" w:hAnsi="Arial" w:cs="Arial"/>
          <w:kern w:val="2"/>
        </w:rPr>
      </w:pPr>
      <w:r w:rsidRPr="00EF5E5B">
        <w:rPr>
          <w:rFonts w:ascii="Arial" w:hAnsi="Arial" w:cs="Arial"/>
        </w:rPr>
        <w:t>Additional file 2. (A) The number of enriched Kyoto Encyclopedia of Genes and Genomes (KEGG) pathways in the different groups (p &lt; 0.05). (B) Distribution of Gene Ontology (GO) terms assigned to biological process (BP), cellular component (CC) and molecular function (MF). (C) Venn diagram of overlapping KEGG pathways in the different groups. (D) Venn diagram of overlapping GO terms in the different groups.</w:t>
      </w:r>
      <w:r w:rsidRPr="00EF5E5B">
        <w:rPr>
          <w:rFonts w:ascii="Arial" w:hAnsi="Arial" w:cs="Arial"/>
          <w:kern w:val="2"/>
        </w:rPr>
        <w:t xml:space="preserve"> Abbreviation: ovigerous setae in the prepuberty females at early (OE) and late premolt (OL) and adult (AO) stages. </w:t>
      </w:r>
      <w:r w:rsidRPr="00EF5E5B">
        <w:rPr>
          <w:rFonts w:ascii="Arial" w:hAnsi="Arial" w:cs="Arial"/>
        </w:rPr>
        <w:t xml:space="preserve">The three comparisons shared 958 DEGs, while OE vs. OL, OL vs. AO, and OE vs. AO possessed 780, 1,813, and 1,486 unique DEGs, respectively. The DEGs in the OE vs. OL, </w:t>
      </w:r>
      <w:r w:rsidRPr="00EF5E5B">
        <w:rPr>
          <w:rFonts w:ascii="Arial" w:hAnsi="Arial" w:cs="Arial"/>
        </w:rPr>
        <w:lastRenderedPageBreak/>
        <w:t xml:space="preserve">OL vs. AO, and OE vs. AO comparisons were significantly enriched in 197, 190, and 184 KEGG pathways, respectively (Additional file 2A-B). A total of 395, 320, and 455 GO terms were enriched in the OE vs. OL, OL vs. AO, and OE vs. AO comparisons, respectively (Additional file 2C-D). </w:t>
      </w:r>
      <w:r w:rsidRPr="00EF5E5B">
        <w:rPr>
          <w:rFonts w:ascii="Arial" w:hAnsi="Arial" w:cs="Arial"/>
          <w:kern w:val="2"/>
        </w:rPr>
        <w:t xml:space="preserve">The </w:t>
      </w:r>
      <w:proofErr w:type="spellStart"/>
      <w:r w:rsidRPr="00EF5E5B">
        <w:rPr>
          <w:rFonts w:ascii="Arial" w:hAnsi="Arial" w:cs="Arial"/>
          <w:kern w:val="2"/>
        </w:rPr>
        <w:t>Kanehisa</w:t>
      </w:r>
      <w:proofErr w:type="spellEnd"/>
      <w:r w:rsidRPr="00EF5E5B">
        <w:rPr>
          <w:rFonts w:ascii="Arial" w:hAnsi="Arial" w:cs="Arial"/>
          <w:kern w:val="2"/>
        </w:rPr>
        <w:t xml:space="preserve"> laboratory have kindly provided permission (</w:t>
      </w:r>
      <w:hyperlink r:id="rId4" w:tgtFrame="_blank" w:history="1">
        <w:r w:rsidRPr="00EF5E5B">
          <w:rPr>
            <w:rStyle w:val="Hyperlink"/>
            <w:rFonts w:ascii="Arial" w:hAnsi="Arial" w:cs="Arial"/>
            <w:color w:val="1155CC"/>
            <w:shd w:val="clear" w:color="auto" w:fill="FFFFFF"/>
          </w:rPr>
          <w:t>www.kegg.jp/kegg/kegg1.html</w:t>
        </w:r>
      </w:hyperlink>
      <w:r w:rsidRPr="00EF5E5B">
        <w:rPr>
          <w:rFonts w:ascii="Arial" w:hAnsi="Arial" w:cs="Arial"/>
          <w:color w:val="222222"/>
          <w:shd w:val="clear" w:color="auto" w:fill="FFFFFF"/>
        </w:rPr>
        <w:t>).</w:t>
      </w:r>
    </w:p>
    <w:p w:rsidR="005D6586" w:rsidRPr="00EF5E5B" w:rsidRDefault="005D6586" w:rsidP="005D6586">
      <w:pPr>
        <w:widowControl w:val="0"/>
        <w:spacing w:after="120" w:line="480" w:lineRule="auto"/>
        <w:ind w:left="425" w:hanging="425"/>
        <w:rPr>
          <w:rFonts w:ascii="Arial" w:hAnsi="Arial" w:cs="Arial"/>
        </w:rPr>
      </w:pPr>
      <w:r w:rsidRPr="00EF5E5B">
        <w:rPr>
          <w:rFonts w:ascii="Arial" w:hAnsi="Arial" w:cs="Arial"/>
        </w:rPr>
        <w:t xml:space="preserve">Additional file 3. Phylogenetic analyses of </w:t>
      </w:r>
      <w:r w:rsidRPr="00EF5E5B">
        <w:rPr>
          <w:rFonts w:ascii="Arial" w:hAnsi="Arial" w:cs="Arial"/>
          <w:i/>
        </w:rPr>
        <w:t>Wnt5b</w:t>
      </w:r>
      <w:r w:rsidRPr="00EF5E5B">
        <w:rPr>
          <w:rFonts w:ascii="Arial" w:hAnsi="Arial" w:cs="Arial"/>
        </w:rPr>
        <w:t xml:space="preserve"> (A), </w:t>
      </w:r>
      <w:r w:rsidRPr="00EF5E5B">
        <w:rPr>
          <w:rFonts w:ascii="Arial" w:hAnsi="Arial" w:cs="Arial"/>
          <w:i/>
        </w:rPr>
        <w:t>β-catenin</w:t>
      </w:r>
      <w:r w:rsidRPr="00EF5E5B">
        <w:rPr>
          <w:rFonts w:ascii="Arial" w:hAnsi="Arial" w:cs="Arial"/>
        </w:rPr>
        <w:t xml:space="preserve"> (B), </w:t>
      </w:r>
      <w:r w:rsidRPr="00EF5E5B">
        <w:rPr>
          <w:rFonts w:ascii="Arial" w:hAnsi="Arial" w:cs="Arial"/>
          <w:i/>
        </w:rPr>
        <w:t>cyclin D2</w:t>
      </w:r>
      <w:r w:rsidRPr="00EF5E5B">
        <w:rPr>
          <w:rFonts w:ascii="Arial" w:hAnsi="Arial" w:cs="Arial"/>
        </w:rPr>
        <w:t xml:space="preserve"> (C), </w:t>
      </w:r>
      <w:r w:rsidRPr="00EF5E5B">
        <w:rPr>
          <w:rFonts w:ascii="Arial" w:hAnsi="Arial" w:cs="Arial"/>
          <w:i/>
        </w:rPr>
        <w:t>cyclin A</w:t>
      </w:r>
      <w:r w:rsidRPr="00EF5E5B">
        <w:rPr>
          <w:rFonts w:ascii="Arial" w:hAnsi="Arial" w:cs="Arial"/>
        </w:rPr>
        <w:t xml:space="preserve"> (D), </w:t>
      </w:r>
      <w:r w:rsidRPr="00EF5E5B">
        <w:rPr>
          <w:rFonts w:ascii="Arial" w:hAnsi="Arial" w:cs="Arial"/>
          <w:i/>
        </w:rPr>
        <w:t>cyclin H</w:t>
      </w:r>
      <w:r w:rsidRPr="00EF5E5B">
        <w:rPr>
          <w:rFonts w:ascii="Arial" w:hAnsi="Arial" w:cs="Arial"/>
        </w:rPr>
        <w:t xml:space="preserve"> (E), </w:t>
      </w:r>
      <w:r w:rsidRPr="00EF5E5B">
        <w:rPr>
          <w:rFonts w:ascii="Arial" w:hAnsi="Arial" w:cs="Arial"/>
          <w:i/>
        </w:rPr>
        <w:t>CDC20</w:t>
      </w:r>
      <w:r w:rsidRPr="00EF5E5B">
        <w:rPr>
          <w:rFonts w:ascii="Arial" w:hAnsi="Arial" w:cs="Arial"/>
        </w:rPr>
        <w:t xml:space="preserve"> (F), </w:t>
      </w:r>
      <w:r w:rsidRPr="00EF5E5B">
        <w:rPr>
          <w:rFonts w:ascii="Arial" w:hAnsi="Arial" w:cs="Arial"/>
          <w:i/>
        </w:rPr>
        <w:t>cuticle</w:t>
      </w:r>
      <w:r w:rsidRPr="00EF5E5B">
        <w:rPr>
          <w:rFonts w:ascii="Arial" w:hAnsi="Arial" w:cs="Arial"/>
        </w:rPr>
        <w:t xml:space="preserve"> (G) and </w:t>
      </w:r>
      <w:r w:rsidRPr="00EF5E5B">
        <w:rPr>
          <w:rFonts w:ascii="Arial" w:hAnsi="Arial" w:cs="Arial"/>
          <w:i/>
        </w:rPr>
        <w:t>tubulin</w:t>
      </w:r>
      <w:r w:rsidRPr="00EF5E5B">
        <w:rPr>
          <w:rFonts w:ascii="Arial" w:hAnsi="Arial" w:cs="Arial"/>
        </w:rPr>
        <w:t xml:space="preserve"> (H) genes. </w:t>
      </w:r>
      <w:bookmarkStart w:id="1" w:name="OLE_LINK23"/>
      <w:bookmarkStart w:id="2" w:name="OLE_LINK24"/>
      <w:r w:rsidRPr="00EF5E5B">
        <w:rPr>
          <w:rFonts w:ascii="Arial" w:hAnsi="Arial" w:cs="Arial"/>
        </w:rPr>
        <w:t xml:space="preserve">The phylogenetic tree </w:t>
      </w:r>
      <w:proofErr w:type="gramStart"/>
      <w:r w:rsidRPr="00EF5E5B">
        <w:rPr>
          <w:rFonts w:ascii="Arial" w:hAnsi="Arial" w:cs="Arial"/>
        </w:rPr>
        <w:t>was constructed</w:t>
      </w:r>
      <w:proofErr w:type="gramEnd"/>
      <w:r w:rsidRPr="00EF5E5B">
        <w:rPr>
          <w:rFonts w:ascii="Arial" w:hAnsi="Arial" w:cs="Arial"/>
        </w:rPr>
        <w:t xml:space="preserve"> based on the deduced full-length amino acid sequence alignments by the Neighbor-Joining (NJ) algorithm embedded in the MEGA X. Bootstrap consisted of 1000 replicates. The arrow points to </w:t>
      </w:r>
      <w:r w:rsidRPr="00EF5E5B">
        <w:rPr>
          <w:rFonts w:ascii="Arial" w:hAnsi="Arial" w:cs="Arial"/>
          <w:i/>
        </w:rPr>
        <w:t>C. sapidus</w:t>
      </w:r>
      <w:r w:rsidRPr="00EF5E5B">
        <w:rPr>
          <w:rFonts w:ascii="Arial" w:hAnsi="Arial" w:cs="Arial"/>
        </w:rPr>
        <w:t xml:space="preserve"> protein (A-F).</w:t>
      </w:r>
      <w:bookmarkEnd w:id="1"/>
      <w:bookmarkEnd w:id="2"/>
      <w:r w:rsidRPr="00EF5E5B">
        <w:rPr>
          <w:rFonts w:ascii="Arial" w:hAnsi="Arial" w:cs="Arial"/>
        </w:rPr>
        <w:t xml:space="preserve"> </w:t>
      </w:r>
      <w:proofErr w:type="gramStart"/>
      <w:r w:rsidRPr="00EF5E5B">
        <w:rPr>
          <w:rFonts w:ascii="Arial" w:hAnsi="Arial" w:cs="Arial"/>
        </w:rPr>
        <w:t>Different sizes of predicted amino acids of cuticle and tubulin genes (G-H) were represented by the bars upon the phylogenetic tree</w:t>
      </w:r>
      <w:proofErr w:type="gramEnd"/>
      <w:r w:rsidRPr="00EF5E5B">
        <w:rPr>
          <w:rFonts w:ascii="Arial" w:hAnsi="Arial" w:cs="Arial"/>
        </w:rPr>
        <w:t xml:space="preserve">. The black dots represented </w:t>
      </w:r>
      <w:proofErr w:type="spellStart"/>
      <w:r w:rsidRPr="00EF5E5B">
        <w:rPr>
          <w:rFonts w:ascii="Arial" w:hAnsi="Arial" w:cs="Arial"/>
          <w:i/>
        </w:rPr>
        <w:t>Callinectes</w:t>
      </w:r>
      <w:proofErr w:type="spellEnd"/>
      <w:r w:rsidRPr="00EF5E5B">
        <w:rPr>
          <w:rFonts w:ascii="Arial" w:hAnsi="Arial" w:cs="Arial"/>
        </w:rPr>
        <w:t xml:space="preserve"> sequences. The amino acid sequences </w:t>
      </w:r>
      <w:proofErr w:type="gramStart"/>
      <w:r w:rsidRPr="00EF5E5B">
        <w:rPr>
          <w:rFonts w:ascii="Arial" w:hAnsi="Arial" w:cs="Arial"/>
        </w:rPr>
        <w:t>were retrieved</w:t>
      </w:r>
      <w:proofErr w:type="gramEnd"/>
      <w:r w:rsidRPr="00EF5E5B">
        <w:rPr>
          <w:rFonts w:ascii="Arial" w:hAnsi="Arial" w:cs="Arial"/>
        </w:rPr>
        <w:t xml:space="preserve"> from the NCBI database and the accession numbers were presented in the Additional table 1.</w:t>
      </w:r>
    </w:p>
    <w:p w:rsidR="005D6586" w:rsidRPr="00EF5E5B" w:rsidRDefault="005D6586" w:rsidP="005D6586">
      <w:pPr>
        <w:widowControl w:val="0"/>
        <w:spacing w:after="120" w:line="480" w:lineRule="auto"/>
        <w:ind w:left="425" w:hanging="425"/>
        <w:rPr>
          <w:rFonts w:ascii="Arial" w:hAnsi="Arial" w:cs="Arial"/>
          <w:kern w:val="2"/>
        </w:rPr>
      </w:pPr>
      <w:r w:rsidRPr="00EF5E5B">
        <w:rPr>
          <w:rFonts w:ascii="Arial" w:hAnsi="Arial" w:cs="Arial"/>
        </w:rPr>
        <w:t>Additional file 4.</w:t>
      </w:r>
      <w:r w:rsidRPr="00EF5E5B">
        <w:rPr>
          <w:rFonts w:ascii="Arial" w:eastAsia="SimSun" w:hAnsi="Arial" w:cs="Arial"/>
          <w:bCs/>
          <w:kern w:val="2"/>
          <w:lang w:val="en-GB"/>
        </w:rPr>
        <w:t xml:space="preserve"> Identification of genes assigned to the </w:t>
      </w:r>
      <w:proofErr w:type="spellStart"/>
      <w:r w:rsidRPr="00EF5E5B">
        <w:rPr>
          <w:rFonts w:ascii="Arial" w:eastAsia="SimSun" w:hAnsi="Arial" w:cs="Arial"/>
          <w:kern w:val="2"/>
          <w:lang w:val="en-GB"/>
        </w:rPr>
        <w:t>mTOR</w:t>
      </w:r>
      <w:proofErr w:type="spellEnd"/>
      <w:r w:rsidRPr="00EF5E5B">
        <w:rPr>
          <w:rFonts w:ascii="Arial" w:eastAsia="SimSun" w:hAnsi="Arial" w:cs="Arial"/>
          <w:kern w:val="2"/>
          <w:lang w:val="en-GB"/>
        </w:rPr>
        <w:t xml:space="preserve"> signalling pathway in the (A) OE vs. OL comparison, (B) OL vs. AO comparison, and (C) OE vs. AO comparison, respectively. Up-, down-, and non-significantly regulated genes in the </w:t>
      </w:r>
      <w:r w:rsidRPr="00EF5E5B">
        <w:rPr>
          <w:rFonts w:ascii="Arial" w:eastAsia="SimSun" w:hAnsi="Arial" w:cs="Arial"/>
          <w:i/>
          <w:kern w:val="2"/>
          <w:lang w:val="en-GB"/>
        </w:rPr>
        <w:t>C. sapidus</w:t>
      </w:r>
      <w:r w:rsidRPr="00EF5E5B">
        <w:rPr>
          <w:rFonts w:ascii="Arial" w:eastAsia="SimSun" w:hAnsi="Arial" w:cs="Arial"/>
          <w:kern w:val="2"/>
          <w:lang w:val="en-GB"/>
        </w:rPr>
        <w:t xml:space="preserve"> transcriptome are coloured red, blue, and yellow, respectively. </w:t>
      </w:r>
      <w:r w:rsidRPr="00EF5E5B">
        <w:rPr>
          <w:rFonts w:ascii="Arial" w:hAnsi="Arial" w:cs="Arial"/>
          <w:kern w:val="2"/>
        </w:rPr>
        <w:t>Abbreviation: ovigerous setae in the prepuberty females at early (OE) and late premolt (OL) and adult (AO) stages.</w:t>
      </w:r>
    </w:p>
    <w:p w:rsidR="005D6586" w:rsidRPr="00EF5E5B" w:rsidRDefault="005D6586" w:rsidP="005D6586">
      <w:pPr>
        <w:widowControl w:val="0"/>
        <w:spacing w:after="120" w:line="480" w:lineRule="auto"/>
        <w:ind w:left="425" w:hanging="425"/>
        <w:rPr>
          <w:rFonts w:ascii="Arial" w:hAnsi="Arial" w:cs="Arial"/>
        </w:rPr>
      </w:pPr>
      <w:r w:rsidRPr="00EF5E5B">
        <w:rPr>
          <w:rFonts w:ascii="Arial" w:hAnsi="Arial" w:cs="Arial"/>
        </w:rPr>
        <w:tab/>
      </w:r>
      <w:r w:rsidRPr="00EF5E5B">
        <w:rPr>
          <w:rFonts w:ascii="Arial" w:hAnsi="Arial" w:cs="Arial"/>
          <w:kern w:val="2"/>
        </w:rPr>
        <w:t xml:space="preserve">The </w:t>
      </w:r>
      <w:proofErr w:type="spellStart"/>
      <w:r w:rsidRPr="00EF5E5B">
        <w:rPr>
          <w:rFonts w:ascii="Arial" w:hAnsi="Arial" w:cs="Arial"/>
          <w:kern w:val="2"/>
        </w:rPr>
        <w:t>Kanehisa</w:t>
      </w:r>
      <w:proofErr w:type="spellEnd"/>
      <w:r w:rsidRPr="00EF5E5B">
        <w:rPr>
          <w:rFonts w:ascii="Arial" w:hAnsi="Arial" w:cs="Arial"/>
          <w:kern w:val="2"/>
        </w:rPr>
        <w:t xml:space="preserve"> laboratory have kindly provided permission (</w:t>
      </w:r>
      <w:hyperlink r:id="rId5" w:tgtFrame="_blank" w:history="1">
        <w:r w:rsidRPr="00EF5E5B">
          <w:rPr>
            <w:rStyle w:val="Hyperlink"/>
            <w:rFonts w:ascii="Arial" w:hAnsi="Arial" w:cs="Arial"/>
            <w:color w:val="1155CC"/>
            <w:shd w:val="clear" w:color="auto" w:fill="FFFFFF"/>
          </w:rPr>
          <w:t>www.kegg.jp/kegg/kegg1.html</w:t>
        </w:r>
      </w:hyperlink>
      <w:r w:rsidRPr="00EF5E5B">
        <w:rPr>
          <w:rFonts w:ascii="Arial" w:hAnsi="Arial" w:cs="Arial"/>
          <w:color w:val="222222"/>
          <w:shd w:val="clear" w:color="auto" w:fill="FFFFFF"/>
        </w:rPr>
        <w:t>).</w:t>
      </w:r>
    </w:p>
    <w:p w:rsidR="005D6586" w:rsidRPr="00EF5E5B" w:rsidRDefault="005D6586" w:rsidP="005D6586">
      <w:pPr>
        <w:spacing w:after="120" w:line="480" w:lineRule="auto"/>
        <w:ind w:left="425" w:hanging="425"/>
        <w:rPr>
          <w:rFonts w:ascii="Arial" w:hAnsi="Arial" w:cs="Arial"/>
        </w:rPr>
      </w:pPr>
      <w:r w:rsidRPr="00EF5E5B">
        <w:rPr>
          <w:rFonts w:ascii="Arial" w:hAnsi="Arial" w:cs="Arial"/>
        </w:rPr>
        <w:t xml:space="preserve">Additional file 5. </w:t>
      </w:r>
      <w:r w:rsidRPr="00EF5E5B">
        <w:rPr>
          <w:rFonts w:ascii="Arial" w:eastAsia="SimSun" w:hAnsi="Arial" w:cs="Arial"/>
          <w:bCs/>
          <w:kern w:val="2"/>
          <w:lang w:val="en-GB"/>
        </w:rPr>
        <w:t xml:space="preserve">Predicted transcriptional factor-binding sites on the 5’ flanking sequence of </w:t>
      </w:r>
      <w:r w:rsidRPr="00EF5E5B">
        <w:rPr>
          <w:rFonts w:ascii="Arial" w:hAnsi="Arial" w:cs="Arial"/>
        </w:rPr>
        <w:t xml:space="preserve">two tandemly distributed </w:t>
      </w:r>
      <w:r w:rsidRPr="00EF5E5B">
        <w:rPr>
          <w:rFonts w:ascii="Arial" w:hAnsi="Arial" w:cs="Arial"/>
          <w:i/>
        </w:rPr>
        <w:t>pro-</w:t>
      </w:r>
      <w:proofErr w:type="spellStart"/>
      <w:r w:rsidRPr="00EF5E5B">
        <w:rPr>
          <w:rFonts w:ascii="Arial" w:hAnsi="Arial" w:cs="Arial"/>
          <w:i/>
        </w:rPr>
        <w:t>resilin</w:t>
      </w:r>
      <w:proofErr w:type="spellEnd"/>
      <w:r w:rsidRPr="00EF5E5B">
        <w:rPr>
          <w:rFonts w:ascii="Arial" w:hAnsi="Arial" w:cs="Arial"/>
        </w:rPr>
        <w:t xml:space="preserve"> genes in </w:t>
      </w:r>
      <w:r w:rsidRPr="00EF5E5B">
        <w:rPr>
          <w:rFonts w:ascii="Arial" w:hAnsi="Arial" w:cs="Arial"/>
          <w:i/>
        </w:rPr>
        <w:t xml:space="preserve">C. sapidus </w:t>
      </w:r>
      <w:r w:rsidRPr="00EF5E5B">
        <w:rPr>
          <w:rFonts w:ascii="Arial" w:hAnsi="Arial" w:cs="Arial"/>
        </w:rPr>
        <w:t xml:space="preserve">(Gene ID: Chr_9_Csap_19436 and 19438). The putative </w:t>
      </w:r>
      <w:r w:rsidRPr="00EF5E5B">
        <w:rPr>
          <w:rFonts w:ascii="Arial" w:eastAsia="SimSun" w:hAnsi="Arial" w:cs="Arial"/>
          <w:bCs/>
          <w:kern w:val="2"/>
          <w:lang w:val="en-GB"/>
        </w:rPr>
        <w:t xml:space="preserve">binding sites for </w:t>
      </w:r>
      <w:proofErr w:type="spellStart"/>
      <w:r w:rsidRPr="00EF5E5B">
        <w:rPr>
          <w:rFonts w:ascii="Arial" w:eastAsia="SimSun" w:hAnsi="Arial" w:cs="Arial"/>
          <w:bCs/>
          <w:kern w:val="2"/>
          <w:lang w:val="en-GB"/>
        </w:rPr>
        <w:t>ecdysteroid</w:t>
      </w:r>
      <w:proofErr w:type="spellEnd"/>
      <w:r w:rsidRPr="00EF5E5B">
        <w:rPr>
          <w:rFonts w:ascii="Arial" w:eastAsia="SimSun" w:hAnsi="Arial" w:cs="Arial"/>
          <w:bCs/>
          <w:kern w:val="2"/>
          <w:lang w:val="en-GB"/>
        </w:rPr>
        <w:t>-responsive factors are marked in red frame.</w:t>
      </w:r>
      <w:r w:rsidRPr="00EF5E5B">
        <w:rPr>
          <w:rFonts w:ascii="Arial" w:hAnsi="Arial" w:cs="Arial"/>
        </w:rPr>
        <w:t xml:space="preserve"> Abbreviation: </w:t>
      </w:r>
      <w:proofErr w:type="spellStart"/>
      <w:r w:rsidRPr="00EF5E5B">
        <w:rPr>
          <w:rFonts w:ascii="Arial" w:hAnsi="Arial" w:cs="Arial"/>
        </w:rPr>
        <w:t>Fushi</w:t>
      </w:r>
      <w:proofErr w:type="spellEnd"/>
      <w:r w:rsidRPr="00EF5E5B">
        <w:rPr>
          <w:rFonts w:ascii="Arial" w:hAnsi="Arial" w:cs="Arial"/>
        </w:rPr>
        <w:t xml:space="preserve"> </w:t>
      </w:r>
      <w:proofErr w:type="spellStart"/>
      <w:r w:rsidRPr="00EF5E5B">
        <w:rPr>
          <w:rFonts w:ascii="Arial" w:hAnsi="Arial" w:cs="Arial"/>
        </w:rPr>
        <w:t>tarazu</w:t>
      </w:r>
      <w:proofErr w:type="spellEnd"/>
      <w:r w:rsidRPr="00EF5E5B">
        <w:rPr>
          <w:rFonts w:ascii="Arial" w:hAnsi="Arial" w:cs="Arial"/>
        </w:rPr>
        <w:t xml:space="preserve"> factor 1 (</w:t>
      </w:r>
      <w:r w:rsidRPr="00EF5E5B">
        <w:rPr>
          <w:rFonts w:ascii="Arial" w:hAnsi="Arial" w:cs="Arial"/>
          <w:i/>
        </w:rPr>
        <w:t>Ftz-f1</w:t>
      </w:r>
      <w:r w:rsidRPr="00EF5E5B">
        <w:rPr>
          <w:rFonts w:ascii="Arial" w:hAnsi="Arial" w:cs="Arial"/>
        </w:rPr>
        <w:t xml:space="preserve">), </w:t>
      </w:r>
      <w:proofErr w:type="spellStart"/>
      <w:r w:rsidRPr="00EF5E5B">
        <w:rPr>
          <w:rFonts w:ascii="Arial" w:hAnsi="Arial" w:cs="Arial"/>
        </w:rPr>
        <w:t>Antennapedia</w:t>
      </w:r>
      <w:proofErr w:type="spellEnd"/>
      <w:r w:rsidRPr="00EF5E5B">
        <w:rPr>
          <w:rFonts w:ascii="Arial" w:hAnsi="Arial" w:cs="Arial"/>
        </w:rPr>
        <w:t xml:space="preserve"> (</w:t>
      </w:r>
      <w:proofErr w:type="spellStart"/>
      <w:r w:rsidRPr="00EF5E5B">
        <w:rPr>
          <w:rFonts w:ascii="Arial" w:hAnsi="Arial" w:cs="Arial"/>
          <w:i/>
        </w:rPr>
        <w:t>Antp</w:t>
      </w:r>
      <w:proofErr w:type="spellEnd"/>
      <w:r w:rsidRPr="00EF5E5B">
        <w:rPr>
          <w:rFonts w:ascii="Arial" w:hAnsi="Arial" w:cs="Arial"/>
        </w:rPr>
        <w:t>), Retinoid X receptor (</w:t>
      </w:r>
      <w:r w:rsidRPr="00EF5E5B">
        <w:rPr>
          <w:rFonts w:ascii="Arial" w:hAnsi="Arial" w:cs="Arial"/>
          <w:i/>
        </w:rPr>
        <w:t>RXR</w:t>
      </w:r>
      <w:r w:rsidRPr="00EF5E5B">
        <w:rPr>
          <w:rFonts w:ascii="Arial" w:hAnsi="Arial" w:cs="Arial"/>
        </w:rPr>
        <w:t>), estrogen receptor (</w:t>
      </w:r>
      <w:r w:rsidRPr="00EF5E5B">
        <w:rPr>
          <w:rFonts w:ascii="Arial" w:hAnsi="Arial" w:cs="Arial"/>
          <w:i/>
        </w:rPr>
        <w:t>ER</w:t>
      </w:r>
      <w:r w:rsidRPr="00EF5E5B">
        <w:rPr>
          <w:rFonts w:ascii="Arial" w:hAnsi="Arial" w:cs="Arial"/>
        </w:rPr>
        <w:t>), and progesterone receptor (</w:t>
      </w:r>
      <w:r w:rsidRPr="00EF5E5B">
        <w:rPr>
          <w:rFonts w:ascii="Arial" w:hAnsi="Arial" w:cs="Arial"/>
          <w:i/>
        </w:rPr>
        <w:t>PR</w:t>
      </w:r>
      <w:r w:rsidRPr="00EF5E5B">
        <w:rPr>
          <w:rFonts w:ascii="Arial" w:hAnsi="Arial" w:cs="Arial"/>
        </w:rPr>
        <w:t>).</w:t>
      </w:r>
    </w:p>
    <w:p w:rsidR="005D6586" w:rsidRPr="00EF5E5B" w:rsidRDefault="005D6586" w:rsidP="005D6586">
      <w:pPr>
        <w:spacing w:line="480" w:lineRule="auto"/>
        <w:ind w:left="425" w:hanging="425"/>
        <w:rPr>
          <w:rFonts w:ascii="Arial" w:hAnsi="Arial" w:cs="Arial"/>
          <w:b/>
        </w:rPr>
      </w:pPr>
      <w:r w:rsidRPr="00EF5E5B">
        <w:rPr>
          <w:rFonts w:ascii="Arial" w:hAnsi="Arial" w:cs="Arial"/>
          <w:b/>
        </w:rPr>
        <w:lastRenderedPageBreak/>
        <w:t xml:space="preserve">Additional tables </w:t>
      </w:r>
    </w:p>
    <w:p w:rsidR="005D6586" w:rsidRPr="00EF5E5B" w:rsidRDefault="005D6586" w:rsidP="005D6586">
      <w:pPr>
        <w:spacing w:line="480" w:lineRule="auto"/>
        <w:rPr>
          <w:rFonts w:ascii="Arial" w:hAnsi="Arial" w:cs="Arial"/>
        </w:rPr>
      </w:pPr>
      <w:r w:rsidRPr="00EF5E5B">
        <w:rPr>
          <w:rFonts w:ascii="Arial" w:hAnsi="Arial" w:cs="Arial"/>
        </w:rPr>
        <w:t>Additional table 1. The information of the sequences used in phylogenetic analysis.</w:t>
      </w:r>
    </w:p>
    <w:p w:rsidR="005D6586" w:rsidRPr="00EF5E5B" w:rsidRDefault="005D6586" w:rsidP="005D6586">
      <w:pPr>
        <w:widowControl w:val="0"/>
        <w:snapToGrid w:val="0"/>
        <w:spacing w:line="480" w:lineRule="auto"/>
        <w:rPr>
          <w:rFonts w:ascii="Arial" w:eastAsia="Microsoft YaHei" w:hAnsi="Arial" w:cs="Arial"/>
          <w:lang w:bidi="ar"/>
        </w:rPr>
      </w:pPr>
      <w:r w:rsidRPr="00EF5E5B">
        <w:rPr>
          <w:rFonts w:ascii="Arial" w:eastAsia="Microsoft YaHei" w:hAnsi="Arial" w:cs="Arial"/>
          <w:lang w:bidi="ar"/>
        </w:rPr>
        <w:t>Additional table 2. Primers used for RT-qPCR in this study, the size of amplicons and amplification efficiency</w:t>
      </w:r>
    </w:p>
    <w:p w:rsidR="005D6586" w:rsidRPr="00EF5E5B" w:rsidRDefault="005D6586" w:rsidP="005D6586">
      <w:pPr>
        <w:spacing w:line="480" w:lineRule="auto"/>
        <w:rPr>
          <w:rFonts w:ascii="Arial" w:hAnsi="Arial" w:cs="Arial"/>
        </w:rPr>
      </w:pPr>
      <w:r w:rsidRPr="00EF5E5B">
        <w:rPr>
          <w:rFonts w:ascii="Arial" w:hAnsi="Arial" w:cs="Arial"/>
        </w:rPr>
        <w:t xml:space="preserve">Additional table 3. Abundance of genes in transcript per million (TPM) involved in </w:t>
      </w:r>
      <w:proofErr w:type="spellStart"/>
      <w:r w:rsidRPr="00EF5E5B">
        <w:rPr>
          <w:rFonts w:ascii="Arial" w:hAnsi="Arial" w:cs="Arial"/>
        </w:rPr>
        <w:t>Wnt</w:t>
      </w:r>
      <w:proofErr w:type="spellEnd"/>
      <w:r w:rsidRPr="00EF5E5B">
        <w:rPr>
          <w:rFonts w:ascii="Arial" w:hAnsi="Arial" w:cs="Arial"/>
        </w:rPr>
        <w:t xml:space="preserve"> signaling pathway and cell cycle in the transcriptomes of </w:t>
      </w:r>
      <w:r w:rsidRPr="00EF5E5B">
        <w:rPr>
          <w:rFonts w:ascii="Arial" w:hAnsi="Arial" w:cs="Arial"/>
          <w:i/>
        </w:rPr>
        <w:t>C. sapidus</w:t>
      </w:r>
      <w:r w:rsidRPr="00EF5E5B">
        <w:rPr>
          <w:rFonts w:ascii="Arial" w:hAnsi="Arial" w:cs="Arial"/>
        </w:rPr>
        <w:t xml:space="preserve"> ovigerous setae. Transcriptomes: prepuberty females at early premolt (OE) and late premolt (OL); and spawned adult females (AO). |log2 (fold change)| &lt; 1 is noted by ‘-’ symbols.</w:t>
      </w:r>
    </w:p>
    <w:p w:rsidR="005D6586" w:rsidRPr="00EF5E5B" w:rsidRDefault="005D6586" w:rsidP="005D6586">
      <w:pPr>
        <w:spacing w:line="240" w:lineRule="auto"/>
        <w:ind w:left="720" w:hanging="720"/>
        <w:rPr>
          <w:rFonts w:ascii="Arial" w:hAnsi="Arial" w:cs="Arial"/>
        </w:rPr>
      </w:pPr>
    </w:p>
    <w:bookmarkEnd w:id="0"/>
    <w:p w:rsidR="005D6586" w:rsidRPr="00EF5E5B" w:rsidRDefault="005D6586">
      <w:pPr>
        <w:rPr>
          <w:rFonts w:ascii="Arial" w:hAnsi="Arial" w:cs="Arial"/>
        </w:rPr>
      </w:pPr>
    </w:p>
    <w:sectPr w:rsidR="005D6586" w:rsidRPr="00EF5E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586"/>
    <w:rsid w:val="005D6586"/>
    <w:rsid w:val="007241BD"/>
    <w:rsid w:val="00CE7E7F"/>
    <w:rsid w:val="00EF5E5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4F4A9"/>
  <w15:chartTrackingRefBased/>
  <w15:docId w15:val="{DC0AB917-0B83-4115-B36C-BBCAC1124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658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kegg.jp/kegg/kegg1.html" TargetMode="External"/><Relationship Id="rId4" Type="http://schemas.openxmlformats.org/officeDocument/2006/relationships/hyperlink" Target="http://www.kegg.jp/kegg/kegg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694</Words>
  <Characters>3959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Sook Chung</dc:creator>
  <cp:keywords/>
  <dc:description/>
  <cp:lastModifiedBy>Sook Chung</cp:lastModifiedBy>
  <cp:revision>2</cp:revision>
  <dcterms:created xsi:type="dcterms:W3CDTF">2023-11-08T15:16:00Z</dcterms:created>
  <dcterms:modified xsi:type="dcterms:W3CDTF">2023-11-08T15:17:00Z</dcterms:modified>
</cp:coreProperties>
</file>