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D5D2F" w14:textId="5B47B860" w:rsidR="00001809" w:rsidRDefault="00001809" w:rsidP="00CE6BD9">
      <w:pPr>
        <w:widowControl/>
        <w:jc w:val="center"/>
        <w:rPr>
          <w:rFonts w:ascii="Arial" w:eastAsia="等线" w:hAnsi="Arial" w:cs="Arial"/>
          <w:noProof/>
          <w:szCs w:val="21"/>
        </w:rPr>
      </w:pPr>
      <w:r>
        <w:rPr>
          <w:noProof/>
        </w:rPr>
        <w:drawing>
          <wp:inline distT="0" distB="0" distL="0" distR="0" wp14:anchorId="130B8B21" wp14:editId="16D83507">
            <wp:extent cx="5274310" cy="3549650"/>
            <wp:effectExtent l="0" t="0" r="2540" b="0"/>
            <wp:docPr id="17446924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6C7B" w14:textId="16CFA851" w:rsidR="00001809" w:rsidRDefault="00001809" w:rsidP="00001809">
      <w:pPr>
        <w:widowControl/>
        <w:rPr>
          <w:rFonts w:ascii="Arial" w:hAnsi="Arial" w:cs="Arial"/>
        </w:rPr>
      </w:pPr>
      <w:r w:rsidRPr="00001809">
        <w:rPr>
          <w:rFonts w:ascii="Arial" w:hAnsi="Arial" w:cs="Arial"/>
          <w:b/>
          <w:bCs/>
        </w:rPr>
        <w:t xml:space="preserve">Fig. S1. </w:t>
      </w:r>
      <w:r w:rsidRPr="00B079F9">
        <w:rPr>
          <w:rFonts w:ascii="Arial" w:hAnsi="Arial" w:cs="Arial"/>
        </w:rPr>
        <w:t>Transcript functional annotations</w:t>
      </w:r>
      <w:r w:rsidRPr="00231632">
        <w:rPr>
          <w:rFonts w:ascii="Arial" w:hAnsi="Arial" w:cs="Arial"/>
        </w:rPr>
        <w:t xml:space="preserve"> </w:t>
      </w:r>
      <w:r w:rsidRPr="00B079F9">
        <w:rPr>
          <w:rFonts w:ascii="Arial" w:hAnsi="Arial" w:cs="Arial"/>
        </w:rPr>
        <w:t>of</w:t>
      </w:r>
      <w:r w:rsidRPr="00B079F9">
        <w:rPr>
          <w:rFonts w:ascii="Arial" w:hAnsi="Arial" w:cs="Arial"/>
          <w:i/>
          <w:iCs/>
        </w:rPr>
        <w:t xml:space="preserve"> R</w:t>
      </w:r>
      <w:r>
        <w:rPr>
          <w:rFonts w:ascii="Arial" w:hAnsi="Arial" w:cs="Arial"/>
          <w:i/>
          <w:iCs/>
        </w:rPr>
        <w:t>h</w:t>
      </w:r>
      <w:r w:rsidRPr="00B079F9">
        <w:rPr>
          <w:rFonts w:ascii="Arial" w:hAnsi="Arial" w:cs="Arial"/>
          <w:i/>
          <w:iCs/>
        </w:rPr>
        <w:t>yzopertha dominica</w:t>
      </w:r>
      <w:r w:rsidRPr="00B079F9">
        <w:rPr>
          <w:rFonts w:ascii="Arial" w:hAnsi="Arial" w:cs="Arial"/>
        </w:rPr>
        <w:t>. (A) The annotation numbers of full-length transcripts of different lengths analyzed by six public databases including Swiss-Prot (</w:t>
      </w:r>
      <w:r w:rsidRPr="00B079F9">
        <w:rPr>
          <w:rFonts w:ascii="Arial" w:hAnsi="Arial" w:cs="Arial"/>
          <w:spacing w:val="3"/>
          <w:szCs w:val="21"/>
        </w:rPr>
        <w:t>A manually annotated and reviewed protein sequence database</w:t>
      </w:r>
      <w:r w:rsidRPr="00B079F9">
        <w:rPr>
          <w:rFonts w:ascii="Arial" w:hAnsi="Arial" w:cs="Arial"/>
        </w:rPr>
        <w:t>), NT (NCBI nucleotide sequences), NR (non-redundant proteins), KOG (</w:t>
      </w:r>
      <w:bookmarkStart w:id="0" w:name="_Hlk72221761"/>
      <w:r w:rsidRPr="00B079F9">
        <w:rPr>
          <w:rFonts w:ascii="Arial" w:hAnsi="Arial" w:cs="Arial"/>
        </w:rPr>
        <w:t>Clusters of orthologous groups for Eukaryote</w:t>
      </w:r>
      <w:bookmarkEnd w:id="0"/>
      <w:r w:rsidRPr="00B079F9">
        <w:rPr>
          <w:rFonts w:ascii="Arial" w:hAnsi="Arial" w:cs="Arial"/>
        </w:rPr>
        <w:t>), KEGG (Kyoto Encyclopedia of Genes and Genomes), and GO (Gene Ontology). (B) Venn diagram of all isoforms from the reference transcriptome hits of KOG, NR, KEGG and Swiss-Prot. (C) KEGG classification of all identified isoforms from the reference transcriptome. A, B, C, D, and E indicated cellular processes, environmental information processing, genetic information processing, metabolism, and organismal systems. (</w:t>
      </w:r>
      <w:r>
        <w:rPr>
          <w:rFonts w:ascii="Arial" w:hAnsi="Arial" w:cs="Arial"/>
        </w:rPr>
        <w:t>D</w:t>
      </w:r>
      <w:r w:rsidRPr="00B079F9">
        <w:rPr>
          <w:rFonts w:ascii="Arial" w:hAnsi="Arial" w:cs="Arial"/>
        </w:rPr>
        <w:t>) KOG classification using the reference transcriptome.</w:t>
      </w:r>
    </w:p>
    <w:p w14:paraId="0CC9B315" w14:textId="56E72412" w:rsidR="00001809" w:rsidRDefault="00001809" w:rsidP="00001809">
      <w:pPr>
        <w:widowControl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A323B12" wp14:editId="5C482603">
            <wp:extent cx="3657600" cy="3117215"/>
            <wp:effectExtent l="0" t="0" r="0" b="0"/>
            <wp:docPr id="1270353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D655" w14:textId="60F02D09" w:rsidR="00001809" w:rsidRPr="00B079F9" w:rsidRDefault="00001809" w:rsidP="00001809">
      <w:pPr>
        <w:spacing w:beforeLines="100" w:before="312"/>
        <w:rPr>
          <w:rFonts w:ascii="Arial" w:hAnsi="Arial" w:cs="Arial"/>
        </w:rPr>
      </w:pPr>
      <w:r w:rsidRPr="00B079F9">
        <w:rPr>
          <w:rFonts w:ascii="Arial" w:hAnsi="Arial" w:cs="Arial"/>
          <w:b/>
          <w:bCs/>
        </w:rPr>
        <w:t xml:space="preserve">Fig. </w:t>
      </w:r>
      <w:r>
        <w:rPr>
          <w:rFonts w:ascii="Arial" w:hAnsi="Arial" w:cs="Arial"/>
          <w:b/>
          <w:bCs/>
        </w:rPr>
        <w:t>S2</w:t>
      </w:r>
      <w:r w:rsidRPr="00B079F9">
        <w:rPr>
          <w:rFonts w:ascii="Arial" w:hAnsi="Arial" w:cs="Arial"/>
          <w:b/>
          <w:bCs/>
        </w:rPr>
        <w:t xml:space="preserve">. </w:t>
      </w:r>
      <w:r w:rsidRPr="00B079F9">
        <w:rPr>
          <w:rFonts w:ascii="Arial" w:hAnsi="Arial" w:cs="Arial"/>
        </w:rPr>
        <w:t>Venn diagram of</w:t>
      </w:r>
      <w:r w:rsidRPr="00B079F9">
        <w:rPr>
          <w:rFonts w:ascii="Arial" w:hAnsi="Arial" w:cs="Arial"/>
        </w:rPr>
        <w:t xml:space="preserve"> </w:t>
      </w:r>
      <w:r w:rsidRPr="00B079F9">
        <w:rPr>
          <w:rFonts w:ascii="Arial" w:hAnsi="Arial" w:cs="Arial"/>
        </w:rPr>
        <w:t>Differentially expressed genes (DEGs) of</w:t>
      </w:r>
      <w:r w:rsidRPr="00B079F9">
        <w:rPr>
          <w:rFonts w:ascii="Arial" w:hAnsi="Arial" w:cs="Arial"/>
          <w:i/>
          <w:iCs/>
        </w:rPr>
        <w:t xml:space="preserve"> R</w:t>
      </w:r>
      <w:r>
        <w:rPr>
          <w:rFonts w:ascii="Arial" w:hAnsi="Arial" w:cs="Arial"/>
          <w:i/>
          <w:iCs/>
        </w:rPr>
        <w:t>h</w:t>
      </w:r>
      <w:r w:rsidRPr="00B079F9">
        <w:rPr>
          <w:rFonts w:ascii="Arial" w:hAnsi="Arial" w:cs="Arial"/>
          <w:i/>
          <w:iCs/>
        </w:rPr>
        <w:t xml:space="preserve">yzopertha dominica </w:t>
      </w:r>
      <w:r w:rsidRPr="00B079F9">
        <w:rPr>
          <w:rFonts w:ascii="Arial" w:hAnsi="Arial" w:cs="Arial"/>
        </w:rPr>
        <w:t xml:space="preserve">exposed to different temperatures. </w:t>
      </w:r>
    </w:p>
    <w:p w14:paraId="493FCC7B" w14:textId="77777777" w:rsidR="00001809" w:rsidRPr="00001809" w:rsidRDefault="00001809" w:rsidP="00001809">
      <w:pPr>
        <w:widowControl/>
        <w:rPr>
          <w:rFonts w:ascii="Arial" w:eastAsia="等线" w:hAnsi="Arial" w:cs="Arial" w:hint="eastAsia"/>
          <w:noProof/>
          <w:szCs w:val="21"/>
        </w:rPr>
      </w:pPr>
    </w:p>
    <w:p w14:paraId="7F7E6F31" w14:textId="77777777" w:rsidR="00001809" w:rsidRDefault="00001809" w:rsidP="00CE6BD9">
      <w:pPr>
        <w:widowControl/>
        <w:jc w:val="center"/>
        <w:rPr>
          <w:rFonts w:ascii="Arial" w:eastAsia="等线" w:hAnsi="Arial" w:cs="Arial" w:hint="eastAsia"/>
          <w:noProof/>
          <w:szCs w:val="21"/>
        </w:rPr>
      </w:pPr>
    </w:p>
    <w:p w14:paraId="7832436A" w14:textId="1EC1699D" w:rsidR="00CE6BD9" w:rsidRDefault="00CE6BD9" w:rsidP="00CE6BD9">
      <w:pPr>
        <w:widowControl/>
        <w:jc w:val="center"/>
        <w:rPr>
          <w:rFonts w:ascii="Arial" w:eastAsia="等线" w:hAnsi="Arial" w:cs="Arial"/>
          <w:noProof/>
          <w:szCs w:val="21"/>
        </w:rPr>
      </w:pPr>
      <w:r>
        <w:rPr>
          <w:noProof/>
        </w:rPr>
        <w:drawing>
          <wp:inline distT="0" distB="0" distL="0" distR="0" wp14:anchorId="3273D714" wp14:editId="210EF887">
            <wp:extent cx="3356047" cy="2274665"/>
            <wp:effectExtent l="0" t="0" r="0" b="0"/>
            <wp:docPr id="135603241" name="图片 13560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27" t="9635"/>
                    <a:stretch/>
                  </pic:blipFill>
                  <pic:spPr bwMode="auto">
                    <a:xfrm>
                      <a:off x="0" y="0"/>
                      <a:ext cx="3358410" cy="227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12136" w14:textId="0FB110A5" w:rsidR="00CE6BD9" w:rsidRPr="00E457AD" w:rsidRDefault="00CE6BD9" w:rsidP="00CE6BD9">
      <w:pPr>
        <w:spacing w:beforeLines="100" w:before="312"/>
        <w:rPr>
          <w:rFonts w:ascii="Arial" w:hAnsi="Arial" w:cs="Arial"/>
        </w:rPr>
      </w:pPr>
      <w:r w:rsidRPr="007760D9">
        <w:rPr>
          <w:rFonts w:ascii="Arial" w:hAnsi="Arial" w:cs="Arial"/>
          <w:b/>
          <w:bCs/>
        </w:rPr>
        <w:t>Fig. S</w:t>
      </w:r>
      <w:r w:rsidR="00001809">
        <w:rPr>
          <w:rFonts w:ascii="Arial" w:hAnsi="Arial" w:cs="Arial"/>
          <w:b/>
          <w:bCs/>
        </w:rPr>
        <w:t>3</w:t>
      </w:r>
      <w:r w:rsidRPr="007760D9">
        <w:rPr>
          <w:rFonts w:ascii="Arial" w:hAnsi="Arial" w:cs="Arial"/>
          <w:b/>
          <w:bCs/>
        </w:rPr>
        <w:t>.</w:t>
      </w:r>
      <w:r w:rsidRPr="00B079F9">
        <w:rPr>
          <w:rFonts w:ascii="Arial" w:hAnsi="Arial" w:cs="Arial"/>
        </w:rPr>
        <w:t xml:space="preserve"> Validation of RNA-seq data by RT-qPCR assays.</w:t>
      </w:r>
      <w:r>
        <w:rPr>
          <w:rFonts w:ascii="Arial" w:hAnsi="Arial" w:cs="Arial"/>
        </w:rPr>
        <w:t xml:space="preserve"> </w:t>
      </w:r>
      <w:r w:rsidRPr="00B079F9">
        <w:rPr>
          <w:rFonts w:ascii="Arial" w:hAnsi="Arial" w:cs="Arial"/>
        </w:rPr>
        <w:t>log</w:t>
      </w:r>
      <w:r w:rsidRPr="00B079F9">
        <w:rPr>
          <w:rFonts w:ascii="Arial" w:hAnsi="Arial" w:cs="Arial"/>
          <w:vertAlign w:val="subscript"/>
        </w:rPr>
        <w:t>2</w:t>
      </w:r>
      <w:r w:rsidRPr="00B079F9">
        <w:rPr>
          <w:rFonts w:ascii="Arial" w:hAnsi="Arial" w:cs="Arial"/>
        </w:rPr>
        <w:t>(FC) of gene expression detected by RNA-seq were plotted against the data of RT-qPCR. The reference line indicates the linear relationship between the results of RNA-seq and RT-qPCR. R</w:t>
      </w:r>
      <w:r w:rsidRPr="00B079F9">
        <w:rPr>
          <w:rFonts w:ascii="Arial" w:hAnsi="Arial" w:cs="Arial"/>
          <w:vertAlign w:val="superscript"/>
        </w:rPr>
        <w:t>2</w:t>
      </w:r>
      <w:r w:rsidRPr="00B079F9">
        <w:rPr>
          <w:rFonts w:ascii="Arial" w:hAnsi="Arial" w:cs="Arial"/>
        </w:rPr>
        <w:t xml:space="preserve"> is coefficient of determination. </w:t>
      </w:r>
    </w:p>
    <w:p w14:paraId="239A995A" w14:textId="77777777" w:rsidR="00CE6BD9" w:rsidRDefault="00CE6BD9"/>
    <w:sectPr w:rsidR="00CE6BD9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D9"/>
    <w:rsid w:val="00001809"/>
    <w:rsid w:val="00C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9A54"/>
  <w15:chartTrackingRefBased/>
  <w15:docId w15:val="{A0571826-E774-4C8D-B9E9-FA070160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BD9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Dingrong Xue</dc:creator>
  <cp:keywords/>
  <dc:description/>
  <cp:lastModifiedBy>Dingrong Xue</cp:lastModifiedBy>
  <cp:revision>2</cp:revision>
  <dcterms:created xsi:type="dcterms:W3CDTF">2023-10-06T03:58:00Z</dcterms:created>
  <dcterms:modified xsi:type="dcterms:W3CDTF">2023-12-17T02:51:00Z</dcterms:modified>
</cp:coreProperties>
</file>