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24292F"/>
          <w:spacing w:val="0"/>
          <w:sz w:val="24"/>
          <w:szCs w:val="24"/>
          <w:shd w:val="clear" w:fill="FFFFFF"/>
        </w:rPr>
        <w:t>A Novel Diabetic Foot Ulcer Diagnostic Model: Identification and Analysis of Genes Related to Glutamine Metabolism and Immune Infiltration</w:t>
      </w: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appendix to the manuscript</w:t>
      </w:r>
    </w:p>
    <w:p>
      <w:pPr>
        <w:pStyle w:val="2"/>
        <w:jc w:val="center"/>
        <w:outlineLvl w:val="0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  <w:bookmarkStart w:id="0" w:name="_Toc21877"/>
      <w:r>
        <w:rPr>
          <w:rFonts w:hint="default" w:ascii="Times New Roman" w:hAnsi="Times New Roman" w:cs="Times New Roman"/>
          <w:sz w:val="24"/>
          <w:szCs w:val="24"/>
        </w:rPr>
        <w:t xml:space="preserve">Appendix </w:t>
      </w:r>
      <w:bookmarkEnd w:id="0"/>
      <w:r>
        <w:rPr>
          <w:rFonts w:hint="eastAsia" w:cs="Times New Roman"/>
          <w:sz w:val="24"/>
          <w:szCs w:val="24"/>
          <w:lang w:val="en-US" w:eastAsia="zh-CN"/>
        </w:rPr>
        <w:t>1</w:t>
      </w:r>
    </w:p>
    <w:p>
      <w:pPr>
        <w:jc w:val="center"/>
        <w:outlineLvl w:val="1"/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</w:pPr>
      <w:bookmarkStart w:id="1" w:name="_Toc19672"/>
      <w:r>
        <w:rPr>
          <w:rFonts w:hint="eastAsia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  <w:t>I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1"/>
          <w:vertAlign w:val="baseline"/>
          <w:lang w:val="en-US" w:eastAsia="zh-CN" w:bidi="ar-SA"/>
        </w:rPr>
        <w:t>nterGenes</w:t>
      </w:r>
      <w:bookmarkEnd w:id="1"/>
    </w:p>
    <w:tbl>
      <w:tblPr>
        <w:tblW w:w="288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1297"/>
        <w:gridCol w:w="1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GIMAP5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HLA-A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R3HCC1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ALDH1A1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DAZAP2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ALDH1B1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PARP14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LGALS3BP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ZNF56</w:t>
            </w:r>
            <w:bookmarkStart w:id="3" w:name="_GoBack"/>
            <w:bookmarkEnd w:id="3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F13A1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CYP1B1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IFI35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ISG15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IFIT2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MFN1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GRINA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IRF2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MX2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CEBPD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SIGLEC1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SLC39A1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TCEAL3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PROS1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GLUL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UNC93B1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LGALS9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C1QC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ABCA6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PDK4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HLA-B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RARRES3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PLSCR1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ACTG2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DPP4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BST2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PTGDS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SCARA3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PHC2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PLTP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SLC39A8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PRR13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RNASE1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SLC15A3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PLIN2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LY6E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TCN2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HSPB6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IFITM2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ENPP2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LAP3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TIMP1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CD209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PIK3R1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APOD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DRAM1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KRTCAP2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C1R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CD163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CHCHD10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FTH1</w:t>
            </w:r>
          </w:p>
        </w:tc>
      </w:tr>
    </w:tbl>
    <w:p>
      <w:pPr>
        <w:pStyle w:val="2"/>
        <w:jc w:val="center"/>
        <w:outlineLvl w:val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bookmarkStart w:id="2" w:name="_Toc6070"/>
      <w:r>
        <w:rPr>
          <w:rFonts w:hint="default" w:ascii="Times New Roman" w:hAnsi="Times New Roman" w:cs="Times New Roman"/>
          <w:sz w:val="24"/>
          <w:szCs w:val="24"/>
        </w:rPr>
        <w:t xml:space="preserve">Appendix </w:t>
      </w:r>
      <w:bookmarkEnd w:id="2"/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2</w:t>
      </w:r>
    </w:p>
    <w:p>
      <w:pPr>
        <w:spacing w:before="0" w:beforeLines="0" w:beforeAutospacing="0" w:after="0" w:afterLines="0" w:afterAutospacing="0" w:line="240" w:lineRule="auto"/>
        <w:jc w:val="center"/>
        <w:outlineLvl w:val="9"/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/>
          <w:kern w:val="0"/>
          <w:sz w:val="24"/>
          <w:szCs w:val="24"/>
          <w:lang w:val="en-US" w:eastAsia="zh-CN"/>
        </w:rPr>
        <w:t>Drug prediction</w:t>
      </w:r>
    </w:p>
    <w:p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tbl>
      <w:tblPr>
        <w:tblStyle w:val="3"/>
        <w:tblW w:w="842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9"/>
        <w:gridCol w:w="1608"/>
        <w:gridCol w:w="1236"/>
        <w:gridCol w:w="35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match_term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match_type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drug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DRAM1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Definite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DRAM1</w:t>
            </w:r>
          </w:p>
        </w:tc>
        <w:tc>
          <w:tcPr>
            <w:tcW w:w="3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CISPLATIN</w:t>
            </w:r>
          </w:p>
        </w:tc>
      </w:tr>
    </w:tbl>
    <w:p>
      <w:pPr>
        <w:rPr>
          <w:rFonts w:hint="eastAsia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66DD29D2"/>
    <w:rsid w:val="14CA64C4"/>
    <w:rsid w:val="44F3240C"/>
    <w:rsid w:val="4C571BF0"/>
    <w:rsid w:val="526D37FE"/>
    <w:rsid w:val="65DA0D53"/>
    <w:rsid w:val="66DD29D2"/>
    <w:rsid w:val="7D5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2023-09-30T16:04:00Z</dcterms:created>
  <dc:creator>四重奏</dc:creator>
  <cp:lastModifiedBy>四重奏</cp:lastModifiedBy>
  <dcterms:modified xsi:type="dcterms:W3CDTF">2023-10-09T08:36:14Z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2ABF7F15DAB54541A5F1DF4CD5B5BC57_11</vt:lpwstr>
  </property>
</Properties>
</file>