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9C" w:rsidRDefault="00F55C2F">
      <w:pPr>
        <w:ind w:leftChars="-400" w:left="-84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:lang w:val="en-PH" w:eastAsia="en-PH"/>
        </w:rPr>
        <w:drawing>
          <wp:inline distT="0" distB="0" distL="114300" distR="114300">
            <wp:extent cx="6279515" cy="3649345"/>
            <wp:effectExtent l="0" t="0" r="6985" b="825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9515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E9C" w:rsidRDefault="00F55C2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S1</w:t>
      </w:r>
      <w:r>
        <w:rPr>
          <w:rFonts w:ascii="Times New Roman" w:hAnsi="Times New Roman" w:cs="Times New Roman" w:hint="eastAsia"/>
          <w:szCs w:val="21"/>
        </w:rPr>
        <w:t>. Evaluation and validation of the utility of the D</w:t>
      </w:r>
      <w:r>
        <w:rPr>
          <w:rFonts w:ascii="Times New Roman" w:hAnsi="Times New Roman" w:cs="Times New Roman"/>
          <w:szCs w:val="21"/>
        </w:rPr>
        <w:t xml:space="preserve">DR-related </w:t>
      </w:r>
      <w:proofErr w:type="spellStart"/>
      <w:r>
        <w:rPr>
          <w:rFonts w:ascii="Times New Roman" w:hAnsi="Times New Roman" w:cs="Times New Roman"/>
          <w:szCs w:val="21"/>
        </w:rPr>
        <w:t>lncRNAs</w:t>
      </w:r>
      <w:proofErr w:type="spellEnd"/>
      <w:r>
        <w:rPr>
          <w:rFonts w:ascii="Times New Roman" w:hAnsi="Times New Roman" w:cs="Times New Roman"/>
          <w:szCs w:val="21"/>
        </w:rPr>
        <w:t xml:space="preserve"> signature</w:t>
      </w:r>
      <w:r>
        <w:rPr>
          <w:rFonts w:ascii="Times New Roman" w:hAnsi="Times New Roman" w:cs="Times New Roman" w:hint="eastAsia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The distribution of the risk scor</w:t>
      </w: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 and scatter plot of survival</w:t>
      </w:r>
      <w:r>
        <w:rPr>
          <w:rFonts w:ascii="Times New Roman" w:hAnsi="Times New Roman" w:cs="Times New Roman" w:hint="eastAsia"/>
          <w:szCs w:val="21"/>
        </w:rPr>
        <w:t xml:space="preserve"> </w:t>
      </w:r>
      <w:bookmarkStart w:id="0" w:name="OLE_LINK9"/>
      <w:r>
        <w:rPr>
          <w:rFonts w:ascii="Times New Roman" w:hAnsi="Times New Roman" w:cs="Times New Roman" w:hint="eastAsia"/>
          <w:szCs w:val="21"/>
        </w:rPr>
        <w:t xml:space="preserve">in the training (A) and testing group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>.</w:t>
      </w:r>
      <w:bookmarkEnd w:id="0"/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K-M curve of the high- and low- risk group</w:t>
      </w:r>
      <w:r>
        <w:rPr>
          <w:rFonts w:ascii="Times New Roman" w:hAnsi="Times New Roman" w:cs="Times New Roman" w:hint="eastAsia"/>
          <w:szCs w:val="21"/>
        </w:rPr>
        <w:t xml:space="preserve"> in the training (B) and testing group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>).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Time-dependent </w:t>
      </w:r>
      <w:r>
        <w:rPr>
          <w:rFonts w:ascii="Times New Roman" w:hAnsi="Times New Roman" w:cs="Times New Roman" w:hint="eastAsia"/>
          <w:szCs w:val="21"/>
        </w:rPr>
        <w:t>ROC</w:t>
      </w:r>
      <w:r>
        <w:rPr>
          <w:rFonts w:ascii="Times New Roman" w:hAnsi="Times New Roman" w:cs="Times New Roman"/>
          <w:szCs w:val="21"/>
        </w:rPr>
        <w:t xml:space="preserve"> curve for the prognostic prediction of </w:t>
      </w:r>
      <w:r>
        <w:rPr>
          <w:rFonts w:ascii="Times New Roman" w:hAnsi="Times New Roman" w:cs="Times New Roman" w:hint="eastAsia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risk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model at 1-, 3-, and 5-year survival time</w:t>
      </w:r>
      <w:r>
        <w:rPr>
          <w:rFonts w:ascii="Times New Roman" w:hAnsi="Times New Roman" w:cs="Times New Roman" w:hint="eastAsia"/>
          <w:szCs w:val="21"/>
        </w:rPr>
        <w:t xml:space="preserve"> in the training (C) and testing group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F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>.</w:t>
      </w:r>
    </w:p>
    <w:p w:rsidR="002E5E9C" w:rsidRDefault="002E5E9C">
      <w:pPr>
        <w:rPr>
          <w:rFonts w:ascii="Times New Roman" w:hAnsi="Times New Roman" w:cs="Times New Roman"/>
          <w:szCs w:val="21"/>
        </w:rPr>
      </w:pPr>
    </w:p>
    <w:p w:rsidR="002E5E9C" w:rsidRDefault="00F55C2F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  <w:lang w:val="en-PH" w:eastAsia="en-PH"/>
        </w:rPr>
        <w:drawing>
          <wp:inline distT="0" distB="0" distL="114300" distR="114300">
            <wp:extent cx="5039995" cy="3014980"/>
            <wp:effectExtent l="0" t="0" r="1905" b="762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E9C" w:rsidRDefault="00F55C2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 w:hint="eastAsia"/>
          <w:szCs w:val="21"/>
        </w:rPr>
        <w:t>2. K-M curve of the high- and low-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TMB</w:t>
      </w:r>
      <w:r>
        <w:rPr>
          <w:rFonts w:ascii="Times New Roman" w:hAnsi="Times New Roman" w:cs="Times New Roman"/>
          <w:sz w:val="20"/>
          <w:szCs w:val="20"/>
        </w:rPr>
        <w:t xml:space="preserve"> gr</w:t>
      </w:r>
      <w:r>
        <w:rPr>
          <w:rFonts w:ascii="Times New Roman" w:hAnsi="Times New Roman" w:cs="Times New Roman"/>
          <w:sz w:val="20"/>
          <w:szCs w:val="20"/>
        </w:rPr>
        <w:t>oup</w:t>
      </w:r>
      <w:r>
        <w:rPr>
          <w:rFonts w:ascii="Times New Roman" w:hAnsi="Times New Roman" w:cs="Times New Roman" w:hint="eastAsia"/>
          <w:sz w:val="20"/>
          <w:szCs w:val="20"/>
        </w:rPr>
        <w:t>s.</w:t>
      </w:r>
    </w:p>
    <w:p w:rsidR="002E5E9C" w:rsidRDefault="002E5E9C">
      <w:pPr>
        <w:rPr>
          <w:rFonts w:ascii="Times New Roman" w:hAnsi="Times New Roman" w:cs="Times New Roman"/>
          <w:szCs w:val="21"/>
        </w:rPr>
        <w:sectPr w:rsidR="002E5E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E5E9C" w:rsidRDefault="00F55C2F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:lang w:val="en-PH" w:eastAsia="en-PH"/>
        </w:rPr>
        <w:lastRenderedPageBreak/>
        <w:drawing>
          <wp:inline distT="0" distB="0" distL="114300" distR="114300">
            <wp:extent cx="6139815" cy="2659380"/>
            <wp:effectExtent l="0" t="0" r="6985" b="7620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9815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E9C" w:rsidRDefault="00F55C2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 w:hint="eastAsia"/>
          <w:szCs w:val="21"/>
        </w:rPr>
        <w:t>3. Comparison of t</w:t>
      </w:r>
      <w:r>
        <w:rPr>
          <w:rFonts w:ascii="Times New Roman" w:hAnsi="Times New Roman" w:cs="Times New Roman"/>
          <w:szCs w:val="21"/>
        </w:rPr>
        <w:t xml:space="preserve">he relative percentage of 22 immune cells estimated </w:t>
      </w:r>
      <w:r>
        <w:rPr>
          <w:rFonts w:ascii="Times New Roman" w:hAnsi="Times New Roman" w:cs="Times New Roman" w:hint="eastAsia"/>
          <w:szCs w:val="21"/>
        </w:rPr>
        <w:t>between the high- and low- risk groups.</w:t>
      </w:r>
    </w:p>
    <w:p w:rsidR="002E5E9C" w:rsidRDefault="002E5E9C">
      <w:pPr>
        <w:rPr>
          <w:rFonts w:ascii="Times New Roman" w:hAnsi="Times New Roman" w:cs="Times New Roman"/>
          <w:szCs w:val="21"/>
        </w:rPr>
      </w:pPr>
    </w:p>
    <w:p w:rsidR="002E5E9C" w:rsidRDefault="00F55C2F">
      <w:pPr>
        <w:rPr>
          <w:rFonts w:ascii="Times New Roman" w:hAnsi="Times New Roman" w:cs="Times New Roman"/>
          <w:szCs w:val="21"/>
        </w:rPr>
      </w:pPr>
      <w:r>
        <w:rPr>
          <w:noProof/>
          <w:lang w:val="en-PH" w:eastAsia="en-PH"/>
        </w:rPr>
        <w:drawing>
          <wp:inline distT="0" distB="0" distL="114300" distR="114300" wp14:anchorId="7DC32D44" wp14:editId="43AC8AE1">
            <wp:extent cx="5779135" cy="4948555"/>
            <wp:effectExtent l="0" t="0" r="12065" b="44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49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2F" w:rsidRDefault="00F55C2F" w:rsidP="00F55C2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 w:hint="eastAsia"/>
          <w:szCs w:val="21"/>
        </w:rPr>
        <w:t xml:space="preserve">4. </w:t>
      </w:r>
      <w:bookmarkStart w:id="1" w:name="OLE_LINK11"/>
      <w:r>
        <w:rPr>
          <w:rFonts w:ascii="Times New Roman" w:hAnsi="Times New Roman" w:cs="Times New Roman"/>
          <w:szCs w:val="21"/>
        </w:rPr>
        <w:t xml:space="preserve">Evaluation of candidate </w:t>
      </w:r>
      <w:proofErr w:type="spellStart"/>
      <w:r>
        <w:rPr>
          <w:rFonts w:ascii="Times New Roman" w:hAnsi="Times New Roman" w:cs="Times New Roman"/>
          <w:szCs w:val="21"/>
        </w:rPr>
        <w:t>lncRNAs</w:t>
      </w:r>
      <w:proofErr w:type="spellEnd"/>
      <w:r>
        <w:rPr>
          <w:rFonts w:ascii="Times New Roman" w:hAnsi="Times New Roman" w:cs="Times New Roman"/>
          <w:szCs w:val="21"/>
        </w:rPr>
        <w:t xml:space="preserve"> using </w:t>
      </w:r>
      <w:proofErr w:type="spellStart"/>
      <w:r>
        <w:rPr>
          <w:rFonts w:ascii="Times New Roman" w:hAnsi="Times New Roman" w:cs="Times New Roman"/>
          <w:szCs w:val="21"/>
        </w:rPr>
        <w:t>qRT</w:t>
      </w:r>
      <w:proofErr w:type="spellEnd"/>
      <w:r>
        <w:rPr>
          <w:rFonts w:ascii="Times New Roman" w:hAnsi="Times New Roman" w:cs="Times New Roman"/>
          <w:szCs w:val="21"/>
        </w:rPr>
        <w:t xml:space="preserve">-PCR. Expression analysis of </w:t>
      </w:r>
      <w:proofErr w:type="spellStart"/>
      <w:r>
        <w:rPr>
          <w:rFonts w:ascii="Times New Roman" w:hAnsi="Times New Roman" w:cs="Times New Roman"/>
          <w:szCs w:val="21"/>
        </w:rPr>
        <w:t>lncRNAs</w:t>
      </w:r>
      <w:proofErr w:type="spellEnd"/>
      <w:r>
        <w:rPr>
          <w:rFonts w:ascii="Times New Roman" w:hAnsi="Times New Roman" w:cs="Times New Roman"/>
          <w:szCs w:val="21"/>
        </w:rPr>
        <w:t xml:space="preserve"> in various cell lines (A)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were normalized to GAPDH. Comparison of candidate </w:t>
      </w:r>
      <w:proofErr w:type="spellStart"/>
      <w:r>
        <w:rPr>
          <w:rFonts w:ascii="Times New Roman" w:hAnsi="Times New Roman" w:cs="Times New Roman"/>
          <w:szCs w:val="21"/>
        </w:rPr>
        <w:t>lncRNAs</w:t>
      </w:r>
      <w:proofErr w:type="spellEnd"/>
      <w:r>
        <w:rPr>
          <w:rFonts w:ascii="Times New Roman" w:hAnsi="Times New Roman" w:cs="Times New Roman"/>
          <w:szCs w:val="21"/>
        </w:rPr>
        <w:t xml:space="preserve"> in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different </w:t>
      </w:r>
      <w:r>
        <w:rPr>
          <w:rFonts w:ascii="Times New Roman" w:hAnsi="Times New Roman" w:cs="Times New Roman" w:hint="eastAsia"/>
          <w:szCs w:val="21"/>
        </w:rPr>
        <w:t xml:space="preserve">groups (B), </w:t>
      </w:r>
      <w:r>
        <w:rPr>
          <w:rFonts w:ascii="Times New Roman" w:hAnsi="Times New Roman" w:cs="Times New Roman"/>
          <w:szCs w:val="21"/>
          <w:lang w:eastAsia="zh-Hans"/>
        </w:rPr>
        <w:t>BCLC stage</w:t>
      </w:r>
      <w:r>
        <w:rPr>
          <w:rFonts w:ascii="Times New Roman" w:hAnsi="Times New Roman" w:cs="Times New Roman" w:hint="eastAsia"/>
          <w:szCs w:val="21"/>
        </w:rPr>
        <w:t xml:space="preserve"> (C) and </w:t>
      </w:r>
      <w:r>
        <w:rPr>
          <w:rFonts w:ascii="Times New Roman" w:hAnsi="Times New Roman" w:cs="Times New Roman"/>
          <w:szCs w:val="21"/>
        </w:rPr>
        <w:t xml:space="preserve">ARID1α status </w:t>
      </w:r>
      <w:r>
        <w:rPr>
          <w:rFonts w:ascii="Times New Roman" w:hAnsi="Times New Roman" w:cs="Times New Roman" w:hint="eastAsia"/>
          <w:szCs w:val="21"/>
        </w:rPr>
        <w:t xml:space="preserve">(D). </w:t>
      </w:r>
      <w:r>
        <w:rPr>
          <w:rFonts w:ascii="Times New Roman" w:hAnsi="Times New Roman" w:cs="Times New Roman" w:hint="eastAsia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szCs w:val="21"/>
        </w:rPr>
        <w:t xml:space="preserve">: P&lt; 0.05, </w:t>
      </w:r>
      <w:r>
        <w:rPr>
          <w:rFonts w:ascii="Times New Roman" w:hAnsi="Times New Roman" w:cs="Times New Roman" w:hint="eastAsia"/>
          <w:szCs w:val="21"/>
          <w:vertAlign w:val="superscript"/>
        </w:rPr>
        <w:t>**</w:t>
      </w:r>
      <w:r>
        <w:rPr>
          <w:rFonts w:ascii="Times New Roman" w:hAnsi="Times New Roman" w:cs="Times New Roman" w:hint="eastAsia"/>
          <w:szCs w:val="21"/>
        </w:rPr>
        <w:t xml:space="preserve">: P&lt; 0.01, </w:t>
      </w:r>
      <w:r>
        <w:rPr>
          <w:rFonts w:ascii="Times New Roman" w:hAnsi="Times New Roman" w:cs="Times New Roman" w:hint="eastAsia"/>
          <w:szCs w:val="21"/>
          <w:vertAlign w:val="superscript"/>
        </w:rPr>
        <w:t>***</w:t>
      </w:r>
      <w:r>
        <w:rPr>
          <w:rFonts w:ascii="Times New Roman" w:hAnsi="Times New Roman" w:cs="Times New Roman" w:hint="eastAsia"/>
          <w:szCs w:val="21"/>
        </w:rPr>
        <w:t>: P&lt; 0.001, ns: not significant.</w:t>
      </w:r>
      <w:bookmarkEnd w:id="1"/>
    </w:p>
    <w:p w:rsidR="002E5E9C" w:rsidRDefault="002E5E9C">
      <w:bookmarkStart w:id="2" w:name="_GoBack"/>
      <w:bookmarkEnd w:id="2"/>
    </w:p>
    <w:sectPr w:rsidR="002E5E9C">
      <w:pgSz w:w="11906" w:h="16838"/>
      <w:pgMar w:top="1440" w:right="1800" w:bottom="1440" w:left="9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3NGIxNzJjZDY3NTk2NjE0NGVhMWRjODc1Njc4YTQifQ=="/>
  </w:docVars>
  <w:rsids>
    <w:rsidRoot w:val="311B4488"/>
    <w:rsid w:val="002E5E9C"/>
    <w:rsid w:val="00F55C2F"/>
    <w:rsid w:val="15AE1B98"/>
    <w:rsid w:val="1F6F52AD"/>
    <w:rsid w:val="2E5337E1"/>
    <w:rsid w:val="311B4488"/>
    <w:rsid w:val="41AE1A65"/>
    <w:rsid w:val="48A424D7"/>
    <w:rsid w:val="51735001"/>
    <w:rsid w:val="5C8F1DEC"/>
    <w:rsid w:val="7C5D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A528110-396B-4C05-810D-288ED579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Tinambacan, Rizza</cp:lastModifiedBy>
  <cp:revision>2</cp:revision>
  <dcterms:created xsi:type="dcterms:W3CDTF">2023-10-11T02:59:00Z</dcterms:created>
  <dcterms:modified xsi:type="dcterms:W3CDTF">2024-02-08T00:56:00Z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B18084AB6E4942E6B9C9B28E61C6EFD6_11</vt:lpwstr>
  </property>
</Properties>
</file>