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auto"/>
        <w:rPr>
          <w:rFonts w:hint="eastAsia" w:ascii="Times New Roman" w:hAnsi="Times New Roman" w:eastAsiaTheme="minorEastAsia"/>
          <w:b/>
          <w:bCs/>
          <w:sz w:val="24"/>
          <w:szCs w:val="24"/>
          <w:lang w:val="en-US" w:eastAsia="zh-CN"/>
        </w:rPr>
      </w:pPr>
      <w:r>
        <w:rPr>
          <w:rFonts w:hint="eastAsia" w:ascii="Times New Roman" w:hAnsi="Times New Roman" w:cs="Times New Roman"/>
          <w:b/>
          <w:bCs/>
          <w:sz w:val="30"/>
          <w:szCs w:val="30"/>
          <w:lang w:val="en-US" w:eastAsia="zh-CN"/>
        </w:rPr>
        <w:t>Supplementary figure</w:t>
      </w:r>
      <w:bookmarkStart w:id="0" w:name="_GoBack"/>
      <w:bookmarkEnd w:id="0"/>
      <w:r>
        <w:rPr>
          <w:rFonts w:ascii="Times New Roman" w:hAnsi="Times New Roman" w:cs="Times New Roman"/>
          <w:b/>
          <w:bCs/>
          <w:sz w:val="30"/>
          <w:szCs w:val="30"/>
        </w:rPr>
        <w:t xml:space="preserve"> legend</w:t>
      </w:r>
      <w:r>
        <w:rPr>
          <w:rFonts w:hint="eastAsia" w:ascii="Times New Roman" w:hAnsi="Times New Roman" w:cs="Times New Roman"/>
          <w:b/>
          <w:bCs/>
          <w:sz w:val="30"/>
          <w:szCs w:val="30"/>
          <w:lang w:val="en-US" w:eastAsia="zh-CN"/>
        </w:rPr>
        <w:t>s</w:t>
      </w:r>
    </w:p>
    <w:p>
      <w:pPr>
        <w:pStyle w:val="4"/>
        <w:autoSpaceDE w:val="0"/>
        <w:spacing w:line="480" w:lineRule="auto"/>
        <w:ind w:firstLine="0" w:firstLineChars="0"/>
        <w:rPr>
          <w:rFonts w:hint="eastAsia" w:ascii="Times New Roman" w:hAnsi="Times New Roman"/>
          <w:sz w:val="24"/>
          <w:szCs w:val="24"/>
        </w:rPr>
      </w:pPr>
      <w:r>
        <w:rPr>
          <w:rFonts w:ascii="Times New Roman" w:hAnsi="Times New Roman"/>
          <w:b/>
          <w:bCs/>
          <w:sz w:val="24"/>
          <w:szCs w:val="24"/>
        </w:rPr>
        <w:t>Fig. S1 Comparison of SNV results between NGS and LRS with Venn plots and correlation coefficient plots.  a.</w:t>
      </w:r>
      <w:r>
        <w:rPr>
          <w:rFonts w:ascii="Times New Roman" w:hAnsi="Times New Roman"/>
          <w:sz w:val="24"/>
          <w:szCs w:val="24"/>
        </w:rPr>
        <w:t xml:space="preserve"> Venn diagram of the number of shared or unique SNVs with the ratio &gt;1%, &gt;5%, &gt;10%, and &gt;20% of NGS and LRS detected. </w:t>
      </w:r>
      <w:r>
        <w:rPr>
          <w:rFonts w:ascii="Times New Roman" w:hAnsi="Times New Roman"/>
          <w:b/>
          <w:bCs/>
          <w:sz w:val="24"/>
          <w:szCs w:val="24"/>
        </w:rPr>
        <w:t xml:space="preserve">b. </w:t>
      </w:r>
      <w:r>
        <w:rPr>
          <w:rFonts w:ascii="Times New Roman" w:hAnsi="Times New Roman"/>
          <w:sz w:val="24"/>
          <w:szCs w:val="24"/>
        </w:rPr>
        <w:t>Pearson correlation coefficient plots for NGS and LRS.</w:t>
      </w:r>
    </w:p>
    <w:p>
      <w:pPr>
        <w:spacing w:line="480" w:lineRule="auto"/>
        <w:rPr>
          <w:rFonts w:hint="eastAsia" w:ascii="Times New Roman" w:hAnsi="Times New Roman" w:eastAsia="宋体" w:cs="Times New Roman"/>
          <w:sz w:val="24"/>
          <w:szCs w:val="24"/>
        </w:rPr>
      </w:pPr>
      <w:r>
        <w:rPr>
          <w:rFonts w:ascii="Times New Roman" w:hAnsi="Times New Roman" w:cs="Times New Roman"/>
          <w:b/>
          <w:bCs/>
          <w:sz w:val="24"/>
          <w:szCs w:val="24"/>
        </w:rPr>
        <w:t xml:space="preserve">Fig. S2 The standard curves of ND1 and ND4 as well as the computational formula for mtDNA deletion ratio. </w:t>
      </w:r>
      <w:r>
        <w:rPr>
          <w:rFonts w:ascii="Times New Roman" w:hAnsi="Times New Roman" w:eastAsia="宋体" w:cs="Times New Roman"/>
          <w:sz w:val="24"/>
          <w:szCs w:val="24"/>
        </w:rPr>
        <w:t>The resulting threshold cycle (CT) values for the standard curves of ND1 and ND4 ranged from 11.4 to 28.6 and 11.5 to 27.8, respectively. A linear relationship between the CT values and the logarithm of the concentration indicated a direct association with the initial copy numbers of ND1 and ND4. The mtDNA quantities in individual samples were determined based on these findings and found to be within the linear range, indicating the accurate measurement of ND1 and ND4 levels. The similar amplification efficiency of the ND1 and ND4 fragments enabled the use of CT values in determining their relative copy number. The mtDNA deletion ratio was calculated using the equation: R = 1 - (ND1/ND4), where R represents the ratio.</w:t>
      </w:r>
    </w:p>
    <w:p>
      <w:pPr>
        <w:spacing w:line="480" w:lineRule="auto"/>
        <w:rPr>
          <w:rFonts w:ascii="Times New Roman" w:hAnsi="Times New Roman" w:eastAsia="等线" w:cs="Times New Roman"/>
          <w:sz w:val="24"/>
          <w:szCs w:val="24"/>
        </w:rPr>
      </w:pPr>
      <w:r>
        <w:rPr>
          <w:rFonts w:ascii="Times New Roman" w:hAnsi="Times New Roman" w:cs="Times New Roman"/>
          <w:b/>
          <w:bCs/>
          <w:sz w:val="24"/>
          <w:szCs w:val="24"/>
        </w:rPr>
        <w:t xml:space="preserve">Fig. S3 Muscle biopsy of IIM patients with mitochondrial dysfunctions and normal control. </w:t>
      </w:r>
      <w:r>
        <w:rPr>
          <w:rFonts w:ascii="Times New Roman" w:hAnsi="Times New Roman" w:eastAsia="宋体" w:cs="Times New Roman"/>
          <w:b/>
          <w:bCs/>
          <w:sz w:val="24"/>
          <w:szCs w:val="24"/>
        </w:rPr>
        <w:t xml:space="preserve">a. and b. </w:t>
      </w:r>
      <w:r>
        <w:rPr>
          <w:rFonts w:ascii="Times New Roman" w:hAnsi="Times New Roman" w:cs="Times New Roman"/>
          <w:sz w:val="24"/>
          <w:szCs w:val="24"/>
        </w:rPr>
        <w:t xml:space="preserve">Muscle histology and histochemistry suggested mitochondrion dysfunctions in some IIM patients. </w:t>
      </w:r>
      <w:r>
        <w:rPr>
          <w:rFonts w:ascii="Times New Roman" w:hAnsi="Times New Roman" w:cs="Times New Roman"/>
          <w:b/>
          <w:bCs/>
          <w:sz w:val="24"/>
          <w:szCs w:val="24"/>
        </w:rPr>
        <w:t xml:space="preserve">c. </w:t>
      </w:r>
      <w:r>
        <w:rPr>
          <w:rFonts w:ascii="Times New Roman" w:hAnsi="Times New Roman" w:cs="Times New Roman"/>
          <w:sz w:val="24"/>
          <w:szCs w:val="24"/>
        </w:rPr>
        <w:t>Muscle biopsy of normal control.</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kwNDA2NjM4NDJkMzlmYWY1ZDMwNGQzMDBhN2I0NjQifQ=="/>
  </w:docVars>
  <w:rsids>
    <w:rsidRoot w:val="755929EF"/>
    <w:rsid w:val="27302210"/>
    <w:rsid w:val="755929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autoRedefine/>
    <w:semiHidden/>
    <w:qFormat/>
    <w:uiPriority w:val="0"/>
  </w:style>
  <w:style w:type="table" w:default="1" w:styleId="2">
    <w:name w:val="Normal Table"/>
    <w:autoRedefine/>
    <w:semiHidden/>
    <w:qFormat/>
    <w:uiPriority w:val="0"/>
    <w:tblPr>
      <w:tblCellMar>
        <w:top w:w="0" w:type="dxa"/>
        <w:left w:w="108" w:type="dxa"/>
        <w:bottom w:w="0" w:type="dxa"/>
        <w:right w:w="108" w:type="dxa"/>
      </w:tblCellMar>
    </w:tblPr>
  </w:style>
  <w:style w:type="paragraph" w:customStyle="1" w:styleId="4">
    <w:name w:val="列表段落1"/>
    <w:basedOn w:val="1"/>
    <w:autoRedefine/>
    <w:qFormat/>
    <w:uiPriority w:val="0"/>
    <w:pPr>
      <w:ind w:firstLine="420" w:firstLineChars="200"/>
    </w:pPr>
    <w:rPr>
      <w:rFonts w:ascii="等线" w:hAnsi="等线" w:eastAsia="等线" w:cs="Times New Roman"/>
      <w:szCs w:val="21"/>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2024-03-03T06:29:00Z</dcterms:created>
  <dc:creator>肩并肩</dc:creator>
  <cp:lastModifiedBy>肩并肩</cp:lastModifiedBy>
  <dcterms:modified xsi:type="dcterms:W3CDTF">2024-03-03T06:51:04Z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C9487609926840088C11A64D2DC097E7_11</vt:lpwstr>
  </property>
</Properties>
</file>