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6E2E6" w14:textId="77777777" w:rsidR="00E057F2" w:rsidRPr="00E057F2" w:rsidRDefault="00E057F2" w:rsidP="00E057F2">
      <w:pPr>
        <w:pStyle w:val="Ttulo1"/>
        <w:rPr>
          <w:lang w:val="en-US"/>
        </w:rPr>
      </w:pPr>
      <w:r w:rsidRPr="00E057F2">
        <w:rPr>
          <w:lang w:val="en-US"/>
        </w:rPr>
        <w:t>Supplementary Material</w:t>
      </w:r>
    </w:p>
    <w:p w14:paraId="4ECB3E23" w14:textId="77777777" w:rsidR="00E057F2" w:rsidRPr="002D7B89" w:rsidRDefault="00E057F2" w:rsidP="00E057F2"/>
    <w:p w14:paraId="661BA17A" w14:textId="77777777" w:rsidR="00E057F2" w:rsidRPr="00E057F2" w:rsidRDefault="00E057F2" w:rsidP="00E057F2">
      <w:pPr>
        <w:pStyle w:val="Ttulo2"/>
        <w:rPr>
          <w:lang w:val="en-US"/>
        </w:rPr>
      </w:pPr>
      <w:r w:rsidRPr="00E057F2">
        <w:rPr>
          <w:lang w:val="en-US"/>
        </w:rPr>
        <w:t>Supplementary Methods</w:t>
      </w:r>
    </w:p>
    <w:p w14:paraId="4D0EA5AD" w14:textId="77777777" w:rsidR="00E057F2" w:rsidRPr="00E057F2" w:rsidRDefault="00E057F2" w:rsidP="00E057F2">
      <w:pPr>
        <w:pStyle w:val="Ttulo3"/>
        <w:rPr>
          <w:lang w:val="en-US"/>
        </w:rPr>
      </w:pPr>
      <w:r w:rsidRPr="00E057F2">
        <w:rPr>
          <w:lang w:val="en-US"/>
        </w:rPr>
        <w:t>Populations</w:t>
      </w:r>
    </w:p>
    <w:p w14:paraId="45F6CE51" w14:textId="77777777" w:rsidR="00E057F2" w:rsidRPr="00E057F2" w:rsidRDefault="00E057F2" w:rsidP="00E057F2">
      <w:pPr>
        <w:pStyle w:val="Ttulo4"/>
        <w:rPr>
          <w:lang w:val="en-US"/>
        </w:rPr>
      </w:pPr>
      <w:proofErr w:type="spellStart"/>
      <w:r w:rsidRPr="00E057F2">
        <w:rPr>
          <w:lang w:val="en-US"/>
        </w:rPr>
        <w:t>UKB</w:t>
      </w:r>
      <w:proofErr w:type="spellEnd"/>
    </w:p>
    <w:p w14:paraId="2855C58E" w14:textId="027F63C9" w:rsidR="00E057F2" w:rsidRPr="002D7B89" w:rsidRDefault="00E057F2" w:rsidP="00E057F2">
      <w:r w:rsidRPr="002D7B89">
        <w:t xml:space="preserve">The </w:t>
      </w:r>
      <w:proofErr w:type="spellStart"/>
      <w:r w:rsidRPr="002D7B89">
        <w:t>UKB</w:t>
      </w:r>
      <w:proofErr w:type="spellEnd"/>
      <w:r w:rsidRPr="002D7B89">
        <w:t xml:space="preserve"> (</w:t>
      </w:r>
      <w:proofErr w:type="spellStart"/>
      <w:r w:rsidRPr="002D7B89">
        <w:t>UKB</w:t>
      </w:r>
      <w:proofErr w:type="spellEnd"/>
      <w:r w:rsidRPr="002D7B89">
        <w:t xml:space="preserve">) is a large study in the United Kingdom which collected genetic and phenotypic information of approximately 500,000 individuals aged between 40 and 69 </w:t>
      </w:r>
      <w:r w:rsidRPr="002D7B89">
        <w:fldChar w:fldCharType="begin" w:fldLock="1"/>
      </w:r>
      <w:r>
        <w:instrText>ADDIN CSL_CITATION {"citationItems":[{"id":"ITEM-1","itemData":{"DOI":"10.1038/s41586-018-0579-z","ISSN":"1476-4687","PMID":"30305743","abstract":"The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author":[{"dropping-particle":"","family":"Bycroft","given":"Clare","non-dropping-particle":"","parse-names":false,"suffix":""},{"dropping-particle":"","family":"Freeman","given":"Colin","non-dropping-particle":"","parse-names":false,"suffix":""},{"dropping-particle":"","family":"Petkova","given":"Desislava","non-dropping-particle":"","parse-names":false,"suffix":""},{"dropping-particle":"","family":"Band","given":"Gavin","non-dropping-particle":"","parse-names":false,"suffix":""},{"dropping-particle":"","family":"Elliott","given":"Lloyd T.","non-dropping-particle":"","parse-names":false,"suffix":""},{"dropping-particle":"","family":"Sharp","given":"Kevin","non-dropping-particle":"","parse-names":false,"suffix":""},{"dropping-particle":"","family":"Motyer","given":"Allan","non-dropping-particle":"","parse-names":false,"suffix":""},{"dropping-particle":"","family":"Vukcevic","given":"Damjan","non-dropping-particle":"","parse-names":false,"suffix":""},{"dropping-particle":"","family":"Delaneau","given":"Olivier","non-dropping-particle":"","parse-names":false,"suffix":""},{"dropping-particle":"","family":"O'Connell","given":"Jared","non-dropping-particle":"","parse-names":false,"suffix":""},{"dropping-particle":"","family":"Cortes","given":"Adrian","non-dropping-particle":"","parse-names":false,"suffix":""},{"dropping-particle":"","family":"Welsh","given":"Samantha","non-dropping-particle":"","parse-names":false,"suffix":""},{"dropping-particle":"","family":"Young","given":"Alan","non-dropping-particle":"","parse-names":false,"suffix":""},{"dropping-particle":"","family":"Effingham","given":"Mark","non-dropping-particle":"","parse-names":false,"suffix":""},{"dropping-particle":"","family":"McVean","given":"Gil","non-dropping-particle":"","parse-names":false,"suffix":""},{"dropping-particle":"","family":"Leslie","given":"Stephen","non-dropping-particle":"","parse-names":false,"suffix":""},{"dropping-particle":"","family":"Allen","given":"Naomi","non-dropping-particle":"","parse-names":false,"suffix":""},{"dropping-particle":"","family":"Donnelly","given":"Peter","non-dropping-particle":"","parse-names":false,"suffix":""},{"dropping-particle":"","family":"Marchini","given":"Jonathan","non-dropping-particle":"","parse-names":false,"suffix":""}],"container-title":"Nature","id":"ITEM-1","issue":"7726","issued":{"date-parts":[["2018","10","10"]]},"page":"203-209","title":"The UK Biobank resource with deep phenotyping and genomic data.","type":"article-journal","volume":"562"},"uris":["http://www.mendeley.com/documents/?uuid=fb9f372a-3eee-3243-a495-f24bf38065dd"]}],"mendeley":{"formattedCitation":"[1]","plainTextFormattedCitation":"[1]","previouslyFormattedCitation":"(Bycroft et al., 2018)"},"properties":{"noteIndex":0},"schema":"https://github.com/citation-style-language/schema/raw/master/csl-citation.json"}</w:instrText>
      </w:r>
      <w:r w:rsidRPr="002D7B89">
        <w:fldChar w:fldCharType="separate"/>
      </w:r>
      <w:r w:rsidRPr="00E057F2">
        <w:rPr>
          <w:noProof/>
        </w:rPr>
        <w:t>[1]</w:t>
      </w:r>
      <w:r w:rsidRPr="002D7B89">
        <w:fldChar w:fldCharType="end"/>
      </w:r>
      <w:r w:rsidRPr="002D7B89">
        <w:t xml:space="preserve">. This resource facilitates the investigation of diseases and their causes to improve their diagnosis and prevention </w:t>
      </w:r>
      <w:r w:rsidRPr="002D7B89">
        <w:fldChar w:fldCharType="begin" w:fldLock="1"/>
      </w:r>
      <w:r>
        <w:instrText>ADDIN CSL_CITATION {"citationItems":[{"id":"ITEM-1","itemData":{"DOI":"10.1371/journal.pmed.1001779","ISSN":"1549-1676","PMID":"25826379","abstract":"Cathie Sudlow and colleagues describe the UK Biobank, a large population-based prospective study, established to allow investigation of the genetic and non-genetic determinants of the diseases of middle and old age.","author":[{"dropping-particle":"","family":"Sudlow","given":"Cathie","non-dropping-particle":"","parse-names":false,"suffix":""},{"dropping-particle":"","family":"Gallacher","given":"John","non-dropping-particle":"","parse-names":false,"suffix":""},{"dropping-particle":"","family":"Allen","given":"Naomi","non-dropping-particle":"","parse-names":false,"suffix":""},{"dropping-particle":"","family":"Beral","given":"Valerie","non-dropping-particle":"","parse-names":false,"suffix":""},{"dropping-particle":"","family":"Burton","given":"Paul","non-dropping-particle":"","parse-names":false,"suffix":""},{"dropping-particle":"","family":"Danesh","given":"John","non-dropping-particle":"","parse-names":false,"suffix":""},{"dropping-particle":"","family":"Downey","given":"Paul","non-dropping-particle":"","parse-names":false,"suffix":""},{"dropping-particle":"","family":"Elliott","given":"Paul","non-dropping-particle":"","parse-names":false,"suffix":""},{"dropping-particle":"","family":"Green","given":"Jane","non-dropping-particle":"","parse-names":false,"suffix":""},{"dropping-particle":"","family":"Landray","given":"Martin","non-dropping-particle":"","parse-names":false,"suffix":""},{"dropping-particle":"","family":"Liu","given":"Bette","non-dropping-particle":"","parse-names":false,"suffix":""},{"dropping-particle":"","family":"Matthews","given":"Paul","non-dropping-particle":"","parse-names":false,"suffix":""},{"dropping-particle":"","family":"Ong","given":"Giok","non-dropping-particle":"","parse-names":false,"suffix":""},{"dropping-particle":"","family":"Pell","given":"Jill","non-dropping-particle":"","parse-names":false,"suffix":""},{"dropping-particle":"","family":"Silman","given":"Alan","non-dropping-particle":"","parse-names":false,"suffix":""},{"dropping-particle":"","family":"Young","given":"Alan","non-dropping-particle":"","parse-names":false,"suffix":""},{"dropping-particle":"","family":"Sprosen","given":"Tim","non-dropping-particle":"","parse-names":false,"suffix":""},{"dropping-particle":"","family":"Peakman","given":"Tim","non-dropping-particle":"","parse-names":false,"suffix":""},{"dropping-particle":"","family":"Collins","given":"Rory","non-dropping-particle":"","parse-names":false,"suffix":""}],"container-title":"PLoS medicine","id":"ITEM-1","issue":"3","issued":{"date-parts":[["2015","3"]]},"page":"e1001779","publisher":"Public Library of Science","title":"UK biobank: an open access resource for identifying the causes of a wide range of complex diseases of middle and old age.","type":"article-journal","volume":"12"},"uris":["http://www.mendeley.com/documents/?uuid=60a26a39-d230-4e13-b155-36e4d2e07fff"]}],"mendeley":{"formattedCitation":"[2]","plainTextFormattedCitation":"[2]","previouslyFormattedCitation":"(Sudlow et al., 2015)"},"properties":{"noteIndex":0},"schema":"https://github.com/citation-style-language/schema/raw/master/csl-citation.json"}</w:instrText>
      </w:r>
      <w:r w:rsidRPr="002D7B89">
        <w:fldChar w:fldCharType="separate"/>
      </w:r>
      <w:r w:rsidRPr="00E057F2">
        <w:rPr>
          <w:noProof/>
        </w:rPr>
        <w:t>[2]</w:t>
      </w:r>
      <w:r w:rsidRPr="002D7B89">
        <w:fldChar w:fldCharType="end"/>
      </w:r>
      <w:r w:rsidRPr="002D7B89">
        <w:t xml:space="preserve">. ﻿Only individuals with genetic ethnic grouping as Caucasian, as calculated by the </w:t>
      </w:r>
      <w:proofErr w:type="spellStart"/>
      <w:r w:rsidRPr="002D7B89">
        <w:t>UKB</w:t>
      </w:r>
      <w:proofErr w:type="spellEnd"/>
      <w:r w:rsidRPr="002D7B89">
        <w:t xml:space="preserve">, were included in this study </w:t>
      </w:r>
      <w:r w:rsidRPr="002D7B89">
        <w:fldChar w:fldCharType="begin" w:fldLock="1"/>
      </w:r>
      <w:r>
        <w:instrText>ADDIN CSL_CITATION {"citationItems":[{"id":"ITEM-1","itemData":{"DOI":"10.1038/s41586-018-0579-z","ISSN":"1476-4687","PMID":"30305743","abstract":"The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author":[{"dropping-particle":"","family":"Bycroft","given":"Clare","non-dropping-particle":"","parse-names":false,"suffix":""},{"dropping-particle":"","family":"Freeman","given":"Colin","non-dropping-particle":"","parse-names":false,"suffix":""},{"dropping-particle":"","family":"Petkova","given":"Desislava","non-dropping-particle":"","parse-names":false,"suffix":""},{"dropping-particle":"","family":"Band","given":"Gavin","non-dropping-particle":"","parse-names":false,"suffix":""},{"dropping-particle":"","family":"Elliott","given":"Lloyd T.","non-dropping-particle":"","parse-names":false,"suffix":""},{"dropping-particle":"","family":"Sharp","given":"Kevin","non-dropping-particle":"","parse-names":false,"suffix":""},{"dropping-particle":"","family":"Motyer","given":"Allan","non-dropping-particle":"","parse-names":false,"suffix":""},{"dropping-particle":"","family":"Vukcevic","given":"Damjan","non-dropping-particle":"","parse-names":false,"suffix":""},{"dropping-particle":"","family":"Delaneau","given":"Olivier","non-dropping-particle":"","parse-names":false,"suffix":""},{"dropping-particle":"","family":"O'Connell","given":"Jared","non-dropping-particle":"","parse-names":false,"suffix":""},{"dropping-particle":"","family":"Cortes","given":"Adrian","non-dropping-particle":"","parse-names":false,"suffix":""},{"dropping-particle":"","family":"Welsh","given":"Samantha","non-dropping-particle":"","parse-names":false,"suffix":""},{"dropping-particle":"","family":"Young","given":"Alan","non-dropping-particle":"","parse-names":false,"suffix":""},{"dropping-particle":"","family":"Effingham","given":"Mark","non-dropping-particle":"","parse-names":false,"suffix":""},{"dropping-particle":"","family":"McVean","given":"Gil","non-dropping-particle":"","parse-names":false,"suffix":""},{"dropping-particle":"","family":"Leslie","given":"Stephen","non-dropping-particle":"","parse-names":false,"suffix":""},{"dropping-particle":"","family":"Allen","given":"Naomi","non-dropping-particle":"","parse-names":false,"suffix":""},{"dropping-particle":"","family":"Donnelly","given":"Peter","non-dropping-particle":"","parse-names":false,"suffix":""},{"dropping-particle":"","family":"Marchini","given":"Jonathan","non-dropping-particle":"","parse-names":false,"suffix":""}],"container-title":"Nature","id":"ITEM-1","issue":"7726","issued":{"date-parts":[["2018","10","10"]]},"page":"203-209","title":"The UK Biobank resource with deep phenotyping and genomic data.","type":"article-journal","volume":"562"},"uris":["http://www.mendeley.com/documents/?uuid=fb9f372a-3eee-3243-a495-f24bf38065dd"]}],"mendeley":{"formattedCitation":"[1]","plainTextFormattedCitation":"[1]","previouslyFormattedCitation":"(Bycroft et al., 2018)"},"properties":{"noteIndex":0},"schema":"https://github.com/citation-style-language/schema/raw/master/csl-citation.json"}</w:instrText>
      </w:r>
      <w:r w:rsidRPr="002D7B89">
        <w:fldChar w:fldCharType="separate"/>
      </w:r>
      <w:r w:rsidRPr="00E057F2">
        <w:rPr>
          <w:noProof/>
        </w:rPr>
        <w:t>[1]</w:t>
      </w:r>
      <w:r w:rsidRPr="002D7B89">
        <w:fldChar w:fldCharType="end"/>
      </w:r>
      <w:r w:rsidRPr="002D7B89">
        <w:t>. The influence of the gene variants on the different phenotypic outcomes were investigated with/without stratification by diabetes. The total (Overall) cohort was therefore subdivided into two sub cohorts according to the presence (DM) or absence of diabetes mellitus (</w:t>
      </w:r>
      <w:proofErr w:type="spellStart"/>
      <w:r w:rsidRPr="002D7B89">
        <w:t>nonDM</w:t>
      </w:r>
      <w:proofErr w:type="spellEnd"/>
      <w:r w:rsidRPr="002D7B89">
        <w:t>).</w:t>
      </w:r>
    </w:p>
    <w:p w14:paraId="7D88A10A" w14:textId="77777777" w:rsidR="00E057F2" w:rsidRPr="00E057F2" w:rsidRDefault="00E057F2" w:rsidP="00E057F2">
      <w:pPr>
        <w:pStyle w:val="Ttulo4"/>
        <w:rPr>
          <w:lang w:val="en-US"/>
        </w:rPr>
      </w:pPr>
      <w:r w:rsidRPr="00E057F2">
        <w:rPr>
          <w:lang w:val="en-US"/>
        </w:rPr>
        <w:t>UK-ROI Collection</w:t>
      </w:r>
    </w:p>
    <w:p w14:paraId="7D96EF45" w14:textId="4B7E2170" w:rsidR="00E057F2" w:rsidRPr="002D7B89" w:rsidRDefault="00E057F2" w:rsidP="00E057F2">
      <w:pPr>
        <w:rPr>
          <w:rFonts w:cstheme="minorHAnsi"/>
        </w:rPr>
      </w:pPr>
      <w:r w:rsidRPr="002D7B89">
        <w:t xml:space="preserve">The UK-ROI collection consists of samples derived from the Republic of Ireland (ROI) and the United Kingdom (Warren 3 and Genetics of Kidneys in Diabetes UK, UK </w:t>
      </w:r>
      <w:proofErr w:type="spellStart"/>
      <w:r w:rsidRPr="002D7B89">
        <w:t>GoKinD</w:t>
      </w:r>
      <w:proofErr w:type="spellEnd"/>
      <w:r w:rsidRPr="002D7B89">
        <w:t>), as part of the Genetics of Nephropathy an International Effort (GENIE) and the Diabetic Nephropathy Collaborative Research Initiative (</w:t>
      </w:r>
      <w:proofErr w:type="spellStart"/>
      <w:r w:rsidRPr="002D7B89">
        <w:t>DNCRI</w:t>
      </w:r>
      <w:proofErr w:type="spellEnd"/>
      <w:r w:rsidRPr="002D7B89">
        <w:t>)</w:t>
      </w:r>
      <w:r>
        <w:t xml:space="preserve"> </w:t>
      </w:r>
      <w:r w:rsidRPr="002D7B89">
        <w:fldChar w:fldCharType="begin" w:fldLock="1"/>
      </w:r>
      <w:r>
        <w:instrText>ADDIN CSL_CITATION {"citationItems":[{"id":"ITEM-1","itemData":{"DOI":"10.1681/ASN.2009070773","ISSN":"1533-3450","abstract":"Gremlin, a cell growth and differentiation factor, promotes the development of diabetic nephropathy in animal models, but whether GREM1 gene variants associate with diabetic nephropathy is unknown. We comprehensively screened the 5' upstream region (including the predicted promoter), all exons, intron-exon boundaries, complete untranslated regions, and the 3' region downstream of the GREM1 gene. We identified 31 unique variants, including 24 with a minor allele frequency exceeding 5%, and 9 haplotype-tagging single nucleotide polymorphisms (htSNPs). We selected one additional variant that we predicted to alter transcription factor binding. We genotyped 709 individuals with type 1 diabetes of whom 267 had nephropathy (cases) and 442 had no evidence of kidney disease (controls). Three individual SNPs significantly associated with nephropathy at the 5% level, and two remained significant after adjustment for multiple testing. Subsequently, we genotyped a replicate population comprising 597 cases and 502 controls: this population supported an association with one of the SNPs (rs1129456; P = 0.0003). Combined analysis, adjusted for recruitment center (n = 8), suggested that the T allele conferred greater odds of nephropathy (OR 1.69; 95% CI 1.36 to 2.11). In summary, the GREM1 variant rs1129456 associates with diabetic nephropathy, perhaps explaining some of the genetic susceptibility to this condition.","author":[{"dropping-particle":"","family":"McKnight","given":"Amy Jayne","non-dropping-particle":"","parse-names":false,"suffix":""},{"dropping-particle":"","family":"Patterson","given":"Christopher C","non-dropping-particle":"","parse-names":false,"suffix":""},{"dropping-particle":"","family":"Pettigrew","given":"Kerry A","non-dropping-particle":"","parse-names":false,"suffix":""},{"dropping-particle":"","family":"Savage","given":"David A","non-dropping-particle":"","parse-names":false,"suffix":""},{"dropping-particle":"","family":"Kilner","given":"Jill","non-dropping-particle":"","parse-names":false,"suffix":""},{"dropping-particle":"","family":"Murphy","given":"Madeline","non-dropping-particle":"","parse-names":false,"suffix":""},{"dropping-particle":"","family":"Sadlier","given":"Denise","non-dropping-particle":"","parse-names":false,"suffix":""},{"dropping-particle":"","family":"Maxwell","given":"Alexander P","non-dropping-particle":"","parse-names":false,"suffix":""},{"dropping-particle":"","family":"Group","given":"Warren 3/U.K. Genetics of Kidneys in Diabetes (GoKinD) Study","non-dropping-particle":"","parse-names":false,"suffix":""}],"container-title":"Journal of the American Society of Nephrology : JASN","id":"ITEM-1","issue":"5","issued":{"date-parts":[["2010","5"]]},"language":"eng","page":"773-781","publisher":"American Society of Nephrology","title":"A GREM1 gene variant associates with diabetic nephropathy","type":"article-journal","volume":"21"},"uris":["http://www.mendeley.com/documents/?uuid=c03dc31f-38f2-4697-8791-13f79ca483b8"]}],"mendeley":{"formattedCitation":"[3]","plainTextFormattedCitation":"[3]","previouslyFormattedCitation":"(McKnight et al., 2010)"},"properties":{"noteIndex":0},"schema":"https://github.com/citation-style-language/schema/raw/master/csl-citation.json"}</w:instrText>
      </w:r>
      <w:r w:rsidRPr="002D7B89">
        <w:fldChar w:fldCharType="separate"/>
      </w:r>
      <w:r w:rsidRPr="00E057F2">
        <w:rPr>
          <w:noProof/>
        </w:rPr>
        <w:t>[3]</w:t>
      </w:r>
      <w:r w:rsidRPr="002D7B89">
        <w:fldChar w:fldCharType="end"/>
      </w:r>
      <w:r w:rsidRPr="002D7B89">
        <w:t xml:space="preserve"> (</w:t>
      </w:r>
      <w:proofErr w:type="spellStart"/>
      <w:r w:rsidRPr="002D7B89">
        <w:t>dbGaP</w:t>
      </w:r>
      <w:proofErr w:type="spellEnd"/>
      <w:r w:rsidRPr="002D7B89">
        <w:t xml:space="preserve"> Study Accession: phs000389.v1.p1) </w:t>
      </w:r>
      <w:r w:rsidRPr="002D7B89">
        <w:fldChar w:fldCharType="begin" w:fldLock="1"/>
      </w:r>
      <w:r>
        <w:instrText>ADDIN CSL_CITATION {"citationItems":[{"id":"ITEM-1","itemData":{"author":[{"dropping-particle":"","family":"DbGAP","given":"","non-dropping-particle":"","parse-names":false,"suffix":""}],"id":"ITEM-1","issued":{"date-parts":[["2011"]]},"title":"GEnetics of Nephropathy - an International Effort (GENIE) GWAS of Diabetic Nephropathy in the UK GoKinD and All-Ireland Cohorts. dbGaP Study Accession: phs000389.v1.p1","type":"article"},"uris":["http://www.mendeley.com/documents/?uuid=dc8b38dd-e205-37d7-a904-f16efa778c10"]}],"mendeley":{"formattedCitation":"[4]","plainTextFormattedCitation":"[4]","previouslyFormattedCitation":"(DbGAP, 2011)"},"properties":{"noteIndex":0},"schema":"https://github.com/citation-style-language/schema/raw/master/csl-citation.json"}</w:instrText>
      </w:r>
      <w:r w:rsidRPr="002D7B89">
        <w:fldChar w:fldCharType="separate"/>
      </w:r>
      <w:r w:rsidRPr="00E057F2">
        <w:rPr>
          <w:noProof/>
        </w:rPr>
        <w:t>[4]</w:t>
      </w:r>
      <w:r w:rsidRPr="002D7B89">
        <w:fldChar w:fldCharType="end"/>
      </w:r>
      <w:r w:rsidRPr="002D7B89">
        <w:t xml:space="preserve">. </w:t>
      </w:r>
      <w:r w:rsidRPr="002D7B89">
        <w:rPr>
          <w:rFonts w:cstheme="minorHAnsi"/>
        </w:rPr>
        <w:t xml:space="preserve">This study population included 1,804 white individuals </w:t>
      </w:r>
      <w:r w:rsidRPr="002D7B89">
        <w:rPr>
          <w:rFonts w:cstheme="minorHAnsi"/>
          <w:color w:val="000000"/>
        </w:rPr>
        <w:t>diagnosed with type 1 diabetes mellitus (T1DM) before 31 years of age, with parents and grandparents born in the UK and Ireland</w:t>
      </w:r>
      <w:r>
        <w:rPr>
          <w:rFonts w:cstheme="minorHAnsi"/>
          <w:color w:val="000000"/>
        </w:rPr>
        <w:t>. F</w:t>
      </w:r>
      <w:r w:rsidRPr="002D7B89">
        <w:rPr>
          <w:rFonts w:cstheme="minorHAnsi"/>
          <w:color w:val="000000"/>
        </w:rPr>
        <w:t xml:space="preserve">ull details of these have been previously described </w:t>
      </w:r>
      <w:r w:rsidRPr="002D7B89">
        <w:rPr>
          <w:rFonts w:cstheme="minorHAnsi"/>
        </w:rPr>
        <w:fldChar w:fldCharType="begin" w:fldLock="1"/>
      </w:r>
      <w:r>
        <w:rPr>
          <w:rFonts w:cstheme="minorHAnsi"/>
        </w:rPr>
        <w:instrText>ADDIN CSL_CITATION {"citationItems":[{"id":"ITEM-1","itemData":{"DOI":"10.1681/ASN.2009070773","ISSN":"1533-3450","abstract":"Gremlin, a cell growth and differentiation factor, promotes the development of diabetic nephropathy in animal models, but whether GREM1 gene variants associate with diabetic nephropathy is unknown. We comprehensively screened the 5' upstream region (including the predicted promoter), all exons, intron-exon boundaries, complete untranslated regions, and the 3' region downstream of the GREM1 gene. We identified 31 unique variants, including 24 with a minor allele frequency exceeding 5%, and 9 haplotype-tagging single nucleotide polymorphisms (htSNPs). We selected one additional variant that we predicted to alter transcription factor binding. We genotyped 709 individuals with type 1 diabetes of whom 267 had nephropathy (cases) and 442 had no evidence of kidney disease (controls). Three individual SNPs significantly associated with nephropathy at the 5% level, and two remained significant after adjustment for multiple testing. Subsequently, we genotyped a replicate population comprising 597 cases and 502 controls: this population supported an association with one of the SNPs (rs1129456; P = 0.0003). Combined analysis, adjusted for recruitment center (n = 8), suggested that the T allele conferred greater odds of nephropathy (OR 1.69; 95% CI 1.36 to 2.11). In summary, the GREM1 variant rs1129456 associates with diabetic nephropathy, perhaps explaining some of the genetic susceptibility to this condition.","author":[{"dropping-particle":"","family":"McKnight","given":"Amy Jayne","non-dropping-particle":"","parse-names":false,"suffix":""},{"dropping-particle":"","family":"Patterson","given":"Christopher C","non-dropping-particle":"","parse-names":false,"suffix":""},{"dropping-particle":"","family":"Pettigrew","given":"Kerry A","non-dropping-particle":"","parse-names":false,"suffix":""},{"dropping-particle":"","family":"Savage","given":"David A","non-dropping-particle":"","parse-names":false,"suffix":""},{"dropping-particle":"","family":"Kilner","given":"Jill","non-dropping-particle":"","parse-names":false,"suffix":""},{"dropping-particle":"","family":"Murphy","given":"Madeline","non-dropping-particle":"","parse-names":false,"suffix":""},{"dropping-particle":"","family":"Sadlier","given":"Denise","non-dropping-particle":"","parse-names":false,"suffix":""},{"dropping-particle":"","family":"Maxwell","given":"Alexander P","non-dropping-particle":"","parse-names":false,"suffix":""},{"dropping-particle":"","family":"Group","given":"Warren 3/U.K. Genetics of Kidneys in Diabetes (GoKinD) Study","non-dropping-particle":"","parse-names":false,"suffix":""}],"container-title":"Journal of the American Society of Nephrology : JASN","id":"ITEM-1","issue":"5","issued":{"date-parts":[["2010","5"]]},"language":"eng","page":"773-781","publisher":"American Society of Nephrology","title":"A GREM1 gene variant associates with diabetic nephropathy","type":"article-journal","volume":"21"},"uris":["http://www.mendeley.com/documents/?uuid=c03dc31f-38f2-4697-8791-13f79ca483b8","http://www.mendeley.com/documents/?uuid=b89144bd-ea8a-42f3-a58d-9ffd06fb746e"]}],"mendeley":{"formattedCitation":"[3]","plainTextFormattedCitation":"[3]","previouslyFormattedCitation":"(McKnight et al., 2010)"},"properties":{"noteIndex":0},"schema":"https://github.com/citation-style-language/schema/raw/master/csl-citation.json"}</w:instrText>
      </w:r>
      <w:r w:rsidRPr="002D7B89">
        <w:rPr>
          <w:rFonts w:cstheme="minorHAnsi"/>
        </w:rPr>
        <w:fldChar w:fldCharType="separate"/>
      </w:r>
      <w:r w:rsidRPr="00E057F2">
        <w:rPr>
          <w:rFonts w:cstheme="minorHAnsi"/>
          <w:noProof/>
        </w:rPr>
        <w:t>[3]</w:t>
      </w:r>
      <w:r w:rsidRPr="002D7B89">
        <w:rPr>
          <w:rFonts w:cstheme="minorHAnsi"/>
        </w:rPr>
        <w:fldChar w:fldCharType="end"/>
      </w:r>
      <w:r w:rsidRPr="002D7B89">
        <w:rPr>
          <w:rFonts w:cstheme="minorHAnsi"/>
        </w:rPr>
        <w:t>.</w:t>
      </w:r>
    </w:p>
    <w:p w14:paraId="226626F9" w14:textId="77777777" w:rsidR="00E057F2" w:rsidRPr="002D7B89" w:rsidRDefault="00E057F2" w:rsidP="00E057F2">
      <w:r w:rsidRPr="002D7B89">
        <w:t>This collection consisted of diabetic kidney disease (</w:t>
      </w:r>
      <w:proofErr w:type="spellStart"/>
      <w:r w:rsidRPr="002D7B89">
        <w:t>DKD</w:t>
      </w:r>
      <w:proofErr w:type="spellEnd"/>
      <w:r w:rsidRPr="002D7B89">
        <w:t xml:space="preserve">) cases which were defined as individuals with persistent proteinuria (&gt;500 mg/24 h) developed more than 10 years after diabetes diagnosis, hypertension (&gt;135/85 mmHg and/or treatment with antihypertensive medication), and retinopathy. Participants were classified as </w:t>
      </w:r>
      <w:proofErr w:type="spellStart"/>
      <w:r w:rsidRPr="002D7B89">
        <w:t>ES</w:t>
      </w:r>
      <w:r>
        <w:t>K</w:t>
      </w:r>
      <w:r w:rsidRPr="002D7B89">
        <w:t>D</w:t>
      </w:r>
      <w:proofErr w:type="spellEnd"/>
      <w:r w:rsidRPr="002D7B89">
        <w:t xml:space="preserve"> cases if the individual required </w:t>
      </w:r>
      <w:r>
        <w:t>kidney</w:t>
      </w:r>
      <w:r w:rsidRPr="002D7B89">
        <w:t xml:space="preserve"> replacement therapy (</w:t>
      </w:r>
      <w:proofErr w:type="spellStart"/>
      <w:r>
        <w:t>KRT</w:t>
      </w:r>
      <w:proofErr w:type="spellEnd"/>
      <w:r w:rsidRPr="002D7B89">
        <w:t xml:space="preserve">) defined as dialysis or transplantation. Controls were those with no evidence of </w:t>
      </w:r>
      <w:proofErr w:type="spellStart"/>
      <w:r w:rsidRPr="002D7B89">
        <w:t>DKD</w:t>
      </w:r>
      <w:proofErr w:type="spellEnd"/>
      <w:r>
        <w:t>,</w:t>
      </w:r>
      <w:r w:rsidRPr="002D7B89">
        <w:t xml:space="preserve"> includ</w:t>
      </w:r>
      <w:r>
        <w:t>ing</w:t>
      </w:r>
      <w:r w:rsidRPr="002D7B89">
        <w:t xml:space="preserve"> those with persistent normal urine albumin excretion rate (AER; 2 out of 3 urine </w:t>
      </w:r>
      <w:proofErr w:type="gramStart"/>
      <w:r w:rsidRPr="002D7B89">
        <w:t>albumin</w:t>
      </w:r>
      <w:proofErr w:type="gramEnd"/>
      <w:r w:rsidRPr="002D7B89">
        <w:t xml:space="preserve"> to creatinine ratio [</w:t>
      </w:r>
      <w:proofErr w:type="spellStart"/>
      <w:r w:rsidRPr="002D7B89">
        <w:t>ACR</w:t>
      </w:r>
      <w:proofErr w:type="spellEnd"/>
      <w:r w:rsidRPr="002D7B89">
        <w:t xml:space="preserve">] measurements &lt;20 µg of albumin/mg of creatinine) despite duration of T1DM for at least 15 years, while not taking any antihypertensive medication, and having no history of treatment with angiotensin-converting enzyme (ACE) inhibitors. The </w:t>
      </w:r>
      <w:proofErr w:type="spellStart"/>
      <w:r w:rsidRPr="002D7B89">
        <w:t>ES</w:t>
      </w:r>
      <w:r>
        <w:t>K</w:t>
      </w:r>
      <w:r w:rsidRPr="002D7B89">
        <w:t>D</w:t>
      </w:r>
      <w:proofErr w:type="spellEnd"/>
      <w:r w:rsidRPr="002D7B89">
        <w:t xml:space="preserve"> phenotype was used to gain insight into the influence of mitochondrial genetics in individuals who go on to develop </w:t>
      </w:r>
      <w:proofErr w:type="spellStart"/>
      <w:r>
        <w:t>ESKD</w:t>
      </w:r>
      <w:proofErr w:type="spellEnd"/>
      <w:r w:rsidRPr="002D7B89">
        <w:t xml:space="preserve"> because of </w:t>
      </w:r>
      <w:proofErr w:type="spellStart"/>
      <w:r w:rsidRPr="002D7B89">
        <w:t>DKD</w:t>
      </w:r>
      <w:proofErr w:type="spellEnd"/>
      <w:r w:rsidRPr="002D7B89">
        <w:t xml:space="preserve">. Normoalbuminuric individuals with T1DM were used as controls to investigate both the </w:t>
      </w:r>
      <w:proofErr w:type="spellStart"/>
      <w:r w:rsidRPr="002D7B89">
        <w:t>DKD</w:t>
      </w:r>
      <w:proofErr w:type="spellEnd"/>
      <w:r w:rsidRPr="002D7B89">
        <w:t xml:space="preserve"> and </w:t>
      </w:r>
      <w:proofErr w:type="spellStart"/>
      <w:r w:rsidRPr="002D7B89">
        <w:t>ES</w:t>
      </w:r>
      <w:r>
        <w:t>K</w:t>
      </w:r>
      <w:r w:rsidRPr="002D7B89">
        <w:t>D</w:t>
      </w:r>
      <w:proofErr w:type="spellEnd"/>
      <w:r w:rsidRPr="002D7B89">
        <w:t xml:space="preserve"> phenotypes. </w:t>
      </w:r>
    </w:p>
    <w:p w14:paraId="43F1F081" w14:textId="77777777" w:rsidR="00E057F2" w:rsidRPr="00E057F2" w:rsidRDefault="00E057F2" w:rsidP="00E057F2">
      <w:pPr>
        <w:pStyle w:val="Ttulo3"/>
        <w:rPr>
          <w:lang w:val="en-US"/>
        </w:rPr>
      </w:pPr>
      <w:r w:rsidRPr="00E057F2">
        <w:rPr>
          <w:lang w:val="en-US"/>
        </w:rPr>
        <w:t>Phenotypic Variables</w:t>
      </w:r>
    </w:p>
    <w:p w14:paraId="33A45ABB" w14:textId="77777777" w:rsidR="00E057F2" w:rsidRPr="00E057F2" w:rsidRDefault="00E057F2" w:rsidP="00E057F2">
      <w:pPr>
        <w:pStyle w:val="Ttulo4"/>
        <w:rPr>
          <w:lang w:val="en-US"/>
        </w:rPr>
      </w:pPr>
      <w:r w:rsidRPr="00E057F2">
        <w:rPr>
          <w:lang w:val="en-US"/>
        </w:rPr>
        <w:t>eGFR</w:t>
      </w:r>
    </w:p>
    <w:p w14:paraId="433997EB" w14:textId="235F6209" w:rsidR="00E057F2" w:rsidRPr="002D7B89" w:rsidRDefault="00E057F2" w:rsidP="00E057F2">
      <w:r w:rsidRPr="002D7B89">
        <w:t xml:space="preserve">The eGFR was calculated using the 2009 CKD-EPI creatinine equation, based on </w:t>
      </w:r>
      <w:proofErr w:type="spellStart"/>
      <w:r w:rsidRPr="002D7B89">
        <w:t>SCr</w:t>
      </w:r>
      <w:proofErr w:type="spellEnd"/>
      <w:r w:rsidRPr="002D7B89">
        <w:t xml:space="preserve">, the 2012 CKD-EPI cystatin C equation, based on </w:t>
      </w:r>
      <w:proofErr w:type="spellStart"/>
      <w:r w:rsidRPr="002D7B89">
        <w:t>SCysC</w:t>
      </w:r>
      <w:proofErr w:type="spellEnd"/>
      <w:r w:rsidRPr="002D7B89">
        <w:t xml:space="preserve"> and the 2012 CKD-EPI creatinine-cystatin C equation, as reported by the KDIGO guidelines </w:t>
      </w:r>
      <w:r w:rsidRPr="002D7B89">
        <w:fldChar w:fldCharType="begin" w:fldLock="1"/>
      </w:r>
      <w:r>
        <w:instrText>ADDIN CSL_CITATION {"citationItems":[{"id":"ITEM-1","itemData":{"DOI":"10.1038/kisup.2012.76","ISBN":"979-448-732-5","ISSN":"2157-1724","PMID":"23989362","abstract":"The 2009 Kidney Disease: Improving Global Outcomes (KDIGO) clinical practice guideline on the management of chronic kidney disease–mineral and bone disorder (CKD–MBD) is intended to assist the practitioner caring for adults and children with CKD stages 3–5, on chronic dialysis therapy, or with a kidney transplant. The guideline contains recommendations on evaluation and treatment for abnormalities of CKD–MBD. This disease concept of CKD–MBD is based on a prior KDIGO consensus conference. Tests considered are those that relate to the detection and monitoring of laboratory, bone, and cardiovascular abnormalities. Treatments considered are interventions to treat hyperphosphatemia, hyperparathyroidism, and bone disease in patients with CKD stages 3–5D and 1–5T. The guideline development process followed an evidence based approach and treatment recommendations are based on systematic reviews of relevant treatment trials. Recommendations for testing used evidence based on diagnostic accuracy or risk prediction and linked it indirectly with how this would be expected to achieve better outcomes for patients through better detection, evaluation or treatment of disease. Critical appraisal of the quality of the evidence and the strength of recommendations followed the GRADE approach. An ungraded statement was provided when a question did not lend itself to systematic literature review. Limitations of the evidence, especially the lack of definitive clinical outcome trials, are discussed and suggestions are provided for future research.","author":[{"dropping-particle":"","family":"Willis","given":"Kerry","non-dropping-particle":"","parse-names":false,"suffix":""},{"dropping-particle":"","family":"Cheung","given":"Michael","non-dropping-particle":"","parse-names":false,"suffix":""},{"dropping-particle":"","family":"Slifer","given":"Sean","non-dropping-particle":"","parse-names":false,"suffix":""}],"container-title":"Kidney International Supplements","id":"ITEM-1","issue":"1","issued":{"date-parts":[["2013"]]},"title":"KDIGO 2012 Clinical Practice Guideline for Evaluation &amp; Management of CKD","type":"article-journal","volume":"3"},"uris":["http://www.mendeley.com/documents/?uuid=f699f4e9-3a2a-4b15-b518-ec7ea74e1c96","http://www.mendeley.com/documents/?uuid=43cc687f-3799-4c9f-b471-a12c8723f329"]}],"mendeley":{"formattedCitation":"[5]","plainTextFormattedCitation":"[5]","previouslyFormattedCitation":"(Willis et al., 2013)"},"properties":{"noteIndex":0},"schema":"https://github.com/citation-style-language/schema/raw/master/csl-citation.json"}</w:instrText>
      </w:r>
      <w:r w:rsidRPr="002D7B89">
        <w:fldChar w:fldCharType="separate"/>
      </w:r>
      <w:r w:rsidRPr="00E057F2">
        <w:rPr>
          <w:noProof/>
        </w:rPr>
        <w:t>[5]</w:t>
      </w:r>
      <w:r w:rsidRPr="002D7B89">
        <w:fldChar w:fldCharType="end"/>
      </w:r>
      <w:r w:rsidRPr="002D7B89">
        <w:t xml:space="preserve">. </w:t>
      </w:r>
    </w:p>
    <w:p w14:paraId="1385E000" w14:textId="77777777" w:rsidR="00E057F2" w:rsidRPr="00E057F2" w:rsidRDefault="00E057F2" w:rsidP="00E057F2">
      <w:pPr>
        <w:pStyle w:val="Ttulo4"/>
        <w:rPr>
          <w:lang w:val="en-US"/>
        </w:rPr>
      </w:pPr>
      <w:r w:rsidRPr="00E057F2">
        <w:rPr>
          <w:lang w:val="en-US"/>
        </w:rPr>
        <w:lastRenderedPageBreak/>
        <w:t xml:space="preserve">CKD &amp; </w:t>
      </w:r>
      <w:proofErr w:type="spellStart"/>
      <w:r w:rsidRPr="00E057F2">
        <w:rPr>
          <w:lang w:val="en-US"/>
        </w:rPr>
        <w:t>ESKD</w:t>
      </w:r>
      <w:proofErr w:type="spellEnd"/>
    </w:p>
    <w:p w14:paraId="11EF1A5F" w14:textId="21D9C2CE" w:rsidR="00E057F2" w:rsidRPr="002D7B89" w:rsidRDefault="00E057F2" w:rsidP="00E057F2">
      <w:r w:rsidRPr="002D7B89">
        <w:t>CKD was defined as eGFR &lt; 60 mL min</w:t>
      </w:r>
      <w:r w:rsidRPr="002D7B89">
        <w:rPr>
          <w:vertAlign w:val="superscript"/>
        </w:rPr>
        <w:t>-1</w:t>
      </w:r>
      <w:r w:rsidRPr="002D7B89">
        <w:t xml:space="preserve"> per 1.73 m</w:t>
      </w:r>
      <w:r w:rsidRPr="002D7B89">
        <w:rPr>
          <w:vertAlign w:val="superscript"/>
        </w:rPr>
        <w:t>2</w:t>
      </w:r>
      <w:r>
        <w:t>,</w:t>
      </w:r>
      <w:r w:rsidRPr="002D7B89">
        <w:t xml:space="preserve"> and </w:t>
      </w:r>
      <w:proofErr w:type="spellStart"/>
      <w:r w:rsidRPr="002D7B89">
        <w:t>ES</w:t>
      </w:r>
      <w:r>
        <w:t>K</w:t>
      </w:r>
      <w:r w:rsidRPr="002D7B89">
        <w:t>D</w:t>
      </w:r>
      <w:proofErr w:type="spellEnd"/>
      <w:r w:rsidRPr="002D7B89">
        <w:t xml:space="preserve"> as eGFR &lt; 15 mL min</w:t>
      </w:r>
      <w:r w:rsidRPr="002D7B89">
        <w:rPr>
          <w:vertAlign w:val="superscript"/>
        </w:rPr>
        <w:t>-1</w:t>
      </w:r>
      <w:r w:rsidRPr="002D7B89">
        <w:t xml:space="preserve"> per 1.73 m</w:t>
      </w:r>
      <w:r w:rsidRPr="002D7B89">
        <w:rPr>
          <w:vertAlign w:val="superscript"/>
        </w:rPr>
        <w:t>2</w:t>
      </w:r>
      <w:r w:rsidRPr="002D7B89">
        <w:t xml:space="preserve">, according to the KDIGO guidelines </w:t>
      </w:r>
      <w:r w:rsidRPr="002D7B89">
        <w:fldChar w:fldCharType="begin" w:fldLock="1"/>
      </w:r>
      <w:r>
        <w:instrText>ADDIN CSL_CITATION {"citationItems":[{"id":"ITEM-1","itemData":{"DOI":"10.1038/kisup.2012.76","ISBN":"979-448-732-5","ISSN":"2157-1724","PMID":"23989362","abstract":"The 2009 Kidney Disease: Improving Global Outcomes (KDIGO) clinical practice guideline on the management of chronic kidney disease–mineral and bone disorder (CKD–MBD) is intended to assist the practitioner caring for adults and children with CKD stages 3–5, on chronic dialysis therapy, or with a kidney transplant. The guideline contains recommendations on evaluation and treatment for abnormalities of CKD–MBD. This disease concept of CKD–MBD is based on a prior KDIGO consensus conference. Tests considered are those that relate to the detection and monitoring of laboratory, bone, and cardiovascular abnormalities. Treatments considered are interventions to treat hyperphosphatemia, hyperparathyroidism, and bone disease in patients with CKD stages 3–5D and 1–5T. The guideline development process followed an evidence based approach and treatment recommendations are based on systematic reviews of relevant treatment trials. Recommendations for testing used evidence based on diagnostic accuracy or risk prediction and linked it indirectly with how this would be expected to achieve better outcomes for patients through better detection, evaluation or treatment of disease. Critical appraisal of the quality of the evidence and the strength of recommendations followed the GRADE approach. An ungraded statement was provided when a question did not lend itself to systematic literature review. Limitations of the evidence, especially the lack of definitive clinical outcome trials, are discussed and suggestions are provided for future research.","author":[{"dropping-particle":"","family":"Willis","given":"Kerry","non-dropping-particle":"","parse-names":false,"suffix":""},{"dropping-particle":"","family":"Cheung","given":"Michael","non-dropping-particle":"","parse-names":false,"suffix":""},{"dropping-particle":"","family":"Slifer","given":"Sean","non-dropping-particle":"","parse-names":false,"suffix":""}],"container-title":"Kidney International Supplements","id":"ITEM-1","issue":"1","issued":{"date-parts":[["2013"]]},"title":"KDIGO 2012 Clinical Practice Guideline for Evaluation &amp; Management of CKD","type":"article-journal","volume":"3"},"uris":["http://www.mendeley.com/documents/?uuid=43cc687f-3799-4c9f-b471-a12c8723f329","http://www.mendeley.com/documents/?uuid=f699f4e9-3a2a-4b15-b518-ec7ea74e1c96"]}],"mendeley":{"formattedCitation":"[5]","plainTextFormattedCitation":"[5]","previouslyFormattedCitation":"(Willis et al., 2013)"},"properties":{"noteIndex":0},"schema":"https://github.com/citation-style-language/schema/raw/master/csl-citation.json"}</w:instrText>
      </w:r>
      <w:r w:rsidRPr="002D7B89">
        <w:fldChar w:fldCharType="separate"/>
      </w:r>
      <w:r w:rsidRPr="00E057F2">
        <w:rPr>
          <w:noProof/>
        </w:rPr>
        <w:t>[5]</w:t>
      </w:r>
      <w:r w:rsidRPr="002D7B89">
        <w:fldChar w:fldCharType="end"/>
      </w:r>
      <w:r w:rsidRPr="002D7B89">
        <w:t xml:space="preserve">. </w:t>
      </w:r>
    </w:p>
    <w:p w14:paraId="1CD37519" w14:textId="77777777" w:rsidR="00E057F2" w:rsidRPr="00E057F2" w:rsidRDefault="00E057F2" w:rsidP="00E057F2">
      <w:pPr>
        <w:pStyle w:val="Ttulo4"/>
        <w:rPr>
          <w:lang w:val="en-US"/>
        </w:rPr>
      </w:pPr>
      <w:r w:rsidRPr="00E057F2">
        <w:rPr>
          <w:lang w:val="en-US"/>
        </w:rPr>
        <w:t>Kidney damage</w:t>
      </w:r>
    </w:p>
    <w:p w14:paraId="773FF79A" w14:textId="77777777" w:rsidR="00E057F2" w:rsidRPr="002D7B89" w:rsidRDefault="00E057F2" w:rsidP="00E057F2">
      <w:r w:rsidRPr="002D7B89">
        <w:t xml:space="preserve">Kidney damage was defined by the presence of any pathology, </w:t>
      </w:r>
      <w:proofErr w:type="gramStart"/>
      <w:r w:rsidRPr="002D7B89">
        <w:t>condition</w:t>
      </w:r>
      <w:proofErr w:type="gramEnd"/>
      <w:r w:rsidRPr="002D7B89">
        <w:t xml:space="preserve"> or medication indicative of </w:t>
      </w:r>
      <w:r>
        <w:t>kidney</w:t>
      </w:r>
      <w:r w:rsidRPr="002D7B89">
        <w:t xml:space="preserve"> injury, according to the information provided in the variables non-cancer illness (Data field #20002), participants operations (Data field #20004) and medication (Data field #20003).</w:t>
      </w:r>
    </w:p>
    <w:p w14:paraId="6C0ABFA3" w14:textId="77777777" w:rsidR="00E057F2" w:rsidRPr="00E057F2" w:rsidRDefault="00E057F2" w:rsidP="00E057F2">
      <w:pPr>
        <w:pStyle w:val="Ttulo4"/>
        <w:rPr>
          <w:lang w:val="en-US"/>
        </w:rPr>
      </w:pPr>
      <w:r w:rsidRPr="00E057F2">
        <w:rPr>
          <w:lang w:val="en-US"/>
        </w:rPr>
        <w:t>Hypertension</w:t>
      </w:r>
    </w:p>
    <w:p w14:paraId="7366B13F" w14:textId="77777777" w:rsidR="00E057F2" w:rsidRPr="00E057F2" w:rsidRDefault="00E057F2" w:rsidP="00E057F2">
      <w:pPr>
        <w:pStyle w:val="Ttulo5"/>
        <w:rPr>
          <w:lang w:val="en-US"/>
        </w:rPr>
      </w:pPr>
      <w:proofErr w:type="spellStart"/>
      <w:r w:rsidRPr="00E057F2">
        <w:rPr>
          <w:lang w:val="en-US"/>
        </w:rPr>
        <w:t>UKB</w:t>
      </w:r>
      <w:proofErr w:type="spellEnd"/>
    </w:p>
    <w:p w14:paraId="45AAA06B" w14:textId="77777777" w:rsidR="00E057F2" w:rsidRPr="002D7B89" w:rsidRDefault="00E057F2" w:rsidP="00E057F2">
      <w:r w:rsidRPr="002D7B89">
        <w:t>Participants were considered with hypertension when systolic blood pressure (SBP) &gt; 130 mmHg or diastolic blood pressure (</w:t>
      </w:r>
      <w:proofErr w:type="spellStart"/>
      <w:r w:rsidRPr="002D7B89">
        <w:t>DBP</w:t>
      </w:r>
      <w:proofErr w:type="spellEnd"/>
      <w:r w:rsidRPr="002D7B89">
        <w:t xml:space="preserve">) &gt; 80 mmHg; individuals with medication or conditions related to hypertension were also considered. SBP and </w:t>
      </w:r>
      <w:proofErr w:type="spellStart"/>
      <w:r w:rsidRPr="002D7B89">
        <w:t>DBP</w:t>
      </w:r>
      <w:proofErr w:type="spellEnd"/>
      <w:r w:rsidRPr="002D7B89">
        <w:t xml:space="preserve"> were calculated by the average of automatic measures (Data fields #4080 and #4079) or manual measures (Data fields #93 and #94) in its absence. Individuals with blood pressure medication (Data field #6153 and #6177) or other related medications (Data field #20003), non-cancer illness (Data field #20002) and participants operations (Data field #20004) were considered to define hypertension. Details can be found in </w:t>
      </w:r>
      <w:r w:rsidRPr="002D7B89">
        <w:fldChar w:fldCharType="begin"/>
      </w:r>
      <w:r w:rsidRPr="002D7B89">
        <w:instrText xml:space="preserve"> REF _Ref16506491 \h  \* MERGEFORMAT </w:instrText>
      </w:r>
      <w:r w:rsidRPr="002D7B89">
        <w:fldChar w:fldCharType="separate"/>
      </w:r>
      <w:r w:rsidRPr="002D7B89">
        <w:rPr>
          <w:color w:val="000000" w:themeColor="text1"/>
        </w:rPr>
        <w:t>Supplementary</w:t>
      </w:r>
      <w:r w:rsidRPr="002D7B89">
        <w:rPr>
          <w:color w:val="000000" w:themeColor="text1"/>
          <w:szCs w:val="24"/>
        </w:rPr>
        <w:t xml:space="preserve"> Table </w:t>
      </w:r>
      <w:r w:rsidRPr="002D7B89">
        <w:rPr>
          <w:noProof/>
          <w:color w:val="000000" w:themeColor="text1"/>
          <w:szCs w:val="24"/>
        </w:rPr>
        <w:t>4</w:t>
      </w:r>
      <w:r w:rsidRPr="002D7B89">
        <w:fldChar w:fldCharType="end"/>
      </w:r>
      <w:r w:rsidRPr="002D7B89">
        <w:t>. Participants were considered to have treated hypertension if they had any record of anti-hypertensive drugs falling in the categories: angiotensin-converting enzyme inhibitors (</w:t>
      </w:r>
      <w:proofErr w:type="spellStart"/>
      <w:r w:rsidRPr="002D7B89">
        <w:t>ACEi</w:t>
      </w:r>
      <w:proofErr w:type="spellEnd"/>
      <w:r w:rsidRPr="002D7B89">
        <w:t>), angiotensin II receptor blockers (</w:t>
      </w:r>
      <w:proofErr w:type="spellStart"/>
      <w:r w:rsidRPr="002D7B89">
        <w:t>ARBs</w:t>
      </w:r>
      <w:proofErr w:type="spellEnd"/>
      <w:r w:rsidRPr="002D7B89">
        <w:t xml:space="preserve">), diuretics, calcium channel blockers, beta blockers, alpha </w:t>
      </w:r>
      <w:proofErr w:type="gramStart"/>
      <w:r w:rsidRPr="002D7B89">
        <w:t>blockers</w:t>
      </w:r>
      <w:proofErr w:type="gramEnd"/>
      <w:r w:rsidRPr="002D7B89">
        <w:t xml:space="preserve"> and combination drugs from these categories, identified in </w:t>
      </w:r>
      <w:proofErr w:type="spellStart"/>
      <w:r w:rsidRPr="002D7B89">
        <w:t>UKB</w:t>
      </w:r>
      <w:proofErr w:type="spellEnd"/>
      <w:r w:rsidRPr="002D7B89">
        <w:t xml:space="preserve"> Data field #20003 (Treatment/medication code). Anti-platelet drugs, anticoagulants, anti-angina medications, anti-arrhythmic agents, statins and medicines for erectile dysfunction or prostate enlargement (which have hypotensive actions) were excluded, since they are not being used directly for management for hypertension. Participants were also considered under anti-hypertensive medication if they had the category “Blood pressure medication” in Data Fields #6177 (Medication for cholesterol, blood pressure or diabetes) or #6153 (Medication for cholesterol, blood pressure, diabetes, or take exogenous hormones</w:t>
      </w:r>
      <w:r w:rsidRPr="00967CC9">
        <w:t>).</w:t>
      </w:r>
      <w:r w:rsidRPr="00967CC9">
        <w:rPr>
          <w:color w:val="000000" w:themeColor="text1"/>
        </w:rPr>
        <w:t xml:space="preserve"> Full list of medications used in the analyses is available on request to the corresponding author.</w:t>
      </w:r>
    </w:p>
    <w:p w14:paraId="3DD8FD51" w14:textId="77777777" w:rsidR="00E057F2" w:rsidRPr="00E057F2" w:rsidRDefault="00E057F2" w:rsidP="00E057F2">
      <w:pPr>
        <w:pStyle w:val="Ttulo5"/>
        <w:rPr>
          <w:lang w:val="en-US"/>
        </w:rPr>
      </w:pPr>
      <w:r w:rsidRPr="00E057F2">
        <w:rPr>
          <w:lang w:val="en-US"/>
        </w:rPr>
        <w:t>UK-ROI Collection</w:t>
      </w:r>
    </w:p>
    <w:p w14:paraId="487ADB1A" w14:textId="77777777" w:rsidR="00E057F2" w:rsidRPr="002D7B89" w:rsidRDefault="00E057F2" w:rsidP="00E057F2">
      <w:r w:rsidRPr="002D7B89">
        <w:t xml:space="preserve">Participants were considered with hypertension when SBP &gt; 135 mmHg or </w:t>
      </w:r>
      <w:proofErr w:type="spellStart"/>
      <w:r w:rsidRPr="002D7B89">
        <w:t>DBP</w:t>
      </w:r>
      <w:proofErr w:type="spellEnd"/>
      <w:r w:rsidRPr="002D7B89">
        <w:t xml:space="preserve"> &gt; 85 mmHg and/or treatment with antihypertensive medication.</w:t>
      </w:r>
    </w:p>
    <w:p w14:paraId="2C3443A5" w14:textId="77777777" w:rsidR="00E057F2" w:rsidRPr="002D7B89" w:rsidRDefault="00E057F2" w:rsidP="00E057F2">
      <w:pPr>
        <w:pStyle w:val="Ttulo4"/>
      </w:pPr>
      <w:r w:rsidRPr="002D7B89">
        <w:t>Diabetes</w:t>
      </w:r>
    </w:p>
    <w:p w14:paraId="6C13EA8E" w14:textId="77777777" w:rsidR="00E057F2" w:rsidRPr="002D7B89" w:rsidRDefault="00E057F2" w:rsidP="00E057F2">
      <w:pPr>
        <w:pStyle w:val="Ttulo5"/>
      </w:pPr>
      <w:proofErr w:type="spellStart"/>
      <w:r w:rsidRPr="002D7B89">
        <w:t>UKB</w:t>
      </w:r>
      <w:proofErr w:type="spellEnd"/>
    </w:p>
    <w:p w14:paraId="531A2CB7" w14:textId="77777777" w:rsidR="00E057F2" w:rsidRPr="002D7B89" w:rsidRDefault="00E057F2" w:rsidP="00E057F2">
      <w:r w:rsidRPr="002D7B89">
        <w:t>Participants were considered to have diabetes (either type 1 or 2) if their glycated haemoglobin A1c ≥ 48 mmol/mol (Data Field #30750) or had blood glucose ≥ 7 mmol/L after fasting for &gt; 8 hours (Data Fields #30740, Glucose, and #74, Fasting time); individuals whose diabetes was diagnosed by a doctor (Data field #2443) were also included in the analysis. Other medications (Data field #20003), non-cancer illness (Data field #20002) and participants operations (Data field #20004) were also considered to define diabetes. Details can be found in</w:t>
      </w:r>
      <w:r w:rsidRPr="002D7B89">
        <w:rPr>
          <w:szCs w:val="24"/>
        </w:rPr>
        <w:t xml:space="preserve"> </w:t>
      </w:r>
      <w:r w:rsidRPr="002D7B89">
        <w:rPr>
          <w:szCs w:val="24"/>
        </w:rPr>
        <w:fldChar w:fldCharType="begin"/>
      </w:r>
      <w:r w:rsidRPr="002D7B89">
        <w:rPr>
          <w:szCs w:val="24"/>
        </w:rPr>
        <w:instrText xml:space="preserve"> REF _Ref16506491 \h  \* MERGEFORMAT </w:instrText>
      </w:r>
      <w:r w:rsidRPr="002D7B89">
        <w:rPr>
          <w:szCs w:val="24"/>
        </w:rPr>
      </w:r>
      <w:r w:rsidRPr="002D7B89">
        <w:rPr>
          <w:szCs w:val="24"/>
        </w:rPr>
        <w:fldChar w:fldCharType="separate"/>
      </w:r>
      <w:r w:rsidRPr="00023A75">
        <w:rPr>
          <w:color w:val="000000" w:themeColor="text1"/>
          <w:szCs w:val="24"/>
        </w:rPr>
        <w:t xml:space="preserve">Supplementary Table </w:t>
      </w:r>
      <w:r w:rsidRPr="002D7B89">
        <w:rPr>
          <w:szCs w:val="24"/>
        </w:rPr>
        <w:fldChar w:fldCharType="end"/>
      </w:r>
      <w:r w:rsidRPr="002D7B89">
        <w:rPr>
          <w:szCs w:val="24"/>
        </w:rPr>
        <w:t>.</w:t>
      </w:r>
    </w:p>
    <w:p w14:paraId="2E324E4F" w14:textId="77777777" w:rsidR="00E057F2" w:rsidRPr="00E057F2" w:rsidRDefault="00E057F2" w:rsidP="00E057F2">
      <w:pPr>
        <w:pStyle w:val="Ttulo4"/>
        <w:rPr>
          <w:i w:val="0"/>
          <w:iCs w:val="0"/>
          <w:lang w:val="en-US"/>
        </w:rPr>
      </w:pPr>
      <w:r w:rsidRPr="00E057F2">
        <w:rPr>
          <w:lang w:val="en-US"/>
        </w:rPr>
        <w:lastRenderedPageBreak/>
        <w:t>Smoking Habit</w:t>
      </w:r>
    </w:p>
    <w:p w14:paraId="5AF300C4" w14:textId="77777777" w:rsidR="00E057F2" w:rsidRPr="00E057F2" w:rsidRDefault="00E057F2" w:rsidP="00E057F2">
      <w:pPr>
        <w:pStyle w:val="Ttulo5"/>
        <w:rPr>
          <w:lang w:val="en-US"/>
        </w:rPr>
      </w:pPr>
      <w:proofErr w:type="spellStart"/>
      <w:r w:rsidRPr="00E057F2">
        <w:rPr>
          <w:lang w:val="en-US"/>
        </w:rPr>
        <w:t>UKB</w:t>
      </w:r>
      <w:proofErr w:type="spellEnd"/>
    </w:p>
    <w:p w14:paraId="1B3DDD7D" w14:textId="57D20CAE" w:rsidR="00FB433A" w:rsidRDefault="00E057F2">
      <w:r w:rsidRPr="002D7B89">
        <w:rPr>
          <w:color w:val="000000" w:themeColor="text1"/>
        </w:rPr>
        <w:t>Participants were classified as ever had smoked vs never (Data field #20116, never vs previous or current).</w:t>
      </w:r>
    </w:p>
    <w:p w14:paraId="3E303AF8" w14:textId="58768061" w:rsidR="00E057F2" w:rsidRDefault="00E057F2" w:rsidP="00E057F2">
      <w:pPr>
        <w:pStyle w:val="Ttulo1"/>
      </w:pPr>
      <w:r>
        <w:t>References</w:t>
      </w:r>
    </w:p>
    <w:p w14:paraId="6C298CFF" w14:textId="2835FF79" w:rsidR="00E057F2" w:rsidRPr="00E057F2" w:rsidRDefault="00E057F2" w:rsidP="00E057F2">
      <w:pPr>
        <w:widowControl w:val="0"/>
        <w:autoSpaceDE w:val="0"/>
        <w:autoSpaceDN w:val="0"/>
        <w:adjustRightInd w:val="0"/>
        <w:spacing w:line="240" w:lineRule="auto"/>
        <w:rPr>
          <w:rFonts w:ascii="Aptos" w:hAnsi="Aptos" w:cs="Times New Roman"/>
          <w:noProof/>
        </w:rPr>
      </w:pPr>
      <w:r>
        <w:fldChar w:fldCharType="begin" w:fldLock="1"/>
      </w:r>
      <w:r>
        <w:instrText xml:space="preserve">ADDIN Mendeley Bibliography CSL_BIBLIOGRAPHY </w:instrText>
      </w:r>
      <w:r>
        <w:fldChar w:fldCharType="separate"/>
      </w:r>
      <w:r w:rsidRPr="00E057F2">
        <w:rPr>
          <w:rFonts w:ascii="Aptos" w:hAnsi="Aptos" w:cs="Times New Roman"/>
          <w:noProof/>
        </w:rPr>
        <w:t>1. Bycroft C, Freeman C, Petkova D, Band G, Elliott LT, Sharp K, et al. The UK Biobank resource with deep phenotyping and genomic data. Nature. 2018;562:203–9.</w:t>
      </w:r>
    </w:p>
    <w:p w14:paraId="1112F791" w14:textId="77777777" w:rsidR="00E057F2" w:rsidRPr="00E057F2" w:rsidRDefault="00E057F2" w:rsidP="00E057F2">
      <w:pPr>
        <w:widowControl w:val="0"/>
        <w:autoSpaceDE w:val="0"/>
        <w:autoSpaceDN w:val="0"/>
        <w:adjustRightInd w:val="0"/>
        <w:spacing w:line="240" w:lineRule="auto"/>
        <w:rPr>
          <w:rFonts w:ascii="Aptos" w:hAnsi="Aptos" w:cs="Times New Roman"/>
          <w:noProof/>
        </w:rPr>
      </w:pPr>
      <w:r w:rsidRPr="00E057F2">
        <w:rPr>
          <w:rFonts w:ascii="Aptos" w:hAnsi="Aptos" w:cs="Times New Roman"/>
          <w:noProof/>
        </w:rPr>
        <w:t>2. Sudlow C, Gallacher J, Allen N, Beral V, Burton P, Danesh J, et al. UK biobank: an open access resource for identifying the causes of a wide range of complex diseases of middle and old age. PLoS Med. 2015;12:e1001779.</w:t>
      </w:r>
    </w:p>
    <w:p w14:paraId="1FB042EE" w14:textId="77777777" w:rsidR="00E057F2" w:rsidRPr="00E057F2" w:rsidRDefault="00E057F2" w:rsidP="00E057F2">
      <w:pPr>
        <w:widowControl w:val="0"/>
        <w:autoSpaceDE w:val="0"/>
        <w:autoSpaceDN w:val="0"/>
        <w:adjustRightInd w:val="0"/>
        <w:spacing w:line="240" w:lineRule="auto"/>
        <w:rPr>
          <w:rFonts w:ascii="Aptos" w:hAnsi="Aptos" w:cs="Times New Roman"/>
          <w:noProof/>
        </w:rPr>
      </w:pPr>
      <w:r w:rsidRPr="00E057F2">
        <w:rPr>
          <w:rFonts w:ascii="Aptos" w:hAnsi="Aptos" w:cs="Times New Roman"/>
          <w:noProof/>
        </w:rPr>
        <w:t>3. McKnight AJ, Patterson CC, Pettigrew KA, Savage DA, Kilner J, Murphy M, et al. A GREM1 gene variant associates with diabetic nephropathy. J Am Soc Nephrol. 2010;21:773–81.</w:t>
      </w:r>
    </w:p>
    <w:p w14:paraId="4804625A" w14:textId="77777777" w:rsidR="00E057F2" w:rsidRPr="00E057F2" w:rsidRDefault="00E057F2" w:rsidP="00E057F2">
      <w:pPr>
        <w:widowControl w:val="0"/>
        <w:autoSpaceDE w:val="0"/>
        <w:autoSpaceDN w:val="0"/>
        <w:adjustRightInd w:val="0"/>
        <w:spacing w:line="240" w:lineRule="auto"/>
        <w:rPr>
          <w:rFonts w:ascii="Aptos" w:hAnsi="Aptos" w:cs="Times New Roman"/>
          <w:noProof/>
        </w:rPr>
      </w:pPr>
      <w:r w:rsidRPr="00E057F2">
        <w:rPr>
          <w:rFonts w:ascii="Aptos" w:hAnsi="Aptos" w:cs="Times New Roman"/>
          <w:noProof/>
        </w:rPr>
        <w:t>4. DbGAP. GEnetics of Nephropathy - an International Effort (GENIE) GWAS of Diabetic Nephropathy in the UK GoKinD and All-Ireland Cohorts. dbGaP Study Accession: phs000389.v1.p1. 2011.</w:t>
      </w:r>
    </w:p>
    <w:p w14:paraId="6B3DF1E1" w14:textId="77777777" w:rsidR="00E057F2" w:rsidRPr="00E057F2" w:rsidRDefault="00E057F2" w:rsidP="00E057F2">
      <w:pPr>
        <w:widowControl w:val="0"/>
        <w:autoSpaceDE w:val="0"/>
        <w:autoSpaceDN w:val="0"/>
        <w:adjustRightInd w:val="0"/>
        <w:spacing w:line="240" w:lineRule="auto"/>
        <w:rPr>
          <w:rFonts w:ascii="Aptos" w:hAnsi="Aptos"/>
          <w:noProof/>
        </w:rPr>
      </w:pPr>
      <w:r w:rsidRPr="00E057F2">
        <w:rPr>
          <w:rFonts w:ascii="Aptos" w:hAnsi="Aptos" w:cs="Times New Roman"/>
          <w:noProof/>
        </w:rPr>
        <w:t>5. Willis K, Cheung M, Slifer S. KDIGO 2012 Clinical Practice Guideline for Evaluation &amp; Management of CKD. Kidney Int Suppl. 2013;3.</w:t>
      </w:r>
    </w:p>
    <w:p w14:paraId="753C9393" w14:textId="2B57FA4E" w:rsidR="00E057F2" w:rsidRDefault="00E057F2">
      <w:r>
        <w:fldChar w:fldCharType="end"/>
      </w:r>
    </w:p>
    <w:sectPr w:rsidR="00E057F2" w:rsidSect="00E05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7F2"/>
    <w:rsid w:val="007215C0"/>
    <w:rsid w:val="00946BF3"/>
    <w:rsid w:val="009A110F"/>
    <w:rsid w:val="009A514E"/>
    <w:rsid w:val="00BD2A0B"/>
    <w:rsid w:val="00E057F2"/>
    <w:rsid w:val="00FB43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409C2"/>
  <w15:chartTrackingRefBased/>
  <w15:docId w15:val="{AD942991-D142-495C-B399-6F7864E5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7F2"/>
    <w:pPr>
      <w:spacing w:after="120" w:line="264" w:lineRule="auto"/>
      <w:jc w:val="both"/>
    </w:pPr>
    <w:rPr>
      <w:rFonts w:eastAsiaTheme="minorEastAsia"/>
      <w:kern w:val="0"/>
      <w:szCs w:val="21"/>
      <w:lang w:val="en-GB"/>
      <w14:ligatures w14:val="none"/>
    </w:rPr>
  </w:style>
  <w:style w:type="paragraph" w:styleId="Ttulo1">
    <w:name w:val="heading 1"/>
    <w:basedOn w:val="Normal"/>
    <w:next w:val="Normal"/>
    <w:link w:val="Ttulo1Car"/>
    <w:uiPriority w:val="9"/>
    <w:qFormat/>
    <w:rsid w:val="00E057F2"/>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ar"/>
    <w:uiPriority w:val="9"/>
    <w:unhideWhenUsed/>
    <w:qFormat/>
    <w:rsid w:val="00E057F2"/>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ar"/>
    <w:uiPriority w:val="9"/>
    <w:unhideWhenUsed/>
    <w:qFormat/>
    <w:rsid w:val="00E057F2"/>
    <w:pPr>
      <w:keepNext/>
      <w:keepLines/>
      <w:spacing w:before="160" w:after="80" w:line="259" w:lineRule="auto"/>
      <w:jc w:val="left"/>
      <w:outlineLvl w:val="2"/>
    </w:pPr>
    <w:rPr>
      <w:rFonts w:eastAsiaTheme="majorEastAsia"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ar"/>
    <w:uiPriority w:val="9"/>
    <w:unhideWhenUsed/>
    <w:qFormat/>
    <w:rsid w:val="00E057F2"/>
    <w:pPr>
      <w:keepNext/>
      <w:keepLines/>
      <w:spacing w:before="80" w:after="40" w:line="259" w:lineRule="auto"/>
      <w:jc w:val="left"/>
      <w:outlineLvl w:val="3"/>
    </w:pPr>
    <w:rPr>
      <w:rFonts w:eastAsiaTheme="majorEastAsia" w:cstheme="majorBidi"/>
      <w:i/>
      <w:iCs/>
      <w:color w:val="0F4761" w:themeColor="accent1" w:themeShade="BF"/>
      <w:kern w:val="2"/>
      <w:szCs w:val="22"/>
      <w:lang w:val="es-ES"/>
      <w14:ligatures w14:val="standardContextual"/>
    </w:rPr>
  </w:style>
  <w:style w:type="paragraph" w:styleId="Ttulo5">
    <w:name w:val="heading 5"/>
    <w:basedOn w:val="Normal"/>
    <w:next w:val="Normal"/>
    <w:link w:val="Ttulo5Car"/>
    <w:uiPriority w:val="9"/>
    <w:unhideWhenUsed/>
    <w:qFormat/>
    <w:rsid w:val="00E057F2"/>
    <w:pPr>
      <w:keepNext/>
      <w:keepLines/>
      <w:spacing w:before="80" w:after="40" w:line="259" w:lineRule="auto"/>
      <w:jc w:val="left"/>
      <w:outlineLvl w:val="4"/>
    </w:pPr>
    <w:rPr>
      <w:rFonts w:eastAsiaTheme="majorEastAsia" w:cstheme="majorBidi"/>
      <w:color w:val="0F4761" w:themeColor="accent1" w:themeShade="BF"/>
      <w:kern w:val="2"/>
      <w:szCs w:val="22"/>
      <w:lang w:val="es-ES"/>
      <w14:ligatures w14:val="standardContextual"/>
    </w:rPr>
  </w:style>
  <w:style w:type="paragraph" w:styleId="Ttulo6">
    <w:name w:val="heading 6"/>
    <w:basedOn w:val="Normal"/>
    <w:next w:val="Normal"/>
    <w:link w:val="Ttulo6Car"/>
    <w:uiPriority w:val="9"/>
    <w:semiHidden/>
    <w:unhideWhenUsed/>
    <w:qFormat/>
    <w:rsid w:val="00E057F2"/>
    <w:pPr>
      <w:keepNext/>
      <w:keepLines/>
      <w:spacing w:before="40" w:after="0" w:line="259" w:lineRule="auto"/>
      <w:jc w:val="left"/>
      <w:outlineLvl w:val="5"/>
    </w:pPr>
    <w:rPr>
      <w:rFonts w:eastAsiaTheme="majorEastAsia" w:cstheme="majorBidi"/>
      <w:i/>
      <w:iCs/>
      <w:color w:val="595959" w:themeColor="text1" w:themeTint="A6"/>
      <w:kern w:val="2"/>
      <w:szCs w:val="22"/>
      <w:lang w:val="es-ES"/>
      <w14:ligatures w14:val="standardContextual"/>
    </w:rPr>
  </w:style>
  <w:style w:type="paragraph" w:styleId="Ttulo7">
    <w:name w:val="heading 7"/>
    <w:basedOn w:val="Normal"/>
    <w:next w:val="Normal"/>
    <w:link w:val="Ttulo7Car"/>
    <w:uiPriority w:val="9"/>
    <w:semiHidden/>
    <w:unhideWhenUsed/>
    <w:qFormat/>
    <w:rsid w:val="00E057F2"/>
    <w:pPr>
      <w:keepNext/>
      <w:keepLines/>
      <w:spacing w:before="40" w:after="0" w:line="259" w:lineRule="auto"/>
      <w:jc w:val="left"/>
      <w:outlineLvl w:val="6"/>
    </w:pPr>
    <w:rPr>
      <w:rFonts w:eastAsiaTheme="majorEastAsia" w:cstheme="majorBidi"/>
      <w:color w:val="595959" w:themeColor="text1" w:themeTint="A6"/>
      <w:kern w:val="2"/>
      <w:szCs w:val="22"/>
      <w:lang w:val="es-ES"/>
      <w14:ligatures w14:val="standardContextual"/>
    </w:rPr>
  </w:style>
  <w:style w:type="paragraph" w:styleId="Ttulo8">
    <w:name w:val="heading 8"/>
    <w:basedOn w:val="Normal"/>
    <w:next w:val="Normal"/>
    <w:link w:val="Ttulo8Car"/>
    <w:uiPriority w:val="9"/>
    <w:semiHidden/>
    <w:unhideWhenUsed/>
    <w:qFormat/>
    <w:rsid w:val="00E057F2"/>
    <w:pPr>
      <w:keepNext/>
      <w:keepLines/>
      <w:spacing w:after="0" w:line="259" w:lineRule="auto"/>
      <w:jc w:val="left"/>
      <w:outlineLvl w:val="7"/>
    </w:pPr>
    <w:rPr>
      <w:rFonts w:eastAsiaTheme="majorEastAsia" w:cstheme="majorBidi"/>
      <w:i/>
      <w:iCs/>
      <w:color w:val="272727" w:themeColor="text1" w:themeTint="D8"/>
      <w:kern w:val="2"/>
      <w:szCs w:val="22"/>
      <w:lang w:val="es-ES"/>
      <w14:ligatures w14:val="standardContextual"/>
    </w:rPr>
  </w:style>
  <w:style w:type="paragraph" w:styleId="Ttulo9">
    <w:name w:val="heading 9"/>
    <w:basedOn w:val="Normal"/>
    <w:next w:val="Normal"/>
    <w:link w:val="Ttulo9Car"/>
    <w:uiPriority w:val="9"/>
    <w:semiHidden/>
    <w:unhideWhenUsed/>
    <w:qFormat/>
    <w:rsid w:val="00E057F2"/>
    <w:pPr>
      <w:keepNext/>
      <w:keepLines/>
      <w:spacing w:after="0" w:line="259" w:lineRule="auto"/>
      <w:jc w:val="left"/>
      <w:outlineLvl w:val="8"/>
    </w:pPr>
    <w:rPr>
      <w:rFonts w:eastAsiaTheme="majorEastAsia" w:cstheme="majorBidi"/>
      <w:color w:val="272727" w:themeColor="text1" w:themeTint="D8"/>
      <w:kern w:val="2"/>
      <w:szCs w:val="22"/>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57F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057F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E057F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E057F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E057F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057F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57F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57F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57F2"/>
    <w:rPr>
      <w:rFonts w:eastAsiaTheme="majorEastAsia" w:cstheme="majorBidi"/>
      <w:color w:val="272727" w:themeColor="text1" w:themeTint="D8"/>
    </w:rPr>
  </w:style>
  <w:style w:type="paragraph" w:styleId="Ttulo">
    <w:name w:val="Title"/>
    <w:basedOn w:val="Normal"/>
    <w:next w:val="Normal"/>
    <w:link w:val="TtuloCar"/>
    <w:uiPriority w:val="10"/>
    <w:qFormat/>
    <w:rsid w:val="00E057F2"/>
    <w:pPr>
      <w:spacing w:after="80" w:line="240" w:lineRule="auto"/>
      <w:contextualSpacing/>
      <w:jc w:val="left"/>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E057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57F2"/>
    <w:pPr>
      <w:numPr>
        <w:ilvl w:val="1"/>
      </w:numPr>
      <w:spacing w:after="160" w:line="259" w:lineRule="auto"/>
      <w:jc w:val="left"/>
    </w:pPr>
    <w:rPr>
      <w:rFonts w:eastAsiaTheme="majorEastAsia"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E057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57F2"/>
    <w:pPr>
      <w:spacing w:before="160" w:after="160" w:line="259" w:lineRule="auto"/>
      <w:jc w:val="center"/>
    </w:pPr>
    <w:rPr>
      <w:rFonts w:eastAsiaTheme="minorHAnsi"/>
      <w:i/>
      <w:iCs/>
      <w:color w:val="404040" w:themeColor="text1" w:themeTint="BF"/>
      <w:kern w:val="2"/>
      <w:szCs w:val="22"/>
      <w:lang w:val="es-ES"/>
      <w14:ligatures w14:val="standardContextual"/>
    </w:rPr>
  </w:style>
  <w:style w:type="character" w:customStyle="1" w:styleId="CitaCar">
    <w:name w:val="Cita Car"/>
    <w:basedOn w:val="Fuentedeprrafopredeter"/>
    <w:link w:val="Cita"/>
    <w:uiPriority w:val="29"/>
    <w:rsid w:val="00E057F2"/>
    <w:rPr>
      <w:i/>
      <w:iCs/>
      <w:color w:val="404040" w:themeColor="text1" w:themeTint="BF"/>
    </w:rPr>
  </w:style>
  <w:style w:type="paragraph" w:styleId="Prrafodelista">
    <w:name w:val="List Paragraph"/>
    <w:basedOn w:val="Normal"/>
    <w:uiPriority w:val="34"/>
    <w:qFormat/>
    <w:rsid w:val="00E057F2"/>
    <w:pPr>
      <w:spacing w:after="160" w:line="259" w:lineRule="auto"/>
      <w:ind w:left="720"/>
      <w:contextualSpacing/>
      <w:jc w:val="left"/>
    </w:pPr>
    <w:rPr>
      <w:rFonts w:eastAsiaTheme="minorHAnsi"/>
      <w:kern w:val="2"/>
      <w:szCs w:val="22"/>
      <w:lang w:val="es-ES"/>
      <w14:ligatures w14:val="standardContextual"/>
    </w:rPr>
  </w:style>
  <w:style w:type="character" w:styleId="nfasisintenso">
    <w:name w:val="Intense Emphasis"/>
    <w:basedOn w:val="Fuentedeprrafopredeter"/>
    <w:uiPriority w:val="21"/>
    <w:qFormat/>
    <w:rsid w:val="00E057F2"/>
    <w:rPr>
      <w:i/>
      <w:iCs/>
      <w:color w:val="0F4761" w:themeColor="accent1" w:themeShade="BF"/>
    </w:rPr>
  </w:style>
  <w:style w:type="paragraph" w:styleId="Citadestacada">
    <w:name w:val="Intense Quote"/>
    <w:basedOn w:val="Normal"/>
    <w:next w:val="Normal"/>
    <w:link w:val="CitadestacadaCar"/>
    <w:uiPriority w:val="30"/>
    <w:qFormat/>
    <w:rsid w:val="00E057F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Cs w:val="22"/>
      <w:lang w:val="es-ES"/>
      <w14:ligatures w14:val="standardContextual"/>
    </w:rPr>
  </w:style>
  <w:style w:type="character" w:customStyle="1" w:styleId="CitadestacadaCar">
    <w:name w:val="Cita destacada Car"/>
    <w:basedOn w:val="Fuentedeprrafopredeter"/>
    <w:link w:val="Citadestacada"/>
    <w:uiPriority w:val="30"/>
    <w:rsid w:val="00E057F2"/>
    <w:rPr>
      <w:i/>
      <w:iCs/>
      <w:color w:val="0F4761" w:themeColor="accent1" w:themeShade="BF"/>
    </w:rPr>
  </w:style>
  <w:style w:type="character" w:styleId="Referenciaintensa">
    <w:name w:val="Intense Reference"/>
    <w:basedOn w:val="Fuentedeprrafopredeter"/>
    <w:uiPriority w:val="32"/>
    <w:qFormat/>
    <w:rsid w:val="00E057F2"/>
    <w:rPr>
      <w:b/>
      <w:bCs/>
      <w:smallCaps/>
      <w:color w:val="0F4761" w:themeColor="accent1" w:themeShade="BF"/>
      <w:spacing w:val="5"/>
    </w:rPr>
  </w:style>
  <w:style w:type="paragraph" w:styleId="Descripcin">
    <w:name w:val="caption"/>
    <w:basedOn w:val="Normal"/>
    <w:next w:val="Normal"/>
    <w:uiPriority w:val="35"/>
    <w:unhideWhenUsed/>
    <w:qFormat/>
    <w:rsid w:val="00E057F2"/>
    <w:pPr>
      <w:spacing w:line="240" w:lineRule="auto"/>
    </w:pPr>
    <w:rPr>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86102-6A7C-45D7-B40C-5ACF9D95E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4859</Words>
  <Characters>26729</Characters>
  <Application>Microsoft Office Word</Application>
  <DocSecurity>0</DocSecurity>
  <Lines>222</Lines>
  <Paragraphs>63</Paragraphs>
  <ScaleCrop>false</ScaleCrop>
  <Company/>
  <LinksUpToDate>false</LinksUpToDate>
  <CharactersWithSpaces>31525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dc:creator>
  <cp:keywords/>
  <dc:description/>
  <cp:lastModifiedBy>Marisa</cp:lastModifiedBy>
  <cp:revision>1</cp:revision>
  <dcterms:created xsi:type="dcterms:W3CDTF">2024-05-18T12:25:00Z</dcterms:created>
  <dcterms:modified xsi:type="dcterms:W3CDTF">2024-05-18T12:27:00Z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http://www.zotero.org/styles/american-journal-of-nephrology</vt:lpwstr>
  </property>
  <property fmtid="{D5CDD505-2E9C-101B-9397-08002B2CF9AE}" pid="3" name="Mendeley Recent Style Name 0_1">
    <vt:lpwstr>American Journal of Nephrology</vt:lpwstr>
  </property>
  <property fmtid="{D5CDD505-2E9C-101B-9397-08002B2CF9AE}" pid="4" name="Mendeley Recent Style Id 1_1">
    <vt:lpwstr>http://www.zotero.org/styles/bmc-genomics</vt:lpwstr>
  </property>
  <property fmtid="{D5CDD505-2E9C-101B-9397-08002B2CF9AE}" pid="5" name="Mendeley Recent Style Name 1_1">
    <vt:lpwstr>BMC Genomics</vt:lpwstr>
  </property>
  <property fmtid="{D5CDD505-2E9C-101B-9397-08002B2CF9AE}" pid="6" name="Mendeley Recent Style Id 2_1">
    <vt:lpwstr>http://www.zotero.org/styles/biomarker-research</vt:lpwstr>
  </property>
  <property fmtid="{D5CDD505-2E9C-101B-9397-08002B2CF9AE}" pid="7" name="Mendeley Recent Style Name 2_1">
    <vt:lpwstr>Biomarker Research</vt:lpwstr>
  </property>
  <property fmtid="{D5CDD505-2E9C-101B-9397-08002B2CF9AE}" pid="8" name="Mendeley Recent Style Id 3_1">
    <vt:lpwstr>http://www.zotero.org/styles/cardiovascular-research</vt:lpwstr>
  </property>
  <property fmtid="{D5CDD505-2E9C-101B-9397-08002B2CF9AE}" pid="9" name="Mendeley Recent Style Name 3_1">
    <vt:lpwstr>Cardiovascular Research</vt:lpwstr>
  </property>
  <property fmtid="{D5CDD505-2E9C-101B-9397-08002B2CF9AE}" pid="10" name="Mendeley Recent Style Id 4_1">
    <vt:lpwstr>http://www.zotero.org/styles/frontiers-in-physiology</vt:lpwstr>
  </property>
  <property fmtid="{D5CDD505-2E9C-101B-9397-08002B2CF9AE}" pid="11" name="Mendeley Recent Style Name 4_1">
    <vt:lpwstr>Frontiers in Physiology</vt:lpwstr>
  </property>
  <property fmtid="{D5CDD505-2E9C-101B-9397-08002B2CF9AE}" pid="12" name="Mendeley Recent Style Id 5_1">
    <vt:lpwstr>http://www.zotero.org/styles/international-journal-of-molecular-sciences</vt:lpwstr>
  </property>
  <property fmtid="{D5CDD505-2E9C-101B-9397-08002B2CF9AE}" pid="13" name="Mendeley Recent Style Name 5_1">
    <vt:lpwstr>International Journal of Molecular Sciences</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http://csl.mendeley.com/styles/5136501/natureMCG</vt:lpwstr>
  </property>
  <property fmtid="{D5CDD505-2E9C-101B-9397-08002B2CF9AE}" pid="17" name="Mendeley Recent Style Name 7_1">
    <vt:lpwstr>Nature - Marisa Cañadas Garre</vt:lpwstr>
  </property>
  <property fmtid="{D5CDD505-2E9C-101B-9397-08002B2CF9AE}" pid="18" name="Mendeley Recent Style Id 8_1">
    <vt:lpwstr>http://www.zotero.org/styles/plos-genetics</vt:lpwstr>
  </property>
  <property fmtid="{D5CDD505-2E9C-101B-9397-08002B2CF9AE}" pid="19" name="Mendeley Recent Style Name 8_1">
    <vt:lpwstr>PLOS Genetics</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03bb1fe5-8c60-301f-9bde-db98cfc84733</vt:lpwstr>
  </property>
  <property fmtid="{D5CDD505-2E9C-101B-9397-08002B2CF9AE}" pid="24" name="Mendeley Citation Style_1">
    <vt:lpwstr>http://www.zotero.org/styles/bmc-genomics</vt:lpwstr>
  </property>
</Properties>
</file>