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5582F" w14:textId="7DCFB793" w:rsidR="00436015" w:rsidRDefault="00436015" w:rsidP="00436015">
      <w:pPr>
        <w:pStyle w:val="Heading1"/>
        <w:ind w:firstLine="0"/>
      </w:pPr>
      <w:r>
        <w:t>Additional File 1</w:t>
      </w:r>
    </w:p>
    <w:p w14:paraId="34C20500" w14:textId="46B9F331" w:rsidR="00E76271" w:rsidRDefault="00E76271">
      <w:pPr>
        <w:spacing w:after="160" w:line="259" w:lineRule="auto"/>
        <w:ind w:firstLine="0"/>
        <w:jc w:val="left"/>
      </w:pPr>
      <w:r>
        <w:rPr>
          <w:noProof/>
        </w:rPr>
        <w:drawing>
          <wp:inline distT="0" distB="0" distL="0" distR="0" wp14:anchorId="32BEDD28" wp14:editId="542A84AE">
            <wp:extent cx="5688000" cy="2439340"/>
            <wp:effectExtent l="0" t="0" r="8255" b="0"/>
            <wp:docPr id="1154593364" name="Picture 2" descr="A graph with blue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93364" name="Picture 2" descr="A graph with blue dot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24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9B5D" w14:textId="2FF10EC4" w:rsidR="00E76271" w:rsidRDefault="00E76271">
      <w:pPr>
        <w:spacing w:after="160" w:line="259" w:lineRule="auto"/>
        <w:ind w:firstLine="0"/>
        <w:jc w:val="left"/>
      </w:pPr>
      <w:r>
        <w:t xml:space="preserve">Figure S1 - </w:t>
      </w:r>
      <w:r w:rsidRPr="00E76271">
        <w:t>Pedigree completeness indicating the percentage of known ancestors per parental generation</w:t>
      </w:r>
      <w:r>
        <w:t>.</w:t>
      </w:r>
    </w:p>
    <w:p w14:paraId="3CC703C2" w14:textId="77777777" w:rsidR="00E76271" w:rsidRDefault="00E76271">
      <w:pPr>
        <w:spacing w:after="160" w:line="259" w:lineRule="auto"/>
        <w:ind w:firstLine="0"/>
        <w:jc w:val="left"/>
      </w:pPr>
    </w:p>
    <w:p w14:paraId="3F925B68" w14:textId="1246AF7D" w:rsidR="00E76271" w:rsidRDefault="00E76271">
      <w:pPr>
        <w:spacing w:after="160" w:line="259" w:lineRule="auto"/>
        <w:ind w:firstLine="0"/>
        <w:jc w:val="left"/>
      </w:pPr>
      <w:r>
        <w:br w:type="page"/>
      </w:r>
    </w:p>
    <w:p w14:paraId="089E305A" w14:textId="77777777" w:rsidR="00E76271" w:rsidRPr="00E76271" w:rsidRDefault="00E76271" w:rsidP="00E76271"/>
    <w:p w14:paraId="4F64ED19" w14:textId="217A0372" w:rsidR="00436015" w:rsidRDefault="00E76271" w:rsidP="00436015">
      <w:pPr>
        <w:ind w:firstLine="0"/>
        <w:rPr>
          <w:b/>
        </w:rPr>
      </w:pPr>
      <w:r>
        <w:rPr>
          <w:b/>
          <w:noProof/>
        </w:rPr>
        <w:drawing>
          <wp:inline distT="0" distB="0" distL="0" distR="0" wp14:anchorId="60E2F58B" wp14:editId="6C24A067">
            <wp:extent cx="5731510" cy="5049215"/>
            <wp:effectExtent l="0" t="0" r="254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49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E8B2D1" w14:textId="0A6DC52C" w:rsidR="00436015" w:rsidRDefault="00436015" w:rsidP="007239EB">
      <w:pPr>
        <w:spacing w:line="360" w:lineRule="auto"/>
        <w:ind w:firstLine="0"/>
        <w:rPr>
          <w:b/>
        </w:rPr>
      </w:pPr>
      <w:r>
        <w:rPr>
          <w:b/>
        </w:rPr>
        <w:t>Figure S</w:t>
      </w:r>
      <w:r w:rsidR="00E76271">
        <w:rPr>
          <w:b/>
        </w:rPr>
        <w:t>2</w:t>
      </w:r>
      <w:r>
        <w:rPr>
          <w:b/>
        </w:rPr>
        <w:t xml:space="preserve"> – </w:t>
      </w:r>
      <w:r>
        <w:t>Quantitative trait loci mapping the two longest runs of homozygosity segments in Nelore cattle.</w:t>
      </w:r>
    </w:p>
    <w:p w14:paraId="6046A1B3" w14:textId="09588256" w:rsidR="005370DC" w:rsidRDefault="005370DC">
      <w:pPr>
        <w:spacing w:after="160" w:line="259" w:lineRule="auto"/>
        <w:ind w:firstLine="0"/>
        <w:jc w:val="left"/>
      </w:pPr>
      <w:r>
        <w:br w:type="page"/>
      </w:r>
    </w:p>
    <w:p w14:paraId="238CE2DA" w14:textId="384AF280" w:rsidR="00A44A94" w:rsidRDefault="007239EB">
      <w:r>
        <w:rPr>
          <w:noProof/>
        </w:rPr>
        <w:lastRenderedPageBreak/>
        <w:drawing>
          <wp:inline distT="0" distB="0" distL="0" distR="0" wp14:anchorId="068A144C" wp14:editId="3B8C7330">
            <wp:extent cx="5400040" cy="4537075"/>
            <wp:effectExtent l="0" t="0" r="0" b="0"/>
            <wp:docPr id="752771938" name="Picture 2" descr="A diagram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71938" name="Picture 2" descr="A diagram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F3C6" w14:textId="02765CF8" w:rsidR="007239EB" w:rsidRPr="007239EB" w:rsidRDefault="007239EB" w:rsidP="007239EB">
      <w:pPr>
        <w:spacing w:line="360" w:lineRule="auto"/>
        <w:ind w:firstLine="0"/>
        <w:rPr>
          <w:bCs/>
        </w:rPr>
      </w:pPr>
      <w:r>
        <w:rPr>
          <w:b/>
        </w:rPr>
        <w:t>Figure S</w:t>
      </w:r>
      <w:r w:rsidR="00E76271">
        <w:rPr>
          <w:b/>
        </w:rPr>
        <w:t>3</w:t>
      </w:r>
      <w:r>
        <w:rPr>
          <w:b/>
        </w:rPr>
        <w:t xml:space="preserve"> </w:t>
      </w:r>
      <w:r w:rsidR="00302A8A">
        <w:rPr>
          <w:b/>
        </w:rPr>
        <w:t xml:space="preserve">– </w:t>
      </w:r>
      <w:r w:rsidRPr="007239EB">
        <w:rPr>
          <w:bCs/>
        </w:rPr>
        <w:t>Pearson's</w:t>
      </w:r>
      <w:r w:rsidR="00302A8A">
        <w:rPr>
          <w:bCs/>
        </w:rPr>
        <w:t xml:space="preserve"> </w:t>
      </w:r>
      <w:r w:rsidRPr="007239EB">
        <w:rPr>
          <w:bCs/>
        </w:rPr>
        <w:t>correlation of inbreeding coefficients based on pedigree information (F</w:t>
      </w:r>
      <w:r w:rsidRPr="007239EB">
        <w:rPr>
          <w:bCs/>
          <w:vertAlign w:val="subscript"/>
        </w:rPr>
        <w:t>Ped</w:t>
      </w:r>
      <w:r w:rsidRPr="007239EB">
        <w:rPr>
          <w:bCs/>
        </w:rPr>
        <w:t>), runs of homozygosity (F</w:t>
      </w:r>
      <w:r w:rsidRPr="007239EB">
        <w:rPr>
          <w:bCs/>
          <w:vertAlign w:val="subscript"/>
        </w:rPr>
        <w:t>ROH</w:t>
      </w:r>
      <w:r w:rsidRPr="007239EB">
        <w:rPr>
          <w:bCs/>
        </w:rPr>
        <w:t xml:space="preserve">) considering segments length </w:t>
      </w:r>
      <w:r>
        <w:rPr>
          <w:bCs/>
        </w:rPr>
        <w:t xml:space="preserve">higher than </w:t>
      </w:r>
      <w:r w:rsidRPr="007239EB">
        <w:rPr>
          <w:bCs/>
        </w:rPr>
        <w:t>1 Mb (F</w:t>
      </w:r>
      <w:r w:rsidRPr="007239EB">
        <w:rPr>
          <w:bCs/>
          <w:vertAlign w:val="subscript"/>
        </w:rPr>
        <w:t>ROH1</w:t>
      </w:r>
      <w:r>
        <w:rPr>
          <w:bCs/>
          <w:vertAlign w:val="subscript"/>
        </w:rPr>
        <w:t xml:space="preserve"> &gt; 1</w:t>
      </w:r>
      <w:r w:rsidRPr="007239EB">
        <w:rPr>
          <w:bCs/>
        </w:rPr>
        <w:t>), 2 Mb (F</w:t>
      </w:r>
      <w:r w:rsidRPr="007239EB">
        <w:rPr>
          <w:bCs/>
          <w:vertAlign w:val="subscript"/>
        </w:rPr>
        <w:t>ROH1</w:t>
      </w:r>
      <w:r>
        <w:rPr>
          <w:bCs/>
          <w:vertAlign w:val="subscript"/>
        </w:rPr>
        <w:t xml:space="preserve"> &gt; </w:t>
      </w:r>
      <w:r w:rsidRPr="007239EB">
        <w:rPr>
          <w:bCs/>
          <w:vertAlign w:val="subscript"/>
        </w:rPr>
        <w:t>2</w:t>
      </w:r>
      <w:r w:rsidRPr="007239EB">
        <w:rPr>
          <w:bCs/>
        </w:rPr>
        <w:t>), 4 Mb (F</w:t>
      </w:r>
      <w:r w:rsidRPr="007239EB">
        <w:rPr>
          <w:bCs/>
          <w:vertAlign w:val="subscript"/>
        </w:rPr>
        <w:t>ROH1</w:t>
      </w:r>
      <w:r>
        <w:rPr>
          <w:bCs/>
          <w:vertAlign w:val="subscript"/>
        </w:rPr>
        <w:t xml:space="preserve"> &gt; 4</w:t>
      </w:r>
      <w:r w:rsidRPr="007239EB">
        <w:rPr>
          <w:bCs/>
        </w:rPr>
        <w:t>)</w:t>
      </w:r>
      <w:r>
        <w:rPr>
          <w:bCs/>
        </w:rPr>
        <w:t xml:space="preserve"> and </w:t>
      </w:r>
      <w:r w:rsidRPr="007239EB">
        <w:rPr>
          <w:bCs/>
        </w:rPr>
        <w:t>higher than 8 Mb (F</w:t>
      </w:r>
      <w:r w:rsidRPr="007239EB">
        <w:rPr>
          <w:bCs/>
          <w:vertAlign w:val="subscript"/>
        </w:rPr>
        <w:t>ROH &gt;8</w:t>
      </w:r>
      <w:r w:rsidRPr="007239EB">
        <w:rPr>
          <w:bCs/>
        </w:rPr>
        <w:t>). Asterisk (***) represents statistical significance (p-value &lt; 0.005).</w:t>
      </w:r>
    </w:p>
    <w:sectPr w:rsidR="007239EB" w:rsidRPr="007239EB" w:rsidSect="00E76271">
      <w:footerReference w:type="default" r:id="rId9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4EB05" w14:textId="77777777" w:rsidR="009B60D7" w:rsidRDefault="009B60D7">
      <w:pPr>
        <w:spacing w:after="0" w:line="240" w:lineRule="auto"/>
      </w:pPr>
      <w:r>
        <w:separator/>
      </w:r>
    </w:p>
  </w:endnote>
  <w:endnote w:type="continuationSeparator" w:id="0">
    <w:p w14:paraId="734D7F23" w14:textId="77777777" w:rsidR="009B60D7" w:rsidRDefault="009B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9763" w14:textId="77777777" w:rsidR="00306BD0" w:rsidRDefault="00306BD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427D4" w14:textId="77777777" w:rsidR="009B60D7" w:rsidRDefault="009B60D7">
      <w:pPr>
        <w:spacing w:after="0" w:line="240" w:lineRule="auto"/>
      </w:pPr>
      <w:r>
        <w:separator/>
      </w:r>
    </w:p>
  </w:footnote>
  <w:footnote w:type="continuationSeparator" w:id="0">
    <w:p w14:paraId="7B4425B2" w14:textId="77777777" w:rsidR="009B60D7" w:rsidRDefault="009B6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W0MDUwNTEwNDc2MzRX0lEKTi0uzszPAykwrgUAs+3vmCwAAAA="/>
  </w:docVars>
  <w:rsids>
    <w:rsidRoot w:val="00436015"/>
    <w:rsid w:val="001E1213"/>
    <w:rsid w:val="0027424D"/>
    <w:rsid w:val="00275000"/>
    <w:rsid w:val="00302A8A"/>
    <w:rsid w:val="00306BD0"/>
    <w:rsid w:val="00436015"/>
    <w:rsid w:val="00497056"/>
    <w:rsid w:val="005370DC"/>
    <w:rsid w:val="006729A5"/>
    <w:rsid w:val="007239EB"/>
    <w:rsid w:val="00951E2B"/>
    <w:rsid w:val="009B60D7"/>
    <w:rsid w:val="00A44A94"/>
    <w:rsid w:val="00B525DB"/>
    <w:rsid w:val="00DE1A20"/>
    <w:rsid w:val="00E76271"/>
    <w:rsid w:val="00EA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EDDF"/>
  <w15:chartTrackingRefBased/>
  <w15:docId w15:val="{2BA0E77B-9333-4559-8469-50F13450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015"/>
    <w:pPr>
      <w:spacing w:after="120" w:line="480" w:lineRule="auto"/>
      <w:ind w:firstLine="709"/>
      <w:jc w:val="both"/>
    </w:pPr>
    <w:rPr>
      <w:rFonts w:ascii="Times New Roman" w:hAnsi="Times New Roman" w:cs="Times New Roman"/>
      <w:sz w:val="24"/>
      <w:szCs w:val="24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015"/>
    <w:pPr>
      <w:keepNext/>
      <w:keepLines/>
      <w:outlineLvl w:val="0"/>
    </w:pPr>
    <w:rPr>
      <w:rFonts w:eastAsiaTheme="majorEastAsia" w:cstheme="majorBidi"/>
      <w:b/>
      <w:sz w:val="27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015"/>
    <w:rPr>
      <w:rFonts w:ascii="Times New Roman" w:eastAsiaTheme="majorEastAsia" w:hAnsi="Times New Roman" w:cstheme="majorBidi"/>
      <w:b/>
      <w:sz w:val="27"/>
      <w:szCs w:val="32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Lúcio Flávio Macedo</dc:creator>
  <cp:keywords/>
  <dc:description/>
  <cp:lastModifiedBy>Lucio Mota</cp:lastModifiedBy>
  <cp:revision>6</cp:revision>
  <dcterms:created xsi:type="dcterms:W3CDTF">2024-03-12T12:11:00Z</dcterms:created>
  <dcterms:modified xsi:type="dcterms:W3CDTF">2024-07-23T03:01:00Z</dcterms:modified>
</cp:coreProperties>
</file>