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53837" w14:textId="3D8C69F8" w:rsidR="00BD2849" w:rsidRPr="00D571C6" w:rsidRDefault="00BD2849" w:rsidP="003D01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</w:rPr>
      </w:pP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SUPPLEMENTAL </w:t>
      </w:r>
      <w:r w:rsid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>FIGURES</w:t>
      </w:r>
    </w:p>
    <w:p w14:paraId="493A6200" w14:textId="77777777" w:rsidR="00BD2849" w:rsidRPr="00D571C6" w:rsidRDefault="00BD2849" w:rsidP="00466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</w:rPr>
      </w:pPr>
    </w:p>
    <w:p w14:paraId="684E44FE" w14:textId="6BE46060" w:rsidR="00BD2849" w:rsidRPr="00D571C6" w:rsidRDefault="00BD2849" w:rsidP="003D0177">
      <w:pPr>
        <w:shd w:val="clear" w:color="auto" w:fill="FFFFFF" w:themeFill="background1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</w:pPr>
      <w:r w:rsidRPr="00D571C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  <w:t>Efficient small fragment sequencing of human, c</w:t>
      </w:r>
      <w:r w:rsidR="4B49DC38" w:rsidRPr="00D571C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  <w:t>attle</w:t>
      </w:r>
      <w:r w:rsidRPr="00D571C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  <w:t xml:space="preserve">, and bison miRNA, small RNA or </w:t>
      </w:r>
      <w:proofErr w:type="spellStart"/>
      <w:r w:rsidRPr="00D571C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  <w:t>csRNA</w:t>
      </w:r>
      <w:proofErr w:type="spellEnd"/>
      <w:r w:rsidRPr="00D571C6">
        <w:rPr>
          <w:rFonts w:ascii="Times New Roman" w:eastAsia="Times New Roman" w:hAnsi="Times New Roman" w:cs="Times New Roman"/>
          <w:b/>
          <w:bCs/>
          <w:color w:val="242424"/>
          <w:kern w:val="0"/>
          <w:sz w:val="24"/>
          <w:szCs w:val="24"/>
          <w14:ligatures w14:val="none"/>
        </w:rPr>
        <w:t>-seq libraries using AVITI</w:t>
      </w:r>
    </w:p>
    <w:p w14:paraId="1DB9AE26" w14:textId="77777777" w:rsidR="00BD2849" w:rsidRPr="00D571C6" w:rsidRDefault="00BD2849" w:rsidP="004667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72C4" w:themeColor="accent1"/>
          <w:kern w:val="0"/>
          <w14:ligatures w14:val="none"/>
        </w:rPr>
      </w:pPr>
    </w:p>
    <w:p w14:paraId="775AB487" w14:textId="77777777" w:rsidR="00BD2849" w:rsidRPr="00D571C6" w:rsidRDefault="00BD2849" w:rsidP="003D01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D571C6">
        <w:rPr>
          <w:sz w:val="22"/>
          <w:szCs w:val="22"/>
        </w:rPr>
        <w:t>Anna L. McDonald</w:t>
      </w:r>
      <w:r w:rsidRPr="00D571C6">
        <w:rPr>
          <w:sz w:val="22"/>
          <w:szCs w:val="22"/>
          <w:vertAlign w:val="superscript"/>
        </w:rPr>
        <w:t xml:space="preserve"> a</w:t>
      </w:r>
      <w:r w:rsidRPr="00D571C6">
        <w:rPr>
          <w:sz w:val="22"/>
          <w:szCs w:val="22"/>
        </w:rPr>
        <w:t>, Andrew M. Boddicker</w:t>
      </w:r>
      <w:r w:rsidRPr="00D571C6">
        <w:rPr>
          <w:sz w:val="22"/>
          <w:szCs w:val="22"/>
          <w:vertAlign w:val="superscript"/>
        </w:rPr>
        <w:t xml:space="preserve"> b</w:t>
      </w:r>
      <w:r w:rsidRPr="00D571C6">
        <w:rPr>
          <w:sz w:val="22"/>
          <w:szCs w:val="22"/>
        </w:rPr>
        <w:t xml:space="preserve">, Marina I. </w:t>
      </w:r>
      <w:proofErr w:type="spellStart"/>
      <w:r w:rsidRPr="00D571C6">
        <w:rPr>
          <w:sz w:val="22"/>
          <w:szCs w:val="22"/>
        </w:rPr>
        <w:t>Savenkova</w:t>
      </w:r>
      <w:proofErr w:type="spellEnd"/>
      <w:r w:rsidRPr="00D571C6">
        <w:rPr>
          <w:sz w:val="22"/>
          <w:szCs w:val="22"/>
        </w:rPr>
        <w:t xml:space="preserve"> </w:t>
      </w:r>
      <w:r w:rsidRPr="00D571C6">
        <w:rPr>
          <w:sz w:val="22"/>
          <w:szCs w:val="22"/>
          <w:vertAlign w:val="superscript"/>
        </w:rPr>
        <w:t>a</w:t>
      </w:r>
      <w:r w:rsidRPr="00D571C6">
        <w:rPr>
          <w:sz w:val="22"/>
          <w:szCs w:val="22"/>
        </w:rPr>
        <w:t xml:space="preserve">, Ian M. Brabb </w:t>
      </w:r>
      <w:r w:rsidRPr="00D571C6">
        <w:rPr>
          <w:sz w:val="22"/>
          <w:szCs w:val="22"/>
          <w:vertAlign w:val="superscript"/>
        </w:rPr>
        <w:t>a</w:t>
      </w:r>
      <w:r w:rsidRPr="00D571C6">
        <w:rPr>
          <w:sz w:val="22"/>
          <w:szCs w:val="22"/>
        </w:rPr>
        <w:t>, Xiaodong Qi</w:t>
      </w:r>
      <w:r w:rsidRPr="00D571C6">
        <w:rPr>
          <w:sz w:val="22"/>
          <w:szCs w:val="22"/>
          <w:vertAlign w:val="superscript"/>
        </w:rPr>
        <w:t xml:space="preserve"> b</w:t>
      </w:r>
      <w:r w:rsidRPr="00D571C6">
        <w:rPr>
          <w:sz w:val="22"/>
          <w:szCs w:val="22"/>
        </w:rPr>
        <w:t xml:space="preserve">, Daniela D. Moré </w:t>
      </w:r>
      <w:proofErr w:type="spellStart"/>
      <w:proofErr w:type="gramStart"/>
      <w:r w:rsidRPr="00D571C6">
        <w:rPr>
          <w:sz w:val="22"/>
          <w:szCs w:val="22"/>
          <w:vertAlign w:val="superscript"/>
        </w:rPr>
        <w:t>c,d</w:t>
      </w:r>
      <w:proofErr w:type="spellEnd"/>
      <w:proofErr w:type="gramEnd"/>
      <w:r w:rsidRPr="00D571C6">
        <w:rPr>
          <w:sz w:val="22"/>
          <w:szCs w:val="22"/>
        </w:rPr>
        <w:t>, Cristina W. </w:t>
      </w:r>
      <w:r w:rsidRPr="00D571C6">
        <w:rPr>
          <w:rStyle w:val="mark7x230zur2"/>
          <w:sz w:val="22"/>
          <w:szCs w:val="22"/>
          <w:bdr w:val="none" w:sz="0" w:space="0" w:color="auto" w:frame="1"/>
        </w:rPr>
        <w:t xml:space="preserve">Cunha </w:t>
      </w:r>
      <w:proofErr w:type="spellStart"/>
      <w:r w:rsidRPr="00D571C6">
        <w:rPr>
          <w:sz w:val="22"/>
          <w:szCs w:val="22"/>
          <w:vertAlign w:val="superscript"/>
        </w:rPr>
        <w:t>c,d</w:t>
      </w:r>
      <w:proofErr w:type="spellEnd"/>
      <w:r w:rsidRPr="00D571C6">
        <w:rPr>
          <w:sz w:val="22"/>
          <w:szCs w:val="22"/>
        </w:rPr>
        <w:t xml:space="preserve">, </w:t>
      </w:r>
      <w:proofErr w:type="spellStart"/>
      <w:r w:rsidRPr="00D571C6">
        <w:rPr>
          <w:sz w:val="22"/>
          <w:szCs w:val="22"/>
        </w:rPr>
        <w:t>Junhua</w:t>
      </w:r>
      <w:proofErr w:type="spellEnd"/>
      <w:r w:rsidRPr="00D571C6">
        <w:rPr>
          <w:sz w:val="22"/>
          <w:szCs w:val="22"/>
        </w:rPr>
        <w:t xml:space="preserve"> Zhao</w:t>
      </w:r>
      <w:r w:rsidRPr="00D571C6">
        <w:rPr>
          <w:sz w:val="22"/>
          <w:szCs w:val="22"/>
          <w:vertAlign w:val="superscript"/>
        </w:rPr>
        <w:t xml:space="preserve"> b</w:t>
      </w:r>
      <w:r w:rsidRPr="00D571C6">
        <w:rPr>
          <w:sz w:val="22"/>
          <w:szCs w:val="22"/>
        </w:rPr>
        <w:t xml:space="preserve">, Sascha H. Duttke </w:t>
      </w:r>
      <w:r w:rsidRPr="00D571C6">
        <w:rPr>
          <w:sz w:val="22"/>
          <w:szCs w:val="22"/>
          <w:vertAlign w:val="superscript"/>
        </w:rPr>
        <w:t>a*</w:t>
      </w:r>
    </w:p>
    <w:p w14:paraId="6DCC9F3E" w14:textId="77777777" w:rsidR="00BD2849" w:rsidRPr="00D571C6" w:rsidRDefault="00BD2849" w:rsidP="0046673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72C4" w:themeColor="accent1"/>
          <w:kern w:val="0"/>
          <w14:ligatures w14:val="none"/>
        </w:rPr>
      </w:pPr>
    </w:p>
    <w:p w14:paraId="5E0605A2" w14:textId="77777777" w:rsidR="00BD2849" w:rsidRPr="00D571C6" w:rsidRDefault="00BD2849" w:rsidP="00466733">
      <w:pPr>
        <w:shd w:val="clear" w:color="auto" w:fill="FFFFFF" w:themeFill="background1"/>
        <w:spacing w:after="0" w:line="240" w:lineRule="auto"/>
        <w:ind w:left="144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D571C6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a</w:t>
      </w:r>
      <w:r w:rsidRPr="00D571C6">
        <w:rPr>
          <w:rFonts w:ascii="Times New Roman" w:hAnsi="Times New Roman" w:cs="Times New Roman"/>
        </w:rPr>
        <w:t xml:space="preserve"> School of Molecular Biosciences, College of Veterinary Medicine, Washington State University, Pullman, WA, USA </w:t>
      </w:r>
    </w:p>
    <w:p w14:paraId="2812F849" w14:textId="77777777" w:rsidR="00BD2849" w:rsidRPr="00D571C6" w:rsidRDefault="00BD2849" w:rsidP="00466733">
      <w:pPr>
        <w:pStyle w:val="NormalWeb"/>
        <w:shd w:val="clear" w:color="auto" w:fill="FFFFFF" w:themeFill="background1"/>
        <w:spacing w:before="0" w:beforeAutospacing="0" w:after="0" w:afterAutospacing="0"/>
        <w:ind w:left="144"/>
        <w:jc w:val="both"/>
        <w:rPr>
          <w:sz w:val="22"/>
          <w:szCs w:val="22"/>
        </w:rPr>
      </w:pPr>
      <w:r w:rsidRPr="00D571C6">
        <w:rPr>
          <w:sz w:val="22"/>
          <w:szCs w:val="22"/>
          <w:vertAlign w:val="superscript"/>
        </w:rPr>
        <w:t>b</w:t>
      </w:r>
      <w:r w:rsidRPr="00D571C6">
        <w:rPr>
          <w:sz w:val="22"/>
          <w:szCs w:val="22"/>
        </w:rPr>
        <w:t xml:space="preserve"> Element Biosciences, San Diego, CA, USA</w:t>
      </w:r>
    </w:p>
    <w:p w14:paraId="7ACBD997" w14:textId="77777777" w:rsidR="00BD2849" w:rsidRPr="00D571C6" w:rsidRDefault="00BD2849" w:rsidP="00466733">
      <w:pPr>
        <w:pStyle w:val="NormalWeb"/>
        <w:shd w:val="clear" w:color="auto" w:fill="FFFFFF"/>
        <w:spacing w:before="0" w:beforeAutospacing="0" w:after="0" w:afterAutospacing="0"/>
        <w:ind w:left="144"/>
        <w:jc w:val="both"/>
        <w:rPr>
          <w:sz w:val="22"/>
          <w:szCs w:val="22"/>
        </w:rPr>
      </w:pPr>
      <w:r w:rsidRPr="00D571C6">
        <w:rPr>
          <w:sz w:val="22"/>
          <w:szCs w:val="22"/>
          <w:vertAlign w:val="superscript"/>
        </w:rPr>
        <w:t xml:space="preserve">c </w:t>
      </w:r>
      <w:r w:rsidRPr="00D571C6">
        <w:rPr>
          <w:sz w:val="22"/>
          <w:szCs w:val="22"/>
        </w:rPr>
        <w:t>Animal Disease Research Unit, Agricultural Research Service, United States Department of Agriculture, Pullman, WA 99164, USA.</w:t>
      </w:r>
    </w:p>
    <w:p w14:paraId="3E9005D5" w14:textId="16D94658" w:rsidR="004B1E46" w:rsidRPr="00D571C6" w:rsidRDefault="00BD2849" w:rsidP="00466733">
      <w:pPr>
        <w:pStyle w:val="NormalWeb"/>
        <w:shd w:val="clear" w:color="auto" w:fill="FFFFFF"/>
        <w:spacing w:before="0" w:beforeAutospacing="0" w:after="0" w:afterAutospacing="0"/>
        <w:ind w:left="144"/>
        <w:jc w:val="both"/>
        <w:rPr>
          <w:b/>
          <w:bCs/>
          <w:color w:val="333333"/>
          <w:sz w:val="22"/>
          <w:szCs w:val="22"/>
        </w:rPr>
      </w:pPr>
      <w:r w:rsidRPr="00D571C6">
        <w:rPr>
          <w:sz w:val="22"/>
          <w:szCs w:val="22"/>
          <w:vertAlign w:val="superscript"/>
        </w:rPr>
        <w:t xml:space="preserve">d </w:t>
      </w:r>
      <w:r w:rsidRPr="00D571C6">
        <w:rPr>
          <w:sz w:val="22"/>
          <w:szCs w:val="22"/>
        </w:rPr>
        <w:t>Department of Veterinary Microbiology and Pathology, Washington State University, Pullman, WA 99164, USA</w:t>
      </w:r>
      <w:r w:rsidRPr="00D571C6">
        <w:rPr>
          <w:color w:val="333333"/>
          <w:sz w:val="22"/>
          <w:szCs w:val="22"/>
        </w:rPr>
        <w:br w:type="page"/>
      </w:r>
    </w:p>
    <w:p w14:paraId="3498F3ED" w14:textId="5763B81D" w:rsidR="00BD2849" w:rsidRPr="00D571C6" w:rsidRDefault="00BD2849" w:rsidP="00466733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</w:p>
    <w:p w14:paraId="49E437FC" w14:textId="70CBF8D1" w:rsidR="00BD2849" w:rsidRPr="00D571C6" w:rsidRDefault="2C7AED63" w:rsidP="00466733">
      <w:pPr>
        <w:spacing w:before="80" w:after="80" w:line="240" w:lineRule="auto"/>
        <w:jc w:val="both"/>
        <w:rPr>
          <w:rFonts w:ascii="Times New Roman" w:eastAsia="Century Gothic" w:hAnsi="Times New Roman" w:cs="Times New Roman"/>
          <w:color w:val="000000" w:themeColor="text1"/>
        </w:rPr>
      </w:pPr>
      <w:r w:rsidRPr="00D571C6">
        <w:rPr>
          <w:rFonts w:ascii="Times New Roman" w:eastAsia="Century Gothic" w:hAnsi="Times New Roman" w:cs="Times New Roman"/>
          <w:b/>
          <w:bCs/>
          <w:color w:val="000000" w:themeColor="text1"/>
        </w:rPr>
        <w:t xml:space="preserve"> </w:t>
      </w:r>
    </w:p>
    <w:p w14:paraId="39576223" w14:textId="5C155991" w:rsidR="00BD2849" w:rsidRPr="00D571C6" w:rsidRDefault="00BD2849" w:rsidP="00466733">
      <w:pPr>
        <w:spacing w:before="80" w:after="80" w:line="240" w:lineRule="auto"/>
        <w:jc w:val="both"/>
        <w:rPr>
          <w:rFonts w:ascii="Times New Roman" w:hAnsi="Times New Roman" w:cs="Times New Roman"/>
        </w:rPr>
      </w:pPr>
    </w:p>
    <w:p w14:paraId="12369A9F" w14:textId="0EA7A707" w:rsidR="5CAF3E55" w:rsidRPr="00D571C6" w:rsidRDefault="5CAF3E55" w:rsidP="00466733">
      <w:pPr>
        <w:spacing w:before="80" w:after="80" w:line="240" w:lineRule="auto"/>
        <w:jc w:val="both"/>
        <w:rPr>
          <w:rFonts w:ascii="Times New Roman" w:hAnsi="Times New Roman" w:cs="Times New Roman"/>
        </w:rPr>
      </w:pPr>
      <w:r w:rsidRPr="00D571C6">
        <w:rPr>
          <w:rFonts w:ascii="Times New Roman" w:hAnsi="Times New Roman" w:cs="Times New Roman"/>
          <w:noProof/>
        </w:rPr>
        <w:drawing>
          <wp:inline distT="0" distB="0" distL="0" distR="0" wp14:anchorId="734D1DC7" wp14:editId="09A8AEA5">
            <wp:extent cx="6279285" cy="3028950"/>
            <wp:effectExtent l="0" t="0" r="0" b="0"/>
            <wp:docPr id="1481207390" name="Picture 148120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101" cy="303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003A9" w14:textId="565013B8" w:rsidR="003D0177" w:rsidRPr="00D571C6" w:rsidRDefault="2C7AED63" w:rsidP="00466733">
      <w:pPr>
        <w:spacing w:before="100" w:beforeAutospacing="1"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  <w:r w:rsidRPr="00D571C6">
        <w:rPr>
          <w:rFonts w:ascii="Times New Roman" w:eastAsia="Arial" w:hAnsi="Times New Roman" w:cs="Times New Roman"/>
          <w:b/>
          <w:bCs/>
          <w:color w:val="000000" w:themeColor="text1"/>
        </w:rPr>
        <w:t>Fi</w:t>
      </w:r>
      <w:r w:rsidR="4AAE2FBC" w:rsidRPr="00D571C6">
        <w:rPr>
          <w:rFonts w:ascii="Times New Roman" w:eastAsia="Arial" w:hAnsi="Times New Roman" w:cs="Times New Roman"/>
          <w:b/>
          <w:bCs/>
          <w:color w:val="000000" w:themeColor="text1"/>
        </w:rPr>
        <w:t>g.</w:t>
      </w:r>
      <w:r w:rsidRPr="00D571C6">
        <w:rPr>
          <w:rFonts w:ascii="Times New Roman" w:eastAsia="Arial" w:hAnsi="Times New Roman" w:cs="Times New Roman"/>
          <w:b/>
          <w:bCs/>
          <w:color w:val="000000" w:themeColor="text1"/>
        </w:rPr>
        <w:t xml:space="preserve"> S1: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="1CCB9F86" w:rsidRPr="00D571C6">
        <w:rPr>
          <w:rFonts w:ascii="Times New Roman" w:eastAsia="Arial" w:hAnsi="Times New Roman" w:cs="Times New Roman"/>
          <w:b/>
          <w:bCs/>
          <w:color w:val="000000" w:themeColor="text1"/>
        </w:rPr>
        <w:t>Overview of optimized small DNA fragment sequencing workflow using AVITI</w:t>
      </w:r>
      <w:r w:rsidR="69EED724" w:rsidRPr="00D571C6">
        <w:rPr>
          <w:rFonts w:ascii="Times New Roman" w:eastAsia="Arial" w:hAnsi="Times New Roman" w:cs="Times New Roman"/>
          <w:b/>
          <w:bCs/>
          <w:color w:val="000000" w:themeColor="text1"/>
        </w:rPr>
        <w:t xml:space="preserve">. </w:t>
      </w:r>
      <w:r w:rsidR="00256415" w:rsidRPr="00D571C6">
        <w:rPr>
          <w:rFonts w:ascii="Times New Roman" w:eastAsia="Arial" w:hAnsi="Times New Roman" w:cs="Times New Roman"/>
          <w:color w:val="000000" w:themeColor="text1"/>
        </w:rPr>
        <w:t>Both c</w:t>
      </w:r>
      <w:r w:rsidRPr="00D571C6">
        <w:rPr>
          <w:rFonts w:ascii="Times New Roman" w:eastAsia="Arial" w:hAnsi="Times New Roman" w:cs="Times New Roman"/>
          <w:color w:val="000000" w:themeColor="text1"/>
        </w:rPr>
        <w:t>ircularization methods for AVITI sequencing</w:t>
      </w:r>
      <w:r w:rsidR="004055F7" w:rsidRPr="00D571C6">
        <w:rPr>
          <w:rFonts w:ascii="Times New Roman" w:eastAsia="Arial" w:hAnsi="Times New Roman" w:cs="Times New Roman"/>
          <w:color w:val="000000" w:themeColor="text1"/>
        </w:rPr>
        <w:t xml:space="preserve"> 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require </w:t>
      </w:r>
      <w:r w:rsidR="00256415" w:rsidRPr="00D571C6">
        <w:rPr>
          <w:rFonts w:ascii="Times New Roman" w:eastAsia="Arial" w:hAnsi="Times New Roman" w:cs="Times New Roman"/>
          <w:color w:val="000000" w:themeColor="text1"/>
        </w:rPr>
        <w:t xml:space="preserve">the same 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standard sequencing library </w:t>
      </w:r>
      <w:r w:rsidR="004055F7" w:rsidRPr="00D571C6">
        <w:rPr>
          <w:rFonts w:ascii="Times New Roman" w:eastAsia="Arial" w:hAnsi="Times New Roman" w:cs="Times New Roman"/>
          <w:color w:val="000000" w:themeColor="text1"/>
        </w:rPr>
        <w:t xml:space="preserve">preparation </w:t>
      </w:r>
      <w:r w:rsidR="00B523AA" w:rsidRPr="00D571C6">
        <w:rPr>
          <w:rFonts w:ascii="Times New Roman" w:eastAsia="Arial" w:hAnsi="Times New Roman" w:cs="Times New Roman"/>
          <w:color w:val="000000" w:themeColor="text1"/>
        </w:rPr>
        <w:t>as input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. Adept Rapid PCR-free </w:t>
      </w:r>
      <w:r w:rsidR="006E1621" w:rsidRPr="00D571C6">
        <w:rPr>
          <w:rFonts w:ascii="Times New Roman" w:eastAsia="Arial" w:hAnsi="Times New Roman" w:cs="Times New Roman"/>
          <w:color w:val="000000" w:themeColor="text1"/>
        </w:rPr>
        <w:t xml:space="preserve">uses </w:t>
      </w:r>
      <w:r w:rsidRPr="00D571C6">
        <w:rPr>
          <w:rFonts w:ascii="Times New Roman" w:eastAsia="Arial" w:hAnsi="Times New Roman" w:cs="Times New Roman"/>
          <w:color w:val="000000" w:themeColor="text1"/>
        </w:rPr>
        <w:t>benchtop circularization</w:t>
      </w:r>
      <w:r w:rsidR="006E1621" w:rsidRPr="00D571C6">
        <w:rPr>
          <w:rFonts w:ascii="Times New Roman" w:eastAsia="Arial" w:hAnsi="Times New Roman" w:cs="Times New Roman"/>
          <w:color w:val="000000" w:themeColor="text1"/>
        </w:rPr>
        <w:t>,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 requires 10 minutes of hands-on time and 40 minutes of total assay time, </w:t>
      </w:r>
      <w:r w:rsidR="00930331" w:rsidRPr="00D571C6">
        <w:rPr>
          <w:rFonts w:ascii="Times New Roman" w:eastAsia="Arial" w:hAnsi="Times New Roman" w:cs="Times New Roman"/>
          <w:color w:val="000000" w:themeColor="text1"/>
        </w:rPr>
        <w:t>including the</w:t>
      </w:r>
      <w:r w:rsidR="0B03B7DA" w:rsidRPr="00D571C6">
        <w:rPr>
          <w:rFonts w:ascii="Times New Roman" w:eastAsia="Arial" w:hAnsi="Times New Roman" w:cs="Times New Roman"/>
          <w:color w:val="000000" w:themeColor="text1"/>
        </w:rPr>
        <w:t xml:space="preserve"> recommended a</w:t>
      </w:r>
      <w:r w:rsidRPr="00D571C6">
        <w:rPr>
          <w:rFonts w:ascii="Times New Roman" w:eastAsia="Arial" w:hAnsi="Times New Roman" w:cs="Times New Roman"/>
          <w:color w:val="000000" w:themeColor="text1"/>
        </w:rPr>
        <w:t>ddition</w:t>
      </w:r>
      <w:r w:rsidR="2EDAD417" w:rsidRPr="00D571C6">
        <w:rPr>
          <w:rFonts w:ascii="Times New Roman" w:eastAsia="Arial" w:hAnsi="Times New Roman" w:cs="Times New Roman"/>
          <w:color w:val="000000" w:themeColor="text1"/>
        </w:rPr>
        <w:t>al</w:t>
      </w:r>
      <w:r w:rsidRPr="00D571C6">
        <w:rPr>
          <w:rFonts w:ascii="Times New Roman" w:eastAsia="Arial" w:hAnsi="Times New Roman" w:cs="Times New Roman"/>
          <w:color w:val="000000" w:themeColor="text1"/>
        </w:rPr>
        <w:t xml:space="preserve"> quality control prior to sequencing. </w:t>
      </w:r>
      <w:proofErr w:type="spellStart"/>
      <w:r w:rsidRPr="00D571C6">
        <w:rPr>
          <w:rFonts w:ascii="Times New Roman" w:eastAsia="Arial" w:hAnsi="Times New Roman" w:cs="Times New Roman"/>
          <w:color w:val="000000" w:themeColor="text1"/>
        </w:rPr>
        <w:t>Cloudbreak</w:t>
      </w:r>
      <w:proofErr w:type="spellEnd"/>
      <w:r w:rsidRPr="00D571C6">
        <w:rPr>
          <w:rFonts w:ascii="Times New Roman" w:eastAsia="Arial" w:hAnsi="Times New Roman" w:cs="Times New Roman"/>
          <w:color w:val="000000" w:themeColor="text1"/>
        </w:rPr>
        <w:t xml:space="preserve"> Freestyle </w:t>
      </w:r>
      <w:r w:rsidR="00B600D4" w:rsidRPr="00D571C6">
        <w:rPr>
          <w:rFonts w:ascii="Times New Roman" w:eastAsia="Arial" w:hAnsi="Times New Roman" w:cs="Times New Roman"/>
          <w:color w:val="000000" w:themeColor="text1"/>
        </w:rPr>
        <w:t xml:space="preserve">circularizes libraries on AVITI and </w:t>
      </w:r>
      <w:r w:rsidRPr="00D571C6">
        <w:rPr>
          <w:rFonts w:ascii="Times New Roman" w:eastAsia="Arial" w:hAnsi="Times New Roman" w:cs="Times New Roman"/>
          <w:color w:val="000000" w:themeColor="text1"/>
        </w:rPr>
        <w:t>does not require any additional library modification or quality control before sequencing.</w:t>
      </w:r>
    </w:p>
    <w:p w14:paraId="59116FDB" w14:textId="77777777" w:rsidR="003D0177" w:rsidRPr="00D571C6" w:rsidRDefault="003D0177">
      <w:pPr>
        <w:rPr>
          <w:rFonts w:ascii="Times New Roman" w:eastAsia="Arial" w:hAnsi="Times New Roman" w:cs="Times New Roman"/>
          <w:color w:val="000000" w:themeColor="text1"/>
        </w:rPr>
      </w:pPr>
      <w:r w:rsidRPr="00D571C6">
        <w:rPr>
          <w:rFonts w:ascii="Times New Roman" w:eastAsia="Arial" w:hAnsi="Times New Roman" w:cs="Times New Roman"/>
          <w:color w:val="000000" w:themeColor="text1"/>
        </w:rPr>
        <w:br w:type="page"/>
      </w:r>
    </w:p>
    <w:p w14:paraId="30841616" w14:textId="77777777" w:rsidR="00BD2849" w:rsidRPr="00D571C6" w:rsidRDefault="00BD2849" w:rsidP="00466733">
      <w:pPr>
        <w:spacing w:before="100" w:beforeAutospacing="1" w:after="0" w:line="240" w:lineRule="auto"/>
        <w:jc w:val="both"/>
        <w:rPr>
          <w:rFonts w:ascii="Times New Roman" w:eastAsia="Arial" w:hAnsi="Times New Roman" w:cs="Times New Roman"/>
          <w:color w:val="000000" w:themeColor="text1"/>
        </w:rPr>
      </w:pPr>
    </w:p>
    <w:p w14:paraId="3D892643" w14:textId="278EEBBC" w:rsidR="00BD2849" w:rsidRPr="00D571C6" w:rsidRDefault="284CB0F1" w:rsidP="00D571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</w:rPr>
      </w:pPr>
      <w:r w:rsidRPr="00D571C6">
        <w:rPr>
          <w:rFonts w:ascii="Times New Roman" w:hAnsi="Times New Roman" w:cs="Times New Roman"/>
          <w:noProof/>
        </w:rPr>
        <w:drawing>
          <wp:inline distT="0" distB="0" distL="0" distR="0" wp14:anchorId="2E461035" wp14:editId="4865FC39">
            <wp:extent cx="4169884" cy="3181350"/>
            <wp:effectExtent l="0" t="0" r="2540" b="0"/>
            <wp:docPr id="1319839750" name="Picture 1319839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8397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772" cy="319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05F56" w14:textId="77777777" w:rsidR="006E4B1E" w:rsidRPr="00D571C6" w:rsidRDefault="00BD2849" w:rsidP="00466733">
      <w:pPr>
        <w:pStyle w:val="paragraph"/>
        <w:spacing w:before="0" w:beforeAutospacing="0" w:after="0" w:afterAutospacing="0"/>
        <w:jc w:val="both"/>
        <w:rPr>
          <w:rStyle w:val="normaltextrun"/>
          <w:color w:val="333333"/>
          <w:sz w:val="22"/>
          <w:szCs w:val="22"/>
        </w:rPr>
      </w:pPr>
      <w:r w:rsidRPr="00D571C6">
        <w:rPr>
          <w:rStyle w:val="normaltextrun"/>
          <w:rFonts w:eastAsia="Arial"/>
          <w:b/>
          <w:bCs/>
          <w:sz w:val="22"/>
          <w:szCs w:val="22"/>
        </w:rPr>
        <w:t>Fig</w:t>
      </w:r>
      <w:r w:rsidR="48B5D80A" w:rsidRPr="00D571C6">
        <w:rPr>
          <w:rStyle w:val="normaltextrun"/>
          <w:rFonts w:eastAsia="Arial"/>
          <w:b/>
          <w:bCs/>
          <w:sz w:val="22"/>
          <w:szCs w:val="22"/>
        </w:rPr>
        <w:t>.</w:t>
      </w:r>
      <w:r w:rsidRPr="00D571C6">
        <w:rPr>
          <w:rStyle w:val="normaltextrun"/>
          <w:rFonts w:eastAsia="Arial"/>
          <w:b/>
          <w:bCs/>
          <w:sz w:val="22"/>
          <w:szCs w:val="22"/>
        </w:rPr>
        <w:t xml:space="preserve"> S2: Additional comparisons of fragment length and nucleotide biases</w:t>
      </w:r>
      <w:r w:rsidR="1958ECE3" w:rsidRPr="00D571C6">
        <w:rPr>
          <w:rStyle w:val="normaltextrun"/>
          <w:rFonts w:eastAsia="Arial"/>
          <w:b/>
          <w:bCs/>
          <w:sz w:val="22"/>
          <w:szCs w:val="22"/>
        </w:rPr>
        <w:t>.</w:t>
      </w:r>
      <w:r w:rsidR="045524BF" w:rsidRPr="00D571C6">
        <w:rPr>
          <w:rStyle w:val="normaltextrun"/>
          <w:rFonts w:eastAsia="Arial"/>
          <w:b/>
          <w:bCs/>
          <w:sz w:val="22"/>
          <w:szCs w:val="22"/>
        </w:rPr>
        <w:t xml:space="preserve"> </w:t>
      </w:r>
      <w:bookmarkStart w:id="0" w:name="_Hlk161593335"/>
      <w:r w:rsidR="6AA7C3C8" w:rsidRPr="00D571C6">
        <w:rPr>
          <w:rStyle w:val="normaltextrun"/>
          <w:b/>
          <w:bCs/>
          <w:color w:val="333333"/>
          <w:sz w:val="22"/>
          <w:szCs w:val="22"/>
        </w:rPr>
        <w:t>A</w:t>
      </w:r>
      <w:r w:rsidR="6AA7C3C8" w:rsidRPr="00D571C6">
        <w:rPr>
          <w:rStyle w:val="normaltextrun"/>
          <w:color w:val="333333"/>
          <w:sz w:val="22"/>
          <w:szCs w:val="22"/>
        </w:rPr>
        <w:t xml:space="preserve">. Read length distribution plots of </w:t>
      </w:r>
      <w:r w:rsidR="0E8273CA" w:rsidRPr="00D571C6">
        <w:rPr>
          <w:rStyle w:val="normaltextrun"/>
          <w:color w:val="333333"/>
          <w:sz w:val="22"/>
          <w:szCs w:val="22"/>
        </w:rPr>
        <w:t>A375</w:t>
      </w:r>
      <w:r w:rsidR="6AA7C3C8" w:rsidRPr="00D571C6">
        <w:rPr>
          <w:rStyle w:val="normaltextrun"/>
          <w:color w:val="333333"/>
          <w:sz w:val="22"/>
          <w:szCs w:val="22"/>
        </w:rPr>
        <w:t xml:space="preserve"> small RNAs sequenced on the Illumina and</w:t>
      </w:r>
      <w:r w:rsidR="4F6AFFF6" w:rsidRPr="00D571C6">
        <w:rPr>
          <w:rStyle w:val="normaltextrun"/>
          <w:color w:val="333333"/>
          <w:sz w:val="22"/>
          <w:szCs w:val="22"/>
        </w:rPr>
        <w:t xml:space="preserve"> after benchtop circularization (Adept Rapid PCR-free) on the</w:t>
      </w:r>
      <w:r w:rsidR="6AA7C3C8" w:rsidRPr="00D571C6">
        <w:rPr>
          <w:rStyle w:val="normaltextrun"/>
          <w:color w:val="333333"/>
          <w:sz w:val="22"/>
          <w:szCs w:val="22"/>
        </w:rPr>
        <w:t xml:space="preserve"> AVITI platform. The area under each line sums to a total of 100%</w:t>
      </w:r>
      <w:r w:rsidR="70F4F941" w:rsidRPr="00D571C6">
        <w:rPr>
          <w:rStyle w:val="normaltextrun"/>
          <w:color w:val="333333"/>
          <w:sz w:val="22"/>
          <w:szCs w:val="22"/>
        </w:rPr>
        <w:t>.</w:t>
      </w:r>
      <w:r w:rsidR="6AA7C3C8" w:rsidRPr="00D571C6">
        <w:rPr>
          <w:rStyle w:val="normaltextrun"/>
          <w:color w:val="333333"/>
          <w:sz w:val="22"/>
          <w:szCs w:val="22"/>
        </w:rPr>
        <w:t xml:space="preserve"> </w:t>
      </w:r>
      <w:r w:rsidR="6FB5198E" w:rsidRPr="00D571C6">
        <w:rPr>
          <w:rStyle w:val="normaltextrun"/>
          <w:color w:val="333333"/>
          <w:sz w:val="22"/>
          <w:szCs w:val="22"/>
        </w:rPr>
        <w:t xml:space="preserve">Differences between Illumina and AVITI are plotted in grey. </w:t>
      </w:r>
      <w:r w:rsidR="6AA7C3C8" w:rsidRPr="00D571C6">
        <w:rPr>
          <w:rStyle w:val="normaltextrun"/>
          <w:b/>
          <w:bCs/>
          <w:color w:val="333333"/>
          <w:sz w:val="22"/>
          <w:szCs w:val="22"/>
        </w:rPr>
        <w:t>B</w:t>
      </w:r>
      <w:r w:rsidR="6AA7C3C8" w:rsidRPr="00D571C6">
        <w:rPr>
          <w:rStyle w:val="normaltextrun"/>
          <w:color w:val="333333"/>
          <w:sz w:val="22"/>
          <w:szCs w:val="22"/>
        </w:rPr>
        <w:t xml:space="preserve">. Read length distribution plots of </w:t>
      </w:r>
      <w:r w:rsidR="00B8C6F4" w:rsidRPr="00D571C6">
        <w:rPr>
          <w:rStyle w:val="normaltextrun"/>
          <w:color w:val="333333"/>
          <w:sz w:val="22"/>
          <w:szCs w:val="22"/>
        </w:rPr>
        <w:t xml:space="preserve">A375 </w:t>
      </w:r>
      <w:r w:rsidR="6AA7C3C8" w:rsidRPr="00D571C6">
        <w:rPr>
          <w:rStyle w:val="normaltextrun"/>
          <w:color w:val="333333"/>
          <w:sz w:val="22"/>
          <w:szCs w:val="22"/>
        </w:rPr>
        <w:t>capped small RNAs.</w:t>
      </w:r>
      <w:r w:rsidR="6AA7C3C8" w:rsidRPr="00D571C6">
        <w:rPr>
          <w:rStyle w:val="normaltextrun"/>
          <w:b/>
          <w:bCs/>
          <w:color w:val="333333"/>
          <w:sz w:val="22"/>
          <w:szCs w:val="22"/>
        </w:rPr>
        <w:t xml:space="preserve"> </w:t>
      </w:r>
      <w:bookmarkEnd w:id="0"/>
      <w:r w:rsidR="6AA7C3C8" w:rsidRPr="00D571C6">
        <w:rPr>
          <w:rStyle w:val="normaltextrun"/>
          <w:b/>
          <w:bCs/>
          <w:color w:val="333333"/>
          <w:sz w:val="22"/>
          <w:szCs w:val="22"/>
        </w:rPr>
        <w:t>C</w:t>
      </w:r>
      <w:r w:rsidR="6AA7C3C8" w:rsidRPr="00D571C6">
        <w:rPr>
          <w:rStyle w:val="normaltextrun"/>
          <w:color w:val="333333"/>
          <w:sz w:val="22"/>
          <w:szCs w:val="22"/>
        </w:rPr>
        <w:t>. A</w:t>
      </w:r>
      <w:r w:rsidR="448E205D" w:rsidRPr="00D571C6">
        <w:rPr>
          <w:rStyle w:val="normaltextrun"/>
          <w:color w:val="333333"/>
          <w:sz w:val="22"/>
          <w:szCs w:val="22"/>
        </w:rPr>
        <w:t>n adenine</w:t>
      </w:r>
      <w:r w:rsidR="6AA7C3C8" w:rsidRPr="00D571C6">
        <w:rPr>
          <w:rStyle w:val="normaltextrun"/>
          <w:color w:val="333333"/>
          <w:sz w:val="22"/>
          <w:szCs w:val="22"/>
        </w:rPr>
        <w:t xml:space="preserve"> nucleotide frequency plot of TSSs from Illumina and AVITI for </w:t>
      </w:r>
      <w:r w:rsidR="0CA1EAB2" w:rsidRPr="00D571C6">
        <w:rPr>
          <w:rStyle w:val="normaltextrun"/>
          <w:color w:val="333333"/>
          <w:sz w:val="22"/>
          <w:szCs w:val="22"/>
        </w:rPr>
        <w:t xml:space="preserve">A375 </w:t>
      </w:r>
      <w:r w:rsidR="6AA7C3C8" w:rsidRPr="00D571C6">
        <w:rPr>
          <w:rStyle w:val="normaltextrun"/>
          <w:color w:val="333333"/>
          <w:sz w:val="22"/>
          <w:szCs w:val="22"/>
        </w:rPr>
        <w:t xml:space="preserve">and </w:t>
      </w:r>
      <w:r w:rsidR="6AA7C3C8" w:rsidRPr="00D571C6">
        <w:rPr>
          <w:rStyle w:val="normaltextrun"/>
          <w:b/>
          <w:bCs/>
          <w:color w:val="333333"/>
          <w:sz w:val="22"/>
          <w:szCs w:val="22"/>
        </w:rPr>
        <w:t xml:space="preserve">D. </w:t>
      </w:r>
      <w:r w:rsidR="26EEE424" w:rsidRPr="00D571C6">
        <w:rPr>
          <w:rStyle w:val="normaltextrun"/>
          <w:color w:val="333333"/>
          <w:sz w:val="22"/>
          <w:szCs w:val="22"/>
        </w:rPr>
        <w:t xml:space="preserve">BT474 </w:t>
      </w:r>
      <w:r w:rsidR="6AA7C3C8" w:rsidRPr="00D571C6">
        <w:rPr>
          <w:rStyle w:val="normaltextrun"/>
          <w:color w:val="333333"/>
          <w:sz w:val="22"/>
          <w:szCs w:val="22"/>
        </w:rPr>
        <w:t>human cancer cells.</w:t>
      </w:r>
    </w:p>
    <w:p w14:paraId="059D78B8" w14:textId="0CC8959D" w:rsidR="29494C12" w:rsidRDefault="498E44CD" w:rsidP="00D571C6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2"/>
          <w:szCs w:val="22"/>
        </w:rPr>
      </w:pPr>
      <w:r w:rsidRPr="00D571C6">
        <w:rPr>
          <w:noProof/>
          <w:sz w:val="22"/>
          <w:szCs w:val="22"/>
        </w:rPr>
        <w:lastRenderedPageBreak/>
        <w:drawing>
          <wp:inline distT="0" distB="0" distL="0" distR="0" wp14:anchorId="150F7279" wp14:editId="74404623">
            <wp:extent cx="3990975" cy="5199141"/>
            <wp:effectExtent l="0" t="0" r="0" b="1905"/>
            <wp:docPr id="287282170" name="Picture 28728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8217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864" cy="521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8C880" w14:textId="77777777" w:rsidR="00D571C6" w:rsidRPr="00D571C6" w:rsidRDefault="00D571C6" w:rsidP="00D571C6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2"/>
          <w:szCs w:val="22"/>
        </w:rPr>
      </w:pPr>
    </w:p>
    <w:p w14:paraId="35DDC40E" w14:textId="111050F3" w:rsidR="00BD2849" w:rsidRPr="00D571C6" w:rsidRDefault="1D8E7DE2" w:rsidP="00466733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  <w:r w:rsidRPr="00D571C6">
        <w:rPr>
          <w:b/>
          <w:bCs/>
          <w:sz w:val="22"/>
          <w:szCs w:val="22"/>
        </w:rPr>
        <w:t>Fig</w:t>
      </w:r>
      <w:r w:rsidR="28BB735F" w:rsidRPr="00D571C6">
        <w:rPr>
          <w:b/>
          <w:bCs/>
          <w:sz w:val="22"/>
          <w:szCs w:val="22"/>
        </w:rPr>
        <w:t>.</w:t>
      </w:r>
      <w:r w:rsidRPr="00D571C6">
        <w:rPr>
          <w:b/>
          <w:bCs/>
          <w:sz w:val="22"/>
          <w:szCs w:val="22"/>
        </w:rPr>
        <w:t xml:space="preserve"> S3: Correlation among libraries sequenced using AVITI and Illumina</w:t>
      </w:r>
      <w:r w:rsidR="053F5090" w:rsidRPr="00D571C6">
        <w:rPr>
          <w:b/>
          <w:bCs/>
          <w:sz w:val="22"/>
          <w:szCs w:val="22"/>
        </w:rPr>
        <w:t>.</w:t>
      </w:r>
      <w:r w:rsidR="02F2BE1E" w:rsidRPr="00D571C6">
        <w:rPr>
          <w:b/>
          <w:bCs/>
          <w:sz w:val="22"/>
          <w:szCs w:val="22"/>
        </w:rPr>
        <w:t xml:space="preserve"> A. </w:t>
      </w:r>
      <w:r w:rsidR="02F2BE1E" w:rsidRPr="00D571C6">
        <w:rPr>
          <w:color w:val="333333"/>
          <w:sz w:val="22"/>
          <w:szCs w:val="22"/>
        </w:rPr>
        <w:t xml:space="preserve">Scatterplot comparing the expression level of A375 small RNAs and </w:t>
      </w:r>
      <w:r w:rsidR="02F2BE1E" w:rsidRPr="00D571C6">
        <w:rPr>
          <w:b/>
          <w:bCs/>
          <w:color w:val="333333"/>
          <w:sz w:val="22"/>
          <w:szCs w:val="22"/>
        </w:rPr>
        <w:t>B</w:t>
      </w:r>
      <w:r w:rsidR="02F2BE1E" w:rsidRPr="00D571C6">
        <w:rPr>
          <w:color w:val="333333"/>
          <w:sz w:val="22"/>
          <w:szCs w:val="22"/>
        </w:rPr>
        <w:t>. capped small RNAs using the Illumina and AVITI platform.</w:t>
      </w:r>
      <w:r w:rsidR="02F2BE1E" w:rsidRPr="00D571C6">
        <w:rPr>
          <w:b/>
          <w:bCs/>
          <w:color w:val="333333"/>
          <w:sz w:val="22"/>
          <w:szCs w:val="22"/>
        </w:rPr>
        <w:t xml:space="preserve"> C. </w:t>
      </w:r>
      <w:r w:rsidR="02F2BE1E" w:rsidRPr="00D571C6">
        <w:rPr>
          <w:color w:val="333333"/>
          <w:sz w:val="22"/>
          <w:szCs w:val="22"/>
        </w:rPr>
        <w:t xml:space="preserve">Scatterplot comparing the expression level among replicates of BT474 small RNAs and </w:t>
      </w:r>
      <w:r w:rsidR="02F2BE1E" w:rsidRPr="00D571C6">
        <w:rPr>
          <w:b/>
          <w:bCs/>
          <w:color w:val="333333"/>
          <w:sz w:val="22"/>
          <w:szCs w:val="22"/>
        </w:rPr>
        <w:t>D.</w:t>
      </w:r>
      <w:r w:rsidR="02F2BE1E" w:rsidRPr="00D571C6">
        <w:rPr>
          <w:color w:val="333333"/>
          <w:sz w:val="22"/>
          <w:szCs w:val="22"/>
        </w:rPr>
        <w:t xml:space="preserve"> capped small RNAs using the Illumina and AVITI platform. </w:t>
      </w:r>
      <w:r w:rsidR="02F2BE1E" w:rsidRPr="00D571C6">
        <w:rPr>
          <w:b/>
          <w:bCs/>
          <w:color w:val="333333"/>
          <w:sz w:val="22"/>
          <w:szCs w:val="22"/>
        </w:rPr>
        <w:t>E</w:t>
      </w:r>
      <w:r w:rsidR="02F2BE1E" w:rsidRPr="00D571C6">
        <w:rPr>
          <w:color w:val="333333"/>
          <w:sz w:val="22"/>
          <w:szCs w:val="22"/>
        </w:rPr>
        <w:t>. Comparison of the detection of A375 small RNA types of different lengths (miRNAs: 21-24; snoRNAs: 55-61).</w:t>
      </w:r>
    </w:p>
    <w:p w14:paraId="286B3454" w14:textId="77777777" w:rsidR="00BD2849" w:rsidRDefault="00BD2849" w:rsidP="00D571C6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  <w:r w:rsidRPr="00D571C6">
        <w:rPr>
          <w:noProof/>
          <w:sz w:val="22"/>
          <w:szCs w:val="22"/>
        </w:rPr>
        <w:lastRenderedPageBreak/>
        <w:drawing>
          <wp:inline distT="0" distB="0" distL="0" distR="0" wp14:anchorId="7A1C28A9" wp14:editId="4817039F">
            <wp:extent cx="5229225" cy="5313594"/>
            <wp:effectExtent l="0" t="0" r="0" b="1905"/>
            <wp:docPr id="1380691425" name="Picture 9" descr="A diagram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025" cy="532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F809D" w14:textId="77777777" w:rsidR="00D571C6" w:rsidRPr="00D571C6" w:rsidRDefault="00D571C6" w:rsidP="00D571C6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2"/>
          <w:szCs w:val="22"/>
        </w:rPr>
      </w:pPr>
    </w:p>
    <w:p w14:paraId="385628E5" w14:textId="4F824538" w:rsidR="00BD2849" w:rsidRPr="00D571C6" w:rsidRDefault="00BD2849" w:rsidP="00466733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  <w:r w:rsidRPr="00D571C6">
        <w:rPr>
          <w:b/>
          <w:bCs/>
          <w:sz w:val="22"/>
          <w:szCs w:val="22"/>
        </w:rPr>
        <w:t>Fig</w:t>
      </w:r>
      <w:r w:rsidR="5AE9CD0C" w:rsidRPr="00D571C6">
        <w:rPr>
          <w:b/>
          <w:bCs/>
          <w:sz w:val="22"/>
          <w:szCs w:val="22"/>
        </w:rPr>
        <w:t>.</w:t>
      </w:r>
      <w:r w:rsidRPr="00D571C6">
        <w:rPr>
          <w:b/>
          <w:bCs/>
          <w:sz w:val="22"/>
          <w:szCs w:val="22"/>
        </w:rPr>
        <w:t xml:space="preserve"> S4: Correlation among libraries generated for cattle sequenced using AVITI and Illumina</w:t>
      </w:r>
      <w:r w:rsidR="6005F844" w:rsidRPr="00D571C6">
        <w:rPr>
          <w:b/>
          <w:bCs/>
          <w:sz w:val="22"/>
          <w:szCs w:val="22"/>
        </w:rPr>
        <w:t>.</w:t>
      </w:r>
      <w:r w:rsidR="79ADAC52" w:rsidRPr="00D571C6">
        <w:rPr>
          <w:b/>
          <w:bCs/>
          <w:sz w:val="22"/>
          <w:szCs w:val="22"/>
        </w:rPr>
        <w:t xml:space="preserve"> A. </w:t>
      </w:r>
      <w:r w:rsidR="79ADAC52" w:rsidRPr="00D571C6">
        <w:rPr>
          <w:sz w:val="22"/>
          <w:szCs w:val="22"/>
        </w:rPr>
        <w:t xml:space="preserve">Read length distribution plots of cattle small RNAs sequenced on the Illumina and AVITI platform. Each graph sums up to 100% except the grey graph which denotes the difference between Illumina and AVITI. </w:t>
      </w:r>
      <w:r w:rsidR="79ADAC52" w:rsidRPr="00D571C6">
        <w:rPr>
          <w:b/>
          <w:bCs/>
          <w:sz w:val="22"/>
          <w:szCs w:val="22"/>
        </w:rPr>
        <w:t xml:space="preserve">B. </w:t>
      </w:r>
      <w:r w:rsidR="79ADAC52" w:rsidRPr="00D571C6">
        <w:rPr>
          <w:sz w:val="22"/>
          <w:szCs w:val="22"/>
        </w:rPr>
        <w:t xml:space="preserve">Read length distribution plots of cattle capped small RNAs. </w:t>
      </w:r>
      <w:r w:rsidR="79ADAC52" w:rsidRPr="00D571C6">
        <w:rPr>
          <w:b/>
          <w:bCs/>
          <w:color w:val="333333"/>
          <w:sz w:val="22"/>
          <w:szCs w:val="22"/>
        </w:rPr>
        <w:t>C</w:t>
      </w:r>
      <w:r w:rsidR="79ADAC52" w:rsidRPr="00D571C6">
        <w:rPr>
          <w:color w:val="333333"/>
          <w:sz w:val="22"/>
          <w:szCs w:val="22"/>
        </w:rPr>
        <w:t xml:space="preserve">. Scatterplot comparing the expression level of small </w:t>
      </w:r>
      <w:proofErr w:type="gramStart"/>
      <w:r w:rsidR="79ADAC52" w:rsidRPr="00D571C6">
        <w:rPr>
          <w:color w:val="333333"/>
          <w:sz w:val="22"/>
          <w:szCs w:val="22"/>
        </w:rPr>
        <w:t>RNAs</w:t>
      </w:r>
      <w:proofErr w:type="gramEnd"/>
      <w:r w:rsidR="79ADAC52" w:rsidRPr="00D571C6">
        <w:rPr>
          <w:color w:val="333333"/>
          <w:sz w:val="22"/>
          <w:szCs w:val="22"/>
        </w:rPr>
        <w:t xml:space="preserve"> and </w:t>
      </w:r>
      <w:r w:rsidR="79ADAC52" w:rsidRPr="00D571C6">
        <w:rPr>
          <w:b/>
          <w:bCs/>
          <w:color w:val="333333"/>
          <w:sz w:val="22"/>
          <w:szCs w:val="22"/>
        </w:rPr>
        <w:t>D</w:t>
      </w:r>
      <w:r w:rsidR="79ADAC52" w:rsidRPr="00D571C6">
        <w:rPr>
          <w:color w:val="333333"/>
          <w:sz w:val="22"/>
          <w:szCs w:val="22"/>
        </w:rPr>
        <w:t xml:space="preserve">. capped small RNAs using the Illumina and AVITI platform. </w:t>
      </w:r>
      <w:r w:rsidR="79ADAC52" w:rsidRPr="00D571C6">
        <w:rPr>
          <w:b/>
          <w:bCs/>
          <w:color w:val="333333"/>
          <w:sz w:val="22"/>
          <w:szCs w:val="22"/>
        </w:rPr>
        <w:t>E</w:t>
      </w:r>
      <w:r w:rsidR="79ADAC52" w:rsidRPr="00D571C6">
        <w:rPr>
          <w:color w:val="333333"/>
          <w:sz w:val="22"/>
          <w:szCs w:val="22"/>
        </w:rPr>
        <w:t xml:space="preserve">. Comparison of the detection of small RNA types of different lengths (miRNAs: 21-24; snoRNAs: 55-61). </w:t>
      </w:r>
      <w:r w:rsidR="79ADAC52" w:rsidRPr="00D571C6">
        <w:rPr>
          <w:b/>
          <w:bCs/>
          <w:color w:val="333333"/>
          <w:sz w:val="22"/>
          <w:szCs w:val="22"/>
        </w:rPr>
        <w:t xml:space="preserve">F. </w:t>
      </w:r>
      <w:r w:rsidR="79ADAC52" w:rsidRPr="00D571C6">
        <w:rPr>
          <w:color w:val="333333"/>
          <w:sz w:val="22"/>
          <w:szCs w:val="22"/>
        </w:rPr>
        <w:t xml:space="preserve">Scatterplot comparing the expression level among replicates of cattle small RNAs and </w:t>
      </w:r>
      <w:r w:rsidR="79ADAC52" w:rsidRPr="00D571C6">
        <w:rPr>
          <w:b/>
          <w:bCs/>
          <w:color w:val="333333"/>
          <w:sz w:val="22"/>
          <w:szCs w:val="22"/>
        </w:rPr>
        <w:t>G.</w:t>
      </w:r>
      <w:r w:rsidR="79ADAC52" w:rsidRPr="00D571C6">
        <w:rPr>
          <w:color w:val="333333"/>
          <w:sz w:val="22"/>
          <w:szCs w:val="22"/>
        </w:rPr>
        <w:t xml:space="preserve"> capped small RNAs using the Illumina and AVITI platform.</w:t>
      </w:r>
    </w:p>
    <w:p w14:paraId="693DC43D" w14:textId="55F81E40" w:rsidR="00BD2849" w:rsidRDefault="09B4F07D" w:rsidP="00A20B05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  <w:r w:rsidRPr="00D571C6">
        <w:rPr>
          <w:noProof/>
          <w:sz w:val="22"/>
          <w:szCs w:val="22"/>
        </w:rPr>
        <w:lastRenderedPageBreak/>
        <w:drawing>
          <wp:inline distT="0" distB="0" distL="0" distR="0" wp14:anchorId="7C232C62" wp14:editId="30CF6D6F">
            <wp:extent cx="3590959" cy="3162300"/>
            <wp:effectExtent l="0" t="0" r="9525" b="0"/>
            <wp:docPr id="1503185638" name="Picture 1503185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1856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543" cy="317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5424B" w14:textId="77777777" w:rsidR="00A20B05" w:rsidRPr="00D571C6" w:rsidRDefault="00A20B05" w:rsidP="00A20B05">
      <w:pPr>
        <w:pStyle w:val="paragraph"/>
        <w:spacing w:before="0" w:beforeAutospacing="0" w:after="0" w:afterAutospacing="0"/>
        <w:jc w:val="center"/>
        <w:textAlignment w:val="baseline"/>
        <w:rPr>
          <w:sz w:val="22"/>
          <w:szCs w:val="22"/>
        </w:rPr>
      </w:pPr>
    </w:p>
    <w:p w14:paraId="32859B66" w14:textId="7FA7C774" w:rsidR="00BD2849" w:rsidRDefault="00BD2849" w:rsidP="00466733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  <w:r w:rsidRPr="00D571C6">
        <w:rPr>
          <w:b/>
          <w:bCs/>
          <w:sz w:val="22"/>
          <w:szCs w:val="22"/>
        </w:rPr>
        <w:t>Fig</w:t>
      </w:r>
      <w:r w:rsidR="22301561" w:rsidRPr="00D571C6">
        <w:rPr>
          <w:b/>
          <w:bCs/>
          <w:sz w:val="22"/>
          <w:szCs w:val="22"/>
        </w:rPr>
        <w:t>.</w:t>
      </w:r>
      <w:r w:rsidRPr="00D571C6">
        <w:rPr>
          <w:b/>
          <w:bCs/>
          <w:sz w:val="22"/>
          <w:szCs w:val="22"/>
        </w:rPr>
        <w:t xml:space="preserve"> S5: </w:t>
      </w:r>
      <w:proofErr w:type="spellStart"/>
      <w:r w:rsidRPr="00D571C6">
        <w:rPr>
          <w:b/>
          <w:bCs/>
          <w:sz w:val="22"/>
          <w:szCs w:val="22"/>
        </w:rPr>
        <w:t>csRNA</w:t>
      </w:r>
      <w:proofErr w:type="spellEnd"/>
      <w:r w:rsidRPr="00D571C6">
        <w:rPr>
          <w:b/>
          <w:bCs/>
          <w:sz w:val="22"/>
          <w:szCs w:val="22"/>
        </w:rPr>
        <w:t>-seq could be used to improve 5’ annotations of livestock genes</w:t>
      </w:r>
      <w:r w:rsidR="3F871C24" w:rsidRPr="00D571C6">
        <w:rPr>
          <w:b/>
          <w:bCs/>
          <w:sz w:val="22"/>
          <w:szCs w:val="22"/>
        </w:rPr>
        <w:t>.</w:t>
      </w:r>
      <w:r w:rsidR="2B80C278" w:rsidRPr="00D571C6">
        <w:rPr>
          <w:b/>
          <w:bCs/>
          <w:sz w:val="22"/>
          <w:szCs w:val="22"/>
        </w:rPr>
        <w:t xml:space="preserve"> </w:t>
      </w:r>
      <w:r w:rsidR="017ADCC3" w:rsidRPr="00D571C6">
        <w:rPr>
          <w:b/>
          <w:bCs/>
          <w:sz w:val="22"/>
          <w:szCs w:val="22"/>
        </w:rPr>
        <w:t xml:space="preserve">A. </w:t>
      </w:r>
      <w:r w:rsidR="017ADCC3" w:rsidRPr="00D571C6">
        <w:rPr>
          <w:sz w:val="22"/>
          <w:szCs w:val="22"/>
        </w:rPr>
        <w:t xml:space="preserve">Comparison of experimentally defined TSSs from </w:t>
      </w:r>
      <w:r w:rsidR="236CC52F" w:rsidRPr="00D571C6">
        <w:rPr>
          <w:sz w:val="22"/>
          <w:szCs w:val="22"/>
        </w:rPr>
        <w:t>A375</w:t>
      </w:r>
      <w:r w:rsidR="017ADCC3" w:rsidRPr="00D571C6">
        <w:rPr>
          <w:sz w:val="22"/>
          <w:szCs w:val="22"/>
        </w:rPr>
        <w:t xml:space="preserve"> by </w:t>
      </w:r>
      <w:proofErr w:type="spellStart"/>
      <w:r w:rsidR="017ADCC3" w:rsidRPr="00D571C6">
        <w:rPr>
          <w:sz w:val="22"/>
          <w:szCs w:val="22"/>
        </w:rPr>
        <w:t>csRNA</w:t>
      </w:r>
      <w:proofErr w:type="spellEnd"/>
      <w:r w:rsidR="017ADCC3" w:rsidRPr="00D571C6">
        <w:rPr>
          <w:sz w:val="22"/>
          <w:szCs w:val="22"/>
        </w:rPr>
        <w:t xml:space="preserve">-seq relative to the </w:t>
      </w:r>
      <w:r w:rsidR="1E4F984B" w:rsidRPr="00D571C6">
        <w:rPr>
          <w:sz w:val="22"/>
          <w:szCs w:val="22"/>
        </w:rPr>
        <w:t>h</w:t>
      </w:r>
      <w:r w:rsidR="017ADCC3" w:rsidRPr="00D571C6">
        <w:rPr>
          <w:sz w:val="22"/>
          <w:szCs w:val="22"/>
        </w:rPr>
        <w:t xml:space="preserve">uman </w:t>
      </w:r>
      <w:proofErr w:type="spellStart"/>
      <w:r w:rsidR="017ADCC3" w:rsidRPr="00D571C6">
        <w:rPr>
          <w:sz w:val="22"/>
          <w:szCs w:val="22"/>
        </w:rPr>
        <w:t>RefSeq</w:t>
      </w:r>
      <w:proofErr w:type="spellEnd"/>
      <w:r w:rsidR="017ADCC3" w:rsidRPr="00D571C6">
        <w:rPr>
          <w:sz w:val="22"/>
          <w:szCs w:val="22"/>
        </w:rPr>
        <w:t xml:space="preserve"> annotation and </w:t>
      </w:r>
      <w:r w:rsidR="017ADCC3" w:rsidRPr="00D571C6">
        <w:rPr>
          <w:b/>
          <w:bCs/>
          <w:sz w:val="22"/>
          <w:szCs w:val="22"/>
        </w:rPr>
        <w:t xml:space="preserve">B. </w:t>
      </w:r>
      <w:r w:rsidR="017ADCC3" w:rsidRPr="00D571C6">
        <w:rPr>
          <w:sz w:val="22"/>
          <w:szCs w:val="22"/>
        </w:rPr>
        <w:t xml:space="preserve">all comparison of experimentally defined TSS from the respective </w:t>
      </w:r>
      <w:proofErr w:type="spellStart"/>
      <w:r w:rsidR="017ADCC3" w:rsidRPr="00D571C6">
        <w:rPr>
          <w:sz w:val="22"/>
          <w:szCs w:val="22"/>
        </w:rPr>
        <w:t>RefSeq</w:t>
      </w:r>
      <w:proofErr w:type="spellEnd"/>
      <w:r w:rsidR="017ADCC3" w:rsidRPr="00D571C6">
        <w:rPr>
          <w:sz w:val="22"/>
          <w:szCs w:val="22"/>
        </w:rPr>
        <w:t xml:space="preserve">. </w:t>
      </w:r>
      <w:r w:rsidR="017ADCC3" w:rsidRPr="00D571C6">
        <w:rPr>
          <w:b/>
          <w:bCs/>
          <w:sz w:val="22"/>
          <w:szCs w:val="22"/>
        </w:rPr>
        <w:t xml:space="preserve">C. </w:t>
      </w:r>
      <w:r w:rsidR="017ADCC3" w:rsidRPr="00D571C6">
        <w:rPr>
          <w:sz w:val="22"/>
          <w:szCs w:val="22"/>
        </w:rPr>
        <w:t xml:space="preserve">Comparison of the frequency of TATA box sites and </w:t>
      </w:r>
      <w:r w:rsidR="017ADCC3" w:rsidRPr="00D571C6">
        <w:rPr>
          <w:b/>
          <w:bCs/>
          <w:sz w:val="22"/>
          <w:szCs w:val="22"/>
        </w:rPr>
        <w:t xml:space="preserve">D. </w:t>
      </w:r>
      <w:r w:rsidR="017ADCC3" w:rsidRPr="00D571C6">
        <w:rPr>
          <w:sz w:val="22"/>
          <w:szCs w:val="22"/>
        </w:rPr>
        <w:t xml:space="preserve">Initiator sites per 1000 bp between our experimental TSS and </w:t>
      </w:r>
      <w:proofErr w:type="spellStart"/>
      <w:r w:rsidR="017ADCC3" w:rsidRPr="00D571C6">
        <w:rPr>
          <w:sz w:val="22"/>
          <w:szCs w:val="22"/>
        </w:rPr>
        <w:t>RefSeq</w:t>
      </w:r>
      <w:proofErr w:type="spellEnd"/>
      <w:r w:rsidR="017ADCC3" w:rsidRPr="00D571C6">
        <w:rPr>
          <w:sz w:val="22"/>
          <w:szCs w:val="22"/>
        </w:rPr>
        <w:t xml:space="preserve"> for </w:t>
      </w:r>
      <w:r w:rsidR="67B4690B" w:rsidRPr="00D571C6">
        <w:rPr>
          <w:sz w:val="22"/>
          <w:szCs w:val="22"/>
        </w:rPr>
        <w:t>A375</w:t>
      </w:r>
      <w:r w:rsidR="017ADCC3" w:rsidRPr="00D571C6">
        <w:rPr>
          <w:b/>
          <w:bCs/>
          <w:sz w:val="22"/>
          <w:szCs w:val="22"/>
        </w:rPr>
        <w:t>.</w:t>
      </w:r>
    </w:p>
    <w:p w14:paraId="4B6C5E82" w14:textId="77777777" w:rsidR="00A20B05" w:rsidRPr="00D571C6" w:rsidRDefault="00A20B05" w:rsidP="00466733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2"/>
          <w:szCs w:val="22"/>
        </w:rPr>
      </w:pPr>
    </w:p>
    <w:p w14:paraId="4AA76289" w14:textId="77777777" w:rsidR="00BD2849" w:rsidRDefault="00BD2849" w:rsidP="00A20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</w:rPr>
      </w:pPr>
      <w:r w:rsidRPr="00D571C6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7B2E85" wp14:editId="0E1F2375">
            <wp:extent cx="3982657" cy="5162550"/>
            <wp:effectExtent l="0" t="0" r="0" b="0"/>
            <wp:docPr id="1043856299" name="Picture 3" descr="A diagram of a nucleot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213" cy="517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00B97" w14:textId="77777777" w:rsidR="00B322E5" w:rsidRPr="00D571C6" w:rsidRDefault="00B322E5" w:rsidP="00A20B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</w:rPr>
      </w:pPr>
    </w:p>
    <w:p w14:paraId="139195DB" w14:textId="5CE556F2" w:rsidR="00D219BD" w:rsidRPr="00D571C6" w:rsidRDefault="017ADCC3" w:rsidP="004667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</w:rPr>
      </w:pP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>Fig</w:t>
      </w:r>
      <w:r w:rsidR="533B809E" w:rsidRPr="00D571C6">
        <w:rPr>
          <w:rFonts w:ascii="Times New Roman" w:eastAsia="Times New Roman" w:hAnsi="Times New Roman" w:cs="Times New Roman"/>
          <w:b/>
          <w:bCs/>
          <w:color w:val="333333"/>
        </w:rPr>
        <w:t>.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 S6: Nucleotide frequencies near human, cattle and bison transcription start sites experimentally defined by </w:t>
      </w:r>
      <w:proofErr w:type="spellStart"/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>csRNA</w:t>
      </w:r>
      <w:proofErr w:type="spellEnd"/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>-seq</w:t>
      </w:r>
      <w:r w:rsidR="235E5244" w:rsidRPr="00D571C6">
        <w:rPr>
          <w:rFonts w:ascii="Times New Roman" w:eastAsia="Times New Roman" w:hAnsi="Times New Roman" w:cs="Times New Roman"/>
          <w:b/>
          <w:bCs/>
          <w:color w:val="333333"/>
        </w:rPr>
        <w:t xml:space="preserve">. 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A. 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 xml:space="preserve">Nucleotide frequency plots of TSSs in human A375 cancer cells, 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>B.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 xml:space="preserve"> human BT474 cancer cells,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 C. 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>cattle, and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 D. 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>bison.</w:t>
      </w:r>
      <w:r w:rsidRPr="00D571C6">
        <w:rPr>
          <w:rFonts w:ascii="Times New Roman" w:eastAsia="Times New Roman" w:hAnsi="Times New Roman" w:cs="Times New Roman"/>
          <w:b/>
          <w:bCs/>
          <w:color w:val="333333"/>
          <w:kern w:val="0"/>
        </w:rPr>
        <w:t xml:space="preserve"> E. 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 xml:space="preserve">Combined </w:t>
      </w:r>
      <w:r w:rsidR="05C2D351" w:rsidRPr="00D571C6">
        <w:rPr>
          <w:rFonts w:ascii="Times New Roman" w:eastAsia="Times New Roman" w:hAnsi="Times New Roman" w:cs="Times New Roman"/>
          <w:color w:val="333333"/>
        </w:rPr>
        <w:t>adenine</w:t>
      </w:r>
      <w:r w:rsidRPr="00D571C6">
        <w:rPr>
          <w:rFonts w:ascii="Times New Roman" w:eastAsia="Times New Roman" w:hAnsi="Times New Roman" w:cs="Times New Roman"/>
          <w:color w:val="333333"/>
          <w:kern w:val="0"/>
        </w:rPr>
        <w:t xml:space="preserve"> nucleotide frequency plot for each species and cell line.</w:t>
      </w:r>
    </w:p>
    <w:sectPr w:rsidR="00D219BD" w:rsidRPr="00D571C6" w:rsidSect="003C6E9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68914" w14:textId="77777777" w:rsidR="00A4108E" w:rsidRDefault="00A4108E">
      <w:pPr>
        <w:spacing w:after="0" w:line="240" w:lineRule="auto"/>
      </w:pPr>
      <w:r>
        <w:separator/>
      </w:r>
    </w:p>
  </w:endnote>
  <w:endnote w:type="continuationSeparator" w:id="0">
    <w:p w14:paraId="333E9571" w14:textId="77777777" w:rsidR="00A4108E" w:rsidRDefault="00A4108E">
      <w:pPr>
        <w:spacing w:after="0" w:line="240" w:lineRule="auto"/>
      </w:pPr>
      <w:r>
        <w:continuationSeparator/>
      </w:r>
    </w:p>
  </w:endnote>
  <w:endnote w:type="continuationNotice" w:id="1">
    <w:p w14:paraId="7A5EF24F" w14:textId="77777777" w:rsidR="00A4108E" w:rsidRDefault="00A410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33582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69A9EB" w14:textId="77777777" w:rsidR="00BD2849" w:rsidRDefault="00BD28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A86DF8" w14:textId="77777777" w:rsidR="00BD2849" w:rsidRDefault="00BD28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67901" w14:textId="77777777" w:rsidR="00A4108E" w:rsidRDefault="00A4108E">
      <w:pPr>
        <w:spacing w:after="0" w:line="240" w:lineRule="auto"/>
      </w:pPr>
      <w:r>
        <w:separator/>
      </w:r>
    </w:p>
  </w:footnote>
  <w:footnote w:type="continuationSeparator" w:id="0">
    <w:p w14:paraId="14BADEDC" w14:textId="77777777" w:rsidR="00A4108E" w:rsidRDefault="00A4108E">
      <w:pPr>
        <w:spacing w:after="0" w:line="240" w:lineRule="auto"/>
      </w:pPr>
      <w:r>
        <w:continuationSeparator/>
      </w:r>
    </w:p>
  </w:footnote>
  <w:footnote w:type="continuationNotice" w:id="1">
    <w:p w14:paraId="210F8397" w14:textId="77777777" w:rsidR="00A4108E" w:rsidRDefault="00A4108E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35E7F57-3D2A-4D2E-8D3E-B8E27B465C93}"/>
    <w:docVar w:name="dgnword-eventsink" w:val="2913302599072"/>
  </w:docVars>
  <w:rsids>
    <w:rsidRoot w:val="00BD2849"/>
    <w:rsid w:val="00075C6E"/>
    <w:rsid w:val="00086E04"/>
    <w:rsid w:val="00094F2C"/>
    <w:rsid w:val="000F2533"/>
    <w:rsid w:val="001341FB"/>
    <w:rsid w:val="00151D5B"/>
    <w:rsid w:val="001C62E4"/>
    <w:rsid w:val="00256415"/>
    <w:rsid w:val="0029475B"/>
    <w:rsid w:val="002B349E"/>
    <w:rsid w:val="00331FCA"/>
    <w:rsid w:val="00371D3D"/>
    <w:rsid w:val="003961CB"/>
    <w:rsid w:val="003AC3A9"/>
    <w:rsid w:val="003C6E91"/>
    <w:rsid w:val="003D0177"/>
    <w:rsid w:val="003D0B34"/>
    <w:rsid w:val="003D3939"/>
    <w:rsid w:val="004055F7"/>
    <w:rsid w:val="00451EA6"/>
    <w:rsid w:val="00466733"/>
    <w:rsid w:val="00496396"/>
    <w:rsid w:val="004A5BAE"/>
    <w:rsid w:val="004B1E46"/>
    <w:rsid w:val="00566A01"/>
    <w:rsid w:val="005772DD"/>
    <w:rsid w:val="005A2161"/>
    <w:rsid w:val="005A30C0"/>
    <w:rsid w:val="006637F4"/>
    <w:rsid w:val="00693192"/>
    <w:rsid w:val="006C1766"/>
    <w:rsid w:val="006E1621"/>
    <w:rsid w:val="006E4B1E"/>
    <w:rsid w:val="00775373"/>
    <w:rsid w:val="00816744"/>
    <w:rsid w:val="00893A3F"/>
    <w:rsid w:val="00897EEC"/>
    <w:rsid w:val="00923131"/>
    <w:rsid w:val="0092596B"/>
    <w:rsid w:val="00930331"/>
    <w:rsid w:val="00946DAC"/>
    <w:rsid w:val="00990B76"/>
    <w:rsid w:val="009A190D"/>
    <w:rsid w:val="009C1B2B"/>
    <w:rsid w:val="009D1AF3"/>
    <w:rsid w:val="009F220D"/>
    <w:rsid w:val="00A03524"/>
    <w:rsid w:val="00A20B05"/>
    <w:rsid w:val="00A23391"/>
    <w:rsid w:val="00A4108E"/>
    <w:rsid w:val="00A52689"/>
    <w:rsid w:val="00AB1AE7"/>
    <w:rsid w:val="00B322E5"/>
    <w:rsid w:val="00B523AA"/>
    <w:rsid w:val="00B600D4"/>
    <w:rsid w:val="00B859D6"/>
    <w:rsid w:val="00B8C6F4"/>
    <w:rsid w:val="00BD2849"/>
    <w:rsid w:val="00C833D3"/>
    <w:rsid w:val="00CF0FC2"/>
    <w:rsid w:val="00D006B6"/>
    <w:rsid w:val="00D219BD"/>
    <w:rsid w:val="00D2312D"/>
    <w:rsid w:val="00D316C1"/>
    <w:rsid w:val="00D36487"/>
    <w:rsid w:val="00D364BA"/>
    <w:rsid w:val="00D571C6"/>
    <w:rsid w:val="00D91197"/>
    <w:rsid w:val="00D91AA5"/>
    <w:rsid w:val="00D91EB9"/>
    <w:rsid w:val="00DA19A5"/>
    <w:rsid w:val="00DB78ED"/>
    <w:rsid w:val="00DD2298"/>
    <w:rsid w:val="00F36C19"/>
    <w:rsid w:val="00F37246"/>
    <w:rsid w:val="00FF2BDF"/>
    <w:rsid w:val="017ADCC3"/>
    <w:rsid w:val="0221C8A2"/>
    <w:rsid w:val="02A3767A"/>
    <w:rsid w:val="02F2BE1E"/>
    <w:rsid w:val="042785B1"/>
    <w:rsid w:val="045524BF"/>
    <w:rsid w:val="053F5090"/>
    <w:rsid w:val="05C2D351"/>
    <w:rsid w:val="06FE07D5"/>
    <w:rsid w:val="08C776E4"/>
    <w:rsid w:val="0904BFEA"/>
    <w:rsid w:val="09B4F07D"/>
    <w:rsid w:val="09B88D9F"/>
    <w:rsid w:val="09F54603"/>
    <w:rsid w:val="0B03B7DA"/>
    <w:rsid w:val="0B2AD61A"/>
    <w:rsid w:val="0CA1EAB2"/>
    <w:rsid w:val="0D02BE6B"/>
    <w:rsid w:val="0E8273CA"/>
    <w:rsid w:val="0EA19D0D"/>
    <w:rsid w:val="107D789F"/>
    <w:rsid w:val="11D44854"/>
    <w:rsid w:val="1376FDAE"/>
    <w:rsid w:val="13EC06CC"/>
    <w:rsid w:val="163A0FAE"/>
    <w:rsid w:val="16513273"/>
    <w:rsid w:val="18A2B62C"/>
    <w:rsid w:val="1958ECE3"/>
    <w:rsid w:val="1B659EF7"/>
    <w:rsid w:val="1C3C4619"/>
    <w:rsid w:val="1CCB9F86"/>
    <w:rsid w:val="1D04ED73"/>
    <w:rsid w:val="1D8E7DE2"/>
    <w:rsid w:val="1E106F76"/>
    <w:rsid w:val="1E33316D"/>
    <w:rsid w:val="1E4F984B"/>
    <w:rsid w:val="1EBC6AC5"/>
    <w:rsid w:val="1F48C2E7"/>
    <w:rsid w:val="1F8BF994"/>
    <w:rsid w:val="1FFA0848"/>
    <w:rsid w:val="222EAD35"/>
    <w:rsid w:val="22301561"/>
    <w:rsid w:val="224A0E10"/>
    <w:rsid w:val="2290C857"/>
    <w:rsid w:val="235E5244"/>
    <w:rsid w:val="236192F9"/>
    <w:rsid w:val="236CC52F"/>
    <w:rsid w:val="237D2A00"/>
    <w:rsid w:val="243D79F4"/>
    <w:rsid w:val="249F8C19"/>
    <w:rsid w:val="25209B57"/>
    <w:rsid w:val="25A61160"/>
    <w:rsid w:val="26D3C6B5"/>
    <w:rsid w:val="26EEE424"/>
    <w:rsid w:val="27BE8EEA"/>
    <w:rsid w:val="2814FC7A"/>
    <w:rsid w:val="281B2845"/>
    <w:rsid w:val="284CB0F1"/>
    <w:rsid w:val="286E977E"/>
    <w:rsid w:val="28BB735F"/>
    <w:rsid w:val="28BE7DAE"/>
    <w:rsid w:val="29494C12"/>
    <w:rsid w:val="2AB8E032"/>
    <w:rsid w:val="2B463401"/>
    <w:rsid w:val="2B80C278"/>
    <w:rsid w:val="2C7AED63"/>
    <w:rsid w:val="2D3192F6"/>
    <w:rsid w:val="2D3F5816"/>
    <w:rsid w:val="2EDAD417"/>
    <w:rsid w:val="2FC5A070"/>
    <w:rsid w:val="3433C90B"/>
    <w:rsid w:val="3489F7E7"/>
    <w:rsid w:val="352444F2"/>
    <w:rsid w:val="36C8D553"/>
    <w:rsid w:val="36F3E8C1"/>
    <w:rsid w:val="375FF548"/>
    <w:rsid w:val="39597CB3"/>
    <w:rsid w:val="3989A4B2"/>
    <w:rsid w:val="39DED2E9"/>
    <w:rsid w:val="3A2BEC72"/>
    <w:rsid w:val="3C417772"/>
    <w:rsid w:val="3DF41A3F"/>
    <w:rsid w:val="3E92BF0E"/>
    <w:rsid w:val="3F871C24"/>
    <w:rsid w:val="4433F527"/>
    <w:rsid w:val="448E205D"/>
    <w:rsid w:val="450E1363"/>
    <w:rsid w:val="46D1F150"/>
    <w:rsid w:val="471D5743"/>
    <w:rsid w:val="475D4D2A"/>
    <w:rsid w:val="486061AD"/>
    <w:rsid w:val="48B5D80A"/>
    <w:rsid w:val="498E44CD"/>
    <w:rsid w:val="49EC1F3A"/>
    <w:rsid w:val="4A059AF1"/>
    <w:rsid w:val="4AAE2FBC"/>
    <w:rsid w:val="4B2CBA8A"/>
    <w:rsid w:val="4B49DC38"/>
    <w:rsid w:val="4BBEC2EE"/>
    <w:rsid w:val="4BF36820"/>
    <w:rsid w:val="4CA1EA72"/>
    <w:rsid w:val="4E3901CB"/>
    <w:rsid w:val="4EE34A1F"/>
    <w:rsid w:val="4F6AFFF6"/>
    <w:rsid w:val="4F9577E6"/>
    <w:rsid w:val="51224427"/>
    <w:rsid w:val="533B809E"/>
    <w:rsid w:val="53DF14C0"/>
    <w:rsid w:val="54934F13"/>
    <w:rsid w:val="54BE25C5"/>
    <w:rsid w:val="55DBC555"/>
    <w:rsid w:val="56454B38"/>
    <w:rsid w:val="56998A77"/>
    <w:rsid w:val="5709F63E"/>
    <w:rsid w:val="5740C5A4"/>
    <w:rsid w:val="57905507"/>
    <w:rsid w:val="594BB06D"/>
    <w:rsid w:val="5AE9CD0C"/>
    <w:rsid w:val="5AF4A0A1"/>
    <w:rsid w:val="5B0DAC5F"/>
    <w:rsid w:val="5C3A3494"/>
    <w:rsid w:val="5C48FCF0"/>
    <w:rsid w:val="5CAF3E55"/>
    <w:rsid w:val="5CE72343"/>
    <w:rsid w:val="5DE117AC"/>
    <w:rsid w:val="5FB376BC"/>
    <w:rsid w:val="6005F844"/>
    <w:rsid w:val="611116BD"/>
    <w:rsid w:val="6203B3D5"/>
    <w:rsid w:val="63D7E11D"/>
    <w:rsid w:val="63D81CE1"/>
    <w:rsid w:val="640A0816"/>
    <w:rsid w:val="644CB3E6"/>
    <w:rsid w:val="669971D5"/>
    <w:rsid w:val="66CFCA14"/>
    <w:rsid w:val="67AAE412"/>
    <w:rsid w:val="67B4690B"/>
    <w:rsid w:val="69EED724"/>
    <w:rsid w:val="6A6C796D"/>
    <w:rsid w:val="6AA7C3C8"/>
    <w:rsid w:val="6AE5BDE0"/>
    <w:rsid w:val="6C1021CF"/>
    <w:rsid w:val="6DAC89FF"/>
    <w:rsid w:val="6FB5198E"/>
    <w:rsid w:val="70F4F941"/>
    <w:rsid w:val="71A8AF9C"/>
    <w:rsid w:val="721B59D8"/>
    <w:rsid w:val="7240D9A6"/>
    <w:rsid w:val="73F1176F"/>
    <w:rsid w:val="7452DDD9"/>
    <w:rsid w:val="7547CABE"/>
    <w:rsid w:val="75925A18"/>
    <w:rsid w:val="759409C5"/>
    <w:rsid w:val="75B32E4B"/>
    <w:rsid w:val="75D19FB1"/>
    <w:rsid w:val="761E7D97"/>
    <w:rsid w:val="77E0BB28"/>
    <w:rsid w:val="782F91CD"/>
    <w:rsid w:val="787EC2EC"/>
    <w:rsid w:val="79ADAC52"/>
    <w:rsid w:val="79C93512"/>
    <w:rsid w:val="7E8A66E1"/>
    <w:rsid w:val="7FA1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4333"/>
  <w15:chartTrackingRefBased/>
  <w15:docId w15:val="{BFB78BC7-50B5-4974-B4BA-44366211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849"/>
  </w:style>
  <w:style w:type="paragraph" w:styleId="Heading1">
    <w:name w:val="heading 1"/>
    <w:basedOn w:val="Normal"/>
    <w:next w:val="Normal"/>
    <w:link w:val="Heading1Char"/>
    <w:uiPriority w:val="9"/>
    <w:qFormat/>
    <w:rsid w:val="00BD2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8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8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8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8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8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8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8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8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8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849"/>
    <w:rPr>
      <w:b/>
      <w:bCs/>
      <w:smallCaps/>
      <w:color w:val="2F5496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BD2849"/>
  </w:style>
  <w:style w:type="paragraph" w:customStyle="1" w:styleId="paragraph">
    <w:name w:val="paragraph"/>
    <w:basedOn w:val="Normal"/>
    <w:rsid w:val="00BD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BD2849"/>
  </w:style>
  <w:style w:type="character" w:customStyle="1" w:styleId="eop">
    <w:name w:val="eop"/>
    <w:basedOn w:val="DefaultParagraphFont"/>
    <w:rsid w:val="00BD2849"/>
  </w:style>
  <w:style w:type="paragraph" w:styleId="Footer">
    <w:name w:val="footer"/>
    <w:basedOn w:val="Normal"/>
    <w:link w:val="FooterChar"/>
    <w:uiPriority w:val="99"/>
    <w:unhideWhenUsed/>
    <w:rsid w:val="00BD2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849"/>
  </w:style>
  <w:style w:type="character" w:customStyle="1" w:styleId="cf01">
    <w:name w:val="cf01"/>
    <w:basedOn w:val="DefaultParagraphFont"/>
    <w:rsid w:val="00BD2849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D2849"/>
  </w:style>
  <w:style w:type="paragraph" w:styleId="NormalWeb">
    <w:name w:val="Normal (Web)"/>
    <w:basedOn w:val="Normal"/>
    <w:uiPriority w:val="99"/>
    <w:unhideWhenUsed/>
    <w:rsid w:val="00BD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rk7x230zur2">
    <w:name w:val="mark7x230zur2"/>
    <w:basedOn w:val="DefaultParagraphFont"/>
    <w:rsid w:val="00BD2849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131"/>
  </w:style>
  <w:style w:type="paragraph" w:styleId="Revision">
    <w:name w:val="Revision"/>
    <w:hidden/>
    <w:uiPriority w:val="99"/>
    <w:semiHidden/>
    <w:rsid w:val="00816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Duttke, Sascha</dc:creator>
  <cp:keywords/>
  <dc:description/>
  <cp:lastModifiedBy>Duttke, Sascha</cp:lastModifiedBy>
  <cp:revision>3</cp:revision>
  <cp:lastPrinted>2024-06-10T16:08:00Z</cp:lastPrinted>
  <dcterms:created xsi:type="dcterms:W3CDTF">2024-10-04T19:10:00Z</dcterms:created>
  <dcterms:modified xsi:type="dcterms:W3CDTF">2024-10-04T19:10:00Z</dcterms:modified>
</cp:coreProperties>
</file>