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41BCC">
      <w:pPr>
        <w:keepNext w:val="0"/>
        <w:keepLines w:val="0"/>
        <w:pageBreakBefore w:val="0"/>
        <w:widowControl/>
        <w:suppressLineNumbers w:val="0"/>
        <w:wordWrap/>
        <w:topLinePunct w:val="0"/>
        <w:autoSpaceDE/>
        <w:autoSpaceDN/>
        <w:bidi w:val="0"/>
        <w:adjustRightInd/>
        <w:spacing w:line="360" w:lineRule="auto"/>
        <w:ind w:left="-1" w:leftChars="-99" w:hanging="237" w:hangingChars="108"/>
        <w:jc w:val="both"/>
        <w:rPr>
          <w:rFonts w:hint="eastAsia" w:ascii="Times New Roman" w:hAnsi="Times New Roman" w:eastAsia="宋体" w:cs="Times"/>
          <w:i w:val="0"/>
          <w:iCs w:val="0"/>
          <w:caps w:val="0"/>
          <w:color w:val="222222"/>
          <w:spacing w:val="0"/>
          <w:sz w:val="22"/>
          <w:szCs w:val="22"/>
          <w:shd w:val="clear" w:fill="FFFFFF"/>
          <w:lang w:eastAsia="zh-CN"/>
        </w:rPr>
      </w:pPr>
      <w:r>
        <w:rPr>
          <w:rFonts w:hint="eastAsia" w:ascii="Times New Roman" w:hAnsi="Times New Roman" w:eastAsia="宋体" w:cs="Times"/>
          <w:i w:val="0"/>
          <w:iCs w:val="0"/>
          <w:caps w:val="0"/>
          <w:color w:val="222222"/>
          <w:spacing w:val="0"/>
          <w:sz w:val="22"/>
          <w:szCs w:val="22"/>
          <w:shd w:val="clear" w:fill="FFFFFF"/>
          <w:lang w:eastAsia="zh-CN"/>
        </w:rPr>
        <w:drawing>
          <wp:inline distT="0" distB="0" distL="114300" distR="114300">
            <wp:extent cx="5623560" cy="7922260"/>
            <wp:effectExtent l="0" t="0" r="0" b="2540"/>
            <wp:docPr id="30" name="图片 30" descr="tissue转录组质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tissue转录组质控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7922260"/>
                    </a:xfrm>
                    <a:prstGeom prst="rect">
                      <a:avLst/>
                    </a:prstGeom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082B1CD0">
      <w:pPr>
        <w:keepNext w:val="0"/>
        <w:keepLines w:val="0"/>
        <w:pageBreakBefore w:val="0"/>
        <w:wordWrap/>
        <w:topLinePunct w:val="0"/>
        <w:autoSpaceDE/>
        <w:autoSpaceDN/>
        <w:bidi w:val="0"/>
        <w:adjustRightInd/>
        <w:spacing w:line="360" w:lineRule="auto"/>
        <w:jc w:val="both"/>
        <w:rPr>
          <w:rFonts w:hint="default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Book Antiqua"/>
          <w:b/>
          <w:bCs/>
          <w:sz w:val="18"/>
          <w:szCs w:val="18"/>
          <w:highlight w:val="none"/>
        </w:rPr>
        <w:t>Fig</w:t>
      </w:r>
      <w:r>
        <w:rPr>
          <w:rFonts w:hint="eastAsia" w:cs="Book Antiqua"/>
          <w:b/>
          <w:bCs/>
          <w:sz w:val="18"/>
          <w:szCs w:val="18"/>
          <w:highlight w:val="none"/>
          <w:lang w:val="en-US" w:eastAsia="zh-CN"/>
        </w:rPr>
        <w:t>ure</w:t>
      </w:r>
      <w:r>
        <w:rPr>
          <w:rFonts w:hint="eastAsia" w:ascii="Times New Roman" w:hAnsi="Times New Roman" w:eastAsia="宋体" w:cs="Book Antiqua"/>
          <w:b/>
          <w:bCs/>
          <w:sz w:val="18"/>
          <w:szCs w:val="18"/>
          <w:highlight w:val="none"/>
        </w:rPr>
        <w:t xml:space="preserve"> </w:t>
      </w:r>
      <w:r>
        <w:rPr>
          <w:rFonts w:hint="eastAsia" w:cs="Book Antiqua"/>
          <w:b/>
          <w:bCs/>
          <w:sz w:val="18"/>
          <w:szCs w:val="18"/>
          <w:highlight w:val="none"/>
          <w:lang w:val="en-US" w:eastAsia="zh-CN"/>
        </w:rPr>
        <w:t>S1</w:t>
      </w:r>
      <w:r>
        <w:rPr>
          <w:rFonts w:hint="eastAsia" w:ascii="Times New Roman" w:hAnsi="Times New Roman" w:eastAsia="宋体" w:cs="Book Antiqua"/>
          <w:b/>
          <w:bCs/>
          <w:sz w:val="18"/>
          <w:szCs w:val="18"/>
          <w:highlight w:val="none"/>
        </w:rPr>
        <w:t>. Transcriptome sequencing quality control of MASLD mouse model.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>(A) Gel electrophoresis of liver RNA.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>(B) Detection of RNA Integrity Number (RIN) for liver RNA.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>(C) 28S/18S ratio of liver RNA.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>(D) Pearson Correlation Coefficient (PCC) analysis under liver sample transcriptome.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>(E) Principal Component Analysis (PCA) analysis under liver sample transcriptome.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>(F) Box plot of expression levels in liver samples.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>(G) Density plot of expression levels in liver samples.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>(H) Stacked plot of expression levels in liver samples.</w:t>
      </w:r>
    </w:p>
    <w:p w14:paraId="5DDA6A15">
      <w:pPr>
        <w:pStyle w:val="2"/>
        <w:keepNext w:val="0"/>
        <w:keepLines w:val="0"/>
        <w:pageBreakBefore w:val="0"/>
        <w:widowControl/>
        <w:suppressLineNumbers w:val="0"/>
        <w:shd w:val="clear" w:fill="FFFFFF"/>
        <w:wordWrap/>
        <w:topLinePunct w:val="0"/>
        <w:autoSpaceDE/>
        <w:autoSpaceDN/>
        <w:bidi w:val="0"/>
        <w:adjustRightInd/>
        <w:spacing w:before="0" w:beforeAutospacing="0" w:after="158" w:afterAutospacing="0" w:line="360" w:lineRule="auto"/>
        <w:ind w:left="0" w:leftChars="-300" w:right="0" w:hanging="720" w:hangingChars="300"/>
        <w:jc w:val="both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drawing>
          <wp:inline distT="0" distB="0" distL="114300" distR="114300">
            <wp:extent cx="5953760" cy="7620000"/>
            <wp:effectExtent l="0" t="0" r="5080" b="0"/>
            <wp:docPr id="12" name="图片 12" descr="TISSUE蛋白组质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TISSUE蛋白组质控-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53760" cy="7620000"/>
                    </a:xfrm>
                    <a:prstGeom prst="rect">
                      <a:avLst/>
                    </a:prstGeom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7CD5C0F0">
      <w:pPr>
        <w:keepNext w:val="0"/>
        <w:keepLines w:val="0"/>
        <w:pageBreakBefore w:val="0"/>
        <w:wordWrap/>
        <w:topLinePunct w:val="0"/>
        <w:autoSpaceDE/>
        <w:autoSpaceDN/>
        <w:bidi w:val="0"/>
        <w:adjustRightInd/>
        <w:spacing w:line="360" w:lineRule="auto"/>
        <w:jc w:val="left"/>
        <w:rPr>
          <w:rFonts w:hint="eastAsia" w:cs="Book Antiqua"/>
          <w:sz w:val="18"/>
          <w:szCs w:val="18"/>
          <w:highlight w:val="none"/>
          <w:lang w:eastAsia="zh-CN"/>
        </w:rPr>
      </w:pPr>
      <w:r>
        <w:rPr>
          <w:rFonts w:hint="eastAsia" w:ascii="Times New Roman" w:hAnsi="Times New Roman" w:eastAsia="宋体" w:cs="Book Antiqua"/>
          <w:b/>
          <w:bCs/>
          <w:sz w:val="18"/>
          <w:szCs w:val="18"/>
          <w:highlight w:val="none"/>
        </w:rPr>
        <w:t>Fig</w:t>
      </w:r>
      <w:r>
        <w:rPr>
          <w:rFonts w:hint="eastAsia" w:cs="Book Antiqua"/>
          <w:b/>
          <w:bCs/>
          <w:sz w:val="18"/>
          <w:szCs w:val="18"/>
          <w:highlight w:val="none"/>
          <w:lang w:val="en-US" w:eastAsia="zh-CN"/>
        </w:rPr>
        <w:t>ure</w:t>
      </w:r>
      <w:r>
        <w:rPr>
          <w:rFonts w:hint="eastAsia" w:ascii="Times New Roman" w:hAnsi="Times New Roman" w:eastAsia="宋体" w:cs="Book Antiqua"/>
          <w:b/>
          <w:bCs/>
          <w:sz w:val="18"/>
          <w:szCs w:val="18"/>
          <w:highlight w:val="none"/>
        </w:rPr>
        <w:t xml:space="preserve"> </w:t>
      </w:r>
      <w:r>
        <w:rPr>
          <w:rFonts w:hint="eastAsia" w:cs="Book Antiqua"/>
          <w:b/>
          <w:bCs/>
          <w:sz w:val="18"/>
          <w:szCs w:val="18"/>
          <w:highlight w:val="none"/>
          <w:lang w:val="en-US" w:eastAsia="zh-CN"/>
        </w:rPr>
        <w:t>S2</w:t>
      </w:r>
      <w:r>
        <w:rPr>
          <w:rFonts w:hint="eastAsia" w:ascii="Times New Roman" w:hAnsi="Times New Roman" w:eastAsia="宋体" w:cs="Book Antiqua"/>
          <w:b/>
          <w:bCs/>
          <w:sz w:val="18"/>
          <w:szCs w:val="18"/>
          <w:highlight w:val="none"/>
          <w:lang w:val="en-US" w:eastAsia="zh-CN"/>
        </w:rPr>
        <w:t>.</w:t>
      </w:r>
      <w:r>
        <w:rPr>
          <w:rFonts w:hint="eastAsia" w:cs="Book Antiqua"/>
          <w:b/>
          <w:bCs/>
          <w:sz w:val="18"/>
          <w:szCs w:val="18"/>
          <w:highlight w:val="none"/>
          <w:lang w:val="en-US" w:eastAsia="zh-CN"/>
        </w:rPr>
        <w:t xml:space="preserve"> Quality control of proteomics in MASLD mouse model. </w:t>
      </w:r>
      <w:r>
        <w:rPr>
          <w:rFonts w:hint="eastAsia" w:cs="Book Antiqua"/>
          <w:sz w:val="18"/>
          <w:szCs w:val="18"/>
          <w:highlight w:val="none"/>
          <w:lang w:eastAsia="zh-CN"/>
        </w:rPr>
        <w:t>(A) Gel image of protein profiles in liver samples stained with Coomassie Brilliant Blue.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cs="Book Antiqua"/>
          <w:sz w:val="18"/>
          <w:szCs w:val="18"/>
          <w:highlight w:val="none"/>
          <w:lang w:eastAsia="zh-CN"/>
        </w:rPr>
        <w:t>(B) Overview of protein identification in liver samples.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cs="Book Antiqua"/>
          <w:sz w:val="18"/>
          <w:szCs w:val="18"/>
          <w:highlight w:val="none"/>
          <w:lang w:eastAsia="zh-CN"/>
        </w:rPr>
        <w:t>(C) Distribution chart of peptide lengths in liver samples.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cs="Book Antiqua"/>
          <w:sz w:val="18"/>
          <w:szCs w:val="18"/>
          <w:highlight w:val="none"/>
          <w:lang w:eastAsia="zh-CN"/>
        </w:rPr>
        <w:t>(D) Distribution chart of peptide counts in liver samples.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cs="Book Antiqua"/>
          <w:sz w:val="18"/>
          <w:szCs w:val="18"/>
          <w:highlight w:val="none"/>
          <w:lang w:eastAsia="zh-CN"/>
        </w:rPr>
        <w:t>(E) Distribution chart of protein coverage in liver samples.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cs="Book Antiqua"/>
          <w:sz w:val="18"/>
          <w:szCs w:val="18"/>
          <w:highlight w:val="none"/>
          <w:lang w:eastAsia="zh-CN"/>
        </w:rPr>
        <w:t>(F) Distribution chart of protein molecular weights in liver samples.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cs="Book Antiqua"/>
          <w:sz w:val="18"/>
          <w:szCs w:val="18"/>
          <w:highlight w:val="none"/>
          <w:lang w:eastAsia="zh-CN"/>
        </w:rPr>
        <w:t>(G) Pearson correlation heatmap of proteins in liver samples.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cs="Book Antiqua"/>
          <w:sz w:val="18"/>
          <w:szCs w:val="18"/>
          <w:highlight w:val="none"/>
          <w:lang w:eastAsia="zh-CN"/>
        </w:rPr>
        <w:t>(H) Principal Component Analysis (PCA) plot of proteins in liver samples.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cs="Book Antiqua"/>
          <w:sz w:val="18"/>
          <w:szCs w:val="18"/>
          <w:highlight w:val="none"/>
          <w:lang w:eastAsia="zh-CN"/>
        </w:rPr>
        <w:t>(I) Relative Standard Deviation (RSD) box plot of proteins in liver samples.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cs="Book Antiqua"/>
          <w:sz w:val="18"/>
          <w:szCs w:val="18"/>
          <w:highlight w:val="none"/>
          <w:lang w:eastAsia="zh-CN"/>
        </w:rPr>
        <w:t>(J) Box plot showing protein intensity values in all samples.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cs="Book Antiqua"/>
          <w:sz w:val="18"/>
          <w:szCs w:val="18"/>
          <w:highlight w:val="none"/>
          <w:lang w:eastAsia="zh-CN"/>
        </w:rPr>
        <w:t>(K) Stacked bar chart displaying the number of proteins expressed in different expression ranges.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cs="Book Antiqua"/>
          <w:sz w:val="18"/>
          <w:szCs w:val="18"/>
          <w:highlight w:val="none"/>
          <w:lang w:eastAsia="zh-CN"/>
        </w:rPr>
        <w:t>(L) Density distribution plot of protein intensity values in all samples.</w:t>
      </w:r>
    </w:p>
    <w:p w14:paraId="05C87F59">
      <w:pPr>
        <w:keepNext w:val="0"/>
        <w:keepLines w:val="0"/>
        <w:pageBreakBefore w:val="0"/>
        <w:wordWrap/>
        <w:topLinePunct w:val="0"/>
        <w:autoSpaceDE/>
        <w:autoSpaceDN/>
        <w:bidi w:val="0"/>
        <w:adjustRightInd/>
        <w:spacing w:line="360" w:lineRule="auto"/>
        <w:jc w:val="both"/>
        <w:rPr>
          <w:rFonts w:hint="default"/>
          <w:sz w:val="18"/>
          <w:szCs w:val="18"/>
          <w:lang w:val="en-US" w:eastAsia="zh-CN"/>
        </w:rPr>
      </w:pPr>
      <w:r>
        <w:rPr>
          <w:rFonts w:hint="eastAsia" w:cs="Book Antiqua"/>
          <w:sz w:val="18"/>
          <w:szCs w:val="18"/>
          <w:highlight w:val="none"/>
          <w:lang w:eastAsia="zh-CN"/>
        </w:rPr>
        <w:t>Please note that these translations are provided for informational purposes and may vary depending on the specific context.</w:t>
      </w:r>
    </w:p>
    <w:p w14:paraId="444B60C9">
      <w:pPr>
        <w:keepNext w:val="0"/>
        <w:keepLines w:val="0"/>
        <w:pageBreakBefore w:val="0"/>
        <w:wordWrap/>
        <w:topLinePunct w:val="0"/>
        <w:autoSpaceDE/>
        <w:autoSpaceDN/>
        <w:bidi w:val="0"/>
        <w:adjustRightInd/>
        <w:spacing w:line="360" w:lineRule="auto"/>
        <w:ind w:left="0" w:leftChars="-100" w:hanging="240" w:hangingChars="100"/>
        <w:jc w:val="both"/>
        <w:rPr>
          <w:rFonts w:hint="eastAsia" w:ascii="Times New Roman" w:hAnsi="Times New Roman" w:eastAsia="宋体" w:cstheme="minorBidi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宋体" w:cstheme="minorBidi"/>
          <w:kern w:val="2"/>
          <w:sz w:val="24"/>
          <w:szCs w:val="22"/>
          <w:lang w:val="en-US" w:eastAsia="zh-CN" w:bidi="ar-SA"/>
        </w:rPr>
        <w:drawing>
          <wp:inline distT="0" distB="0" distL="114300" distR="114300">
            <wp:extent cx="5695950" cy="7875905"/>
            <wp:effectExtent l="12700" t="12700" r="21590" b="20955"/>
            <wp:docPr id="29" name="图片 29" descr="figure细胞质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figure细胞质控-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787590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088427">
      <w:pPr>
        <w:keepNext w:val="0"/>
        <w:keepLines w:val="0"/>
        <w:pageBreakBefore w:val="0"/>
        <w:wordWrap/>
        <w:topLinePunct w:val="0"/>
        <w:autoSpaceDE/>
        <w:autoSpaceDN/>
        <w:bidi w:val="0"/>
        <w:adjustRightInd/>
        <w:spacing w:line="360" w:lineRule="auto"/>
        <w:jc w:val="left"/>
        <w:rPr>
          <w:rFonts w:hint="eastAsia" w:ascii="Times New Roman" w:hAnsi="Times New Roman" w:eastAsia="宋体" w:cs="Book Antiqua"/>
          <w:sz w:val="18"/>
          <w:szCs w:val="18"/>
          <w:highlight w:val="none"/>
        </w:rPr>
      </w:pPr>
      <w:r>
        <w:rPr>
          <w:rFonts w:hint="eastAsia" w:ascii="Times New Roman" w:hAnsi="Times New Roman" w:eastAsia="宋体" w:cs="Book Antiqua"/>
          <w:b/>
          <w:bCs/>
          <w:sz w:val="18"/>
          <w:szCs w:val="18"/>
          <w:highlight w:val="none"/>
        </w:rPr>
        <w:t>Fig</w:t>
      </w:r>
      <w:r>
        <w:rPr>
          <w:rFonts w:hint="eastAsia" w:cs="Book Antiqua"/>
          <w:b/>
          <w:bCs/>
          <w:sz w:val="18"/>
          <w:szCs w:val="18"/>
          <w:highlight w:val="none"/>
          <w:lang w:val="en-US" w:eastAsia="zh-CN"/>
        </w:rPr>
        <w:t>ure</w:t>
      </w:r>
      <w:r>
        <w:rPr>
          <w:rFonts w:hint="eastAsia" w:ascii="Times New Roman" w:hAnsi="Times New Roman" w:eastAsia="宋体" w:cs="Book Antiqua"/>
          <w:b/>
          <w:bCs/>
          <w:sz w:val="18"/>
          <w:szCs w:val="18"/>
          <w:highlight w:val="none"/>
        </w:rPr>
        <w:t xml:space="preserve"> </w:t>
      </w:r>
      <w:r>
        <w:rPr>
          <w:rFonts w:hint="eastAsia" w:cs="Book Antiqua"/>
          <w:b/>
          <w:bCs/>
          <w:sz w:val="18"/>
          <w:szCs w:val="18"/>
          <w:highlight w:val="none"/>
          <w:lang w:val="en-US" w:eastAsia="zh-CN"/>
        </w:rPr>
        <w:t>S3</w:t>
      </w:r>
      <w:r>
        <w:rPr>
          <w:rFonts w:hint="eastAsia" w:ascii="Times New Roman" w:hAnsi="Times New Roman" w:eastAsia="宋体" w:cs="Book Antiqua"/>
          <w:b/>
          <w:bCs/>
          <w:sz w:val="18"/>
          <w:szCs w:val="18"/>
          <w:highlight w:val="none"/>
        </w:rPr>
        <w:t xml:space="preserve">. Mettl3 </w:t>
      </w:r>
      <w:r>
        <w:rPr>
          <w:rFonts w:hint="eastAsia" w:cs="Book Antiqua"/>
          <w:b/>
          <w:bCs/>
          <w:sz w:val="18"/>
          <w:szCs w:val="18"/>
          <w:highlight w:val="none"/>
          <w:lang w:eastAsia="zh-CN"/>
        </w:rPr>
        <w:t xml:space="preserve">over-expression </w:t>
      </w:r>
      <w:r>
        <w:rPr>
          <w:rFonts w:hint="eastAsia" w:ascii="Times New Roman" w:hAnsi="Times New Roman" w:eastAsia="宋体" w:cs="Book Antiqua"/>
          <w:b/>
          <w:bCs/>
          <w:sz w:val="18"/>
          <w:szCs w:val="18"/>
          <w:highlight w:val="none"/>
        </w:rPr>
        <w:t>in AML12 liver cell model proteome quality control</w:t>
      </w:r>
      <w:r>
        <w:rPr>
          <w:rFonts w:hint="eastAsia" w:cs="Book Antiqua"/>
          <w:b/>
          <w:bCs/>
          <w:sz w:val="18"/>
          <w:szCs w:val="18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 xml:space="preserve">(A) Coomassie Brilliant Blue staining gel image of the protein profile in METTL3 </w:t>
      </w:r>
      <w:r>
        <w:rPr>
          <w:rFonts w:hint="eastAsia" w:cs="Book Antiqua"/>
          <w:sz w:val="18"/>
          <w:szCs w:val="18"/>
          <w:highlight w:val="none"/>
          <w:lang w:eastAsia="zh-CN"/>
        </w:rPr>
        <w:t xml:space="preserve">over-expressed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>AML12 hepatocyte model.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 xml:space="preserve">(B) Overview of protein identification in METTL3 </w:t>
      </w:r>
      <w:r>
        <w:rPr>
          <w:rFonts w:hint="eastAsia" w:cs="Book Antiqua"/>
          <w:sz w:val="18"/>
          <w:szCs w:val="18"/>
          <w:highlight w:val="none"/>
          <w:lang w:eastAsia="zh-CN"/>
        </w:rPr>
        <w:t xml:space="preserve">over-expressed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>AML12 hepatocyte model.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 xml:space="preserve">(C) Distribution of peptide lengths in METTL3 </w:t>
      </w:r>
      <w:r>
        <w:rPr>
          <w:rFonts w:hint="eastAsia" w:cs="Book Antiqua"/>
          <w:sz w:val="18"/>
          <w:szCs w:val="18"/>
          <w:highlight w:val="none"/>
          <w:lang w:eastAsia="zh-CN"/>
        </w:rPr>
        <w:t xml:space="preserve">over-expressed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>AML12 hepatocyte model.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 xml:space="preserve">(D) Distribution of peptide counts in METTL3 </w:t>
      </w:r>
      <w:r>
        <w:rPr>
          <w:rFonts w:hint="eastAsia" w:cs="Book Antiqua"/>
          <w:sz w:val="18"/>
          <w:szCs w:val="18"/>
          <w:highlight w:val="none"/>
          <w:lang w:eastAsia="zh-CN"/>
        </w:rPr>
        <w:t xml:space="preserve">over-expressed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>AML12 hepatocyte model.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 xml:space="preserve">(E) Distribution of protein coverage in METTL3 </w:t>
      </w:r>
      <w:r>
        <w:rPr>
          <w:rFonts w:hint="eastAsia" w:cs="Book Antiqua"/>
          <w:sz w:val="18"/>
          <w:szCs w:val="18"/>
          <w:highlight w:val="none"/>
          <w:lang w:eastAsia="zh-CN"/>
        </w:rPr>
        <w:t xml:space="preserve">over-expressed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>AML12 hepatocyte model.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 xml:space="preserve">(F) Distribution of molecular weights of proteins in METTL3 </w:t>
      </w:r>
      <w:r>
        <w:rPr>
          <w:rFonts w:hint="eastAsia" w:cs="Book Antiqua"/>
          <w:sz w:val="18"/>
          <w:szCs w:val="18"/>
          <w:highlight w:val="none"/>
          <w:lang w:eastAsia="zh-CN"/>
        </w:rPr>
        <w:t xml:space="preserve">over-expressed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>AML12 hepatocyte model.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 xml:space="preserve">(G) Pearson correlation heatmap of proteins in METTL3 </w:t>
      </w:r>
      <w:r>
        <w:rPr>
          <w:rFonts w:hint="eastAsia" w:cs="Book Antiqua"/>
          <w:sz w:val="18"/>
          <w:szCs w:val="18"/>
          <w:highlight w:val="none"/>
          <w:lang w:eastAsia="zh-CN"/>
        </w:rPr>
        <w:t xml:space="preserve">over-expressed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>AML12 hepatocyte model.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 xml:space="preserve">(H) Principal Component Analysis (PCA) plot of proteins in METTL3 </w:t>
      </w:r>
      <w:r>
        <w:rPr>
          <w:rFonts w:hint="eastAsia" w:cs="Book Antiqua"/>
          <w:sz w:val="18"/>
          <w:szCs w:val="18"/>
          <w:highlight w:val="none"/>
          <w:lang w:eastAsia="zh-CN"/>
        </w:rPr>
        <w:t xml:space="preserve">over-expressed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>AML12 hepatocyte model.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 xml:space="preserve">(I) Relative Standard Deviation (RSD) box plot of proteins in METTL3 </w:t>
      </w:r>
      <w:r>
        <w:rPr>
          <w:rFonts w:hint="eastAsia" w:cs="Book Antiqua"/>
          <w:sz w:val="18"/>
          <w:szCs w:val="18"/>
          <w:highlight w:val="none"/>
          <w:lang w:eastAsia="zh-CN"/>
        </w:rPr>
        <w:t xml:space="preserve">over-expressed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>AML12 hepatocyte model.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 xml:space="preserve">(J) Box plot showing protein intensity values in METTL3 </w:t>
      </w:r>
      <w:r>
        <w:rPr>
          <w:rFonts w:hint="eastAsia" w:cs="Book Antiqua"/>
          <w:sz w:val="18"/>
          <w:szCs w:val="18"/>
          <w:highlight w:val="none"/>
          <w:lang w:eastAsia="zh-CN"/>
        </w:rPr>
        <w:t xml:space="preserve">over-expressed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>AML12 hepatocyte model.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>(K) Stacked bar chart showing the number of proteins expressed in different expression ranges.</w:t>
      </w:r>
      <w:r>
        <w:rPr>
          <w:rFonts w:hint="eastAsia" w:cs="Book Antiqua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t>(L) Density distribution plot of protein intensity values in all samples.</w:t>
      </w:r>
    </w:p>
    <w:p w14:paraId="4C63784E">
      <w:pPr>
        <w:rPr>
          <w:rFonts w:hint="eastAsia" w:ascii="Times New Roman" w:hAnsi="Times New Roman" w:eastAsia="宋体" w:cs="Book Antiqua"/>
          <w:sz w:val="18"/>
          <w:szCs w:val="18"/>
          <w:highlight w:val="none"/>
        </w:rPr>
      </w:pPr>
    </w:p>
    <w:p w14:paraId="29F3A916">
      <w:pPr>
        <w:rPr>
          <w:rFonts w:hint="eastAsia" w:ascii="Times New Roman" w:hAnsi="Times New Roman" w:eastAsia="宋体" w:cs="Book Antiqua"/>
          <w:sz w:val="18"/>
          <w:szCs w:val="18"/>
          <w:highlight w:val="none"/>
        </w:rPr>
      </w:pP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drawing>
          <wp:inline distT="0" distB="0" distL="114300" distR="114300">
            <wp:extent cx="5269230" cy="1607185"/>
            <wp:effectExtent l="0" t="0" r="0" b="0"/>
            <wp:docPr id="1" name="图片 1" descr="Figure6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6-2"/>
                    <pic:cNvPicPr>
                      <a:picLocks noChangeAspect="1"/>
                    </pic:cNvPicPr>
                  </pic:nvPicPr>
                  <pic:blipFill>
                    <a:blip r:embed="rId7"/>
                    <a:srcRect t="8052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60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D8DC8">
      <w:pPr>
        <w:rPr>
          <w:rFonts w:hint="eastAsia" w:ascii="Times New Roman" w:hAnsi="Times New Roman" w:eastAsia="宋体" w:cs="Book Antiqua"/>
          <w:sz w:val="18"/>
          <w:szCs w:val="18"/>
          <w:highlight w:val="none"/>
        </w:rPr>
      </w:pPr>
      <w:r>
        <w:rPr>
          <w:rFonts w:hint="eastAsia" w:ascii="Times New Roman" w:hAnsi="Times New Roman" w:eastAsia="宋体" w:cs="Book Antiqua"/>
          <w:b/>
          <w:bCs/>
          <w:sz w:val="18"/>
          <w:szCs w:val="18"/>
          <w:highlight w:val="none"/>
        </w:rPr>
        <w:t>Fig</w:t>
      </w:r>
      <w:r>
        <w:rPr>
          <w:rFonts w:hint="eastAsia" w:cs="Book Antiqua"/>
          <w:b/>
          <w:bCs/>
          <w:sz w:val="18"/>
          <w:szCs w:val="18"/>
          <w:highlight w:val="none"/>
          <w:lang w:val="en-US" w:eastAsia="zh-CN"/>
        </w:rPr>
        <w:t>ure</w:t>
      </w:r>
      <w:r>
        <w:rPr>
          <w:rFonts w:hint="eastAsia" w:ascii="Times New Roman" w:hAnsi="Times New Roman" w:eastAsia="宋体" w:cs="Book Antiqua"/>
          <w:b/>
          <w:bCs/>
          <w:sz w:val="18"/>
          <w:szCs w:val="18"/>
          <w:highlight w:val="none"/>
        </w:rPr>
        <w:t xml:space="preserve"> </w:t>
      </w:r>
      <w:r>
        <w:rPr>
          <w:rFonts w:hint="eastAsia" w:cs="Book Antiqua"/>
          <w:b/>
          <w:bCs/>
          <w:sz w:val="18"/>
          <w:szCs w:val="18"/>
          <w:highlight w:val="none"/>
          <w:lang w:val="en-US" w:eastAsia="zh-CN"/>
        </w:rPr>
        <w:t>S4</w:t>
      </w:r>
      <w:r>
        <w:rPr>
          <w:rFonts w:hint="eastAsia" w:ascii="Times New Roman" w:hAnsi="Times New Roman" w:eastAsia="宋体" w:cs="Book Antiqua"/>
          <w:b/>
          <w:bCs/>
          <w:sz w:val="18"/>
          <w:szCs w:val="18"/>
          <w:highlight w:val="none"/>
        </w:rPr>
        <w:t xml:space="preserve">. </w:t>
      </w:r>
      <w:bookmarkStart w:id="0" w:name="_GoBack"/>
      <w:bookmarkEnd w:id="0"/>
      <w:r>
        <w:rPr>
          <w:rFonts w:hint="eastAsia" w:cs="Book Antiqua"/>
          <w:b/>
          <w:bCs/>
          <w:sz w:val="18"/>
          <w:szCs w:val="18"/>
          <w:highlight w:val="none"/>
          <w:lang w:val="en-US" w:eastAsia="zh-CN"/>
        </w:rPr>
        <w:t>Small molecule drug prediction.</w:t>
      </w:r>
      <w:r>
        <w:rPr>
          <w:rFonts w:hint="eastAsia" w:ascii="Times New Roman" w:hAnsi="Times New Roman" w:eastAsia="宋体" w:cs="Book Antiqua"/>
          <w:sz w:val="18"/>
          <w:szCs w:val="18"/>
          <w:highlight w:val="none"/>
        </w:rPr>
        <w:br w:type="page"/>
      </w:r>
    </w:p>
    <w:p w14:paraId="5F1BDAE7">
      <w:pPr>
        <w:keepNext w:val="0"/>
        <w:keepLines w:val="0"/>
        <w:pageBreakBefore w:val="0"/>
        <w:wordWrap/>
        <w:topLinePunct w:val="0"/>
        <w:autoSpaceDE/>
        <w:autoSpaceDN/>
        <w:bidi w:val="0"/>
        <w:adjustRightInd/>
        <w:spacing w:line="360" w:lineRule="auto"/>
        <w:jc w:val="left"/>
        <w:rPr>
          <w:rFonts w:hint="eastAsia" w:ascii="Times New Roman" w:hAnsi="Times New Roman" w:eastAsia="宋体" w:cs="Book Antiqua"/>
          <w:sz w:val="18"/>
          <w:szCs w:val="18"/>
          <w:highlight w:val="none"/>
        </w:rPr>
      </w:pPr>
    </w:p>
    <w:p w14:paraId="626DE93A">
      <w:pPr>
        <w:keepNext w:val="0"/>
        <w:keepLines w:val="0"/>
        <w:pageBreakBefore w:val="0"/>
        <w:wordWrap/>
        <w:topLinePunct w:val="0"/>
        <w:autoSpaceDE/>
        <w:autoSpaceDN/>
        <w:bidi w:val="0"/>
        <w:adjustRightInd/>
        <w:spacing w:line="360" w:lineRule="auto"/>
        <w:jc w:val="center"/>
        <w:rPr>
          <w:rFonts w:hint="eastAsia" w:ascii="Times New Roman" w:hAnsi="Times New Roman" w:eastAsia="宋体"/>
          <w:b/>
          <w:bCs/>
          <w:sz w:val="18"/>
          <w:szCs w:val="18"/>
        </w:rPr>
      </w:pPr>
      <w:r>
        <w:rPr>
          <w:rFonts w:hint="eastAsia" w:cs="Book Antiqua"/>
          <w:b/>
          <w:bCs/>
          <w:sz w:val="18"/>
          <w:szCs w:val="18"/>
          <w:highlight w:val="none"/>
          <w:lang w:val="en-US" w:eastAsia="zh-CN"/>
        </w:rPr>
        <w:t>Table S1. Enriched terms Affected by METTL3-Induced m6A transcription modification in MASLD</w:t>
      </w:r>
    </w:p>
    <w:tbl>
      <w:tblPr>
        <w:tblStyle w:val="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8"/>
        <w:gridCol w:w="6524"/>
      </w:tblGrid>
      <w:tr w14:paraId="0A843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2"/>
            <w:tcBorders>
              <w:top w:val="single" w:color="5D7C97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97ACBF"/>
            <w:noWrap/>
            <w:vAlign w:val="center"/>
          </w:tcPr>
          <w:p w14:paraId="3AF9E2D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GO: BP</w:t>
            </w:r>
          </w:p>
        </w:tc>
      </w:tr>
      <w:tr w14:paraId="5C048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restart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401877B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up-regulated</w:t>
            </w:r>
          </w:p>
        </w:tc>
        <w:tc>
          <w:tcPr>
            <w:tcW w:w="3827" w:type="pct"/>
            <w:tcBorders>
              <w:top w:val="single" w:color="F3F6F8" w:sz="4" w:space="0"/>
              <w:left w:val="single" w:color="F3F6F8" w:sz="4" w:space="0"/>
              <w:bottom w:val="single" w:color="F3F6F8" w:sz="0" w:space="0"/>
              <w:right w:val="single" w:color="F3F6F8" w:sz="0" w:space="0"/>
            </w:tcBorders>
            <w:shd w:val="clear" w:color="auto" w:fill="EAEFF3"/>
            <w:noWrap/>
            <w:vAlign w:val="center"/>
          </w:tcPr>
          <w:p w14:paraId="1CFFDBFB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nicotinamide nucleotide metabolic process</w:t>
            </w:r>
          </w:p>
        </w:tc>
      </w:tr>
      <w:tr w14:paraId="7F8A3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2B869514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125056E1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pyridine nucleotide biosynthetic process</w:t>
            </w:r>
          </w:p>
        </w:tc>
      </w:tr>
      <w:tr w14:paraId="6ADBB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EAA99A5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3786C36B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nicotinamide nucleotide biosynthetic process</w:t>
            </w:r>
          </w:p>
        </w:tc>
      </w:tr>
      <w:tr w14:paraId="3E4FB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02B9AE4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28E2C8E1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pyruvate biosynthetic process</w:t>
            </w:r>
          </w:p>
        </w:tc>
      </w:tr>
      <w:tr w14:paraId="49ED9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22FCDAB1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6F2B5D4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nucleotide catabolic process</w:t>
            </w:r>
          </w:p>
        </w:tc>
      </w:tr>
      <w:tr w14:paraId="29C56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5B8DEC79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399B8A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pyruvate metabolic process</w:t>
            </w:r>
          </w:p>
        </w:tc>
      </w:tr>
      <w:tr w14:paraId="24067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423AC63D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77A65724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ADP metabolic process</w:t>
            </w:r>
          </w:p>
        </w:tc>
      </w:tr>
      <w:tr w14:paraId="556D6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1618CD35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55C48D7B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nucleoside diphosphate phosphorylation</w:t>
            </w:r>
          </w:p>
        </w:tc>
      </w:tr>
      <w:tr w14:paraId="7FB5C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A7C0350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50E365D7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nucleotide phosphorylation</w:t>
            </w:r>
          </w:p>
        </w:tc>
      </w:tr>
      <w:tr w14:paraId="0B5F8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6EA93BDA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4E1E6EA2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glucose catabolic process</w:t>
            </w:r>
          </w:p>
        </w:tc>
      </w:tr>
      <w:tr w14:paraId="79DDD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63A8A3ED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699D73E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purine nucleoside diphosphate metabolic process</w:t>
            </w:r>
          </w:p>
        </w:tc>
      </w:tr>
      <w:tr w14:paraId="6D8E8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0F44ACFA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16DE846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ribonucleoside diphosphate metabolic process</w:t>
            </w:r>
          </w:p>
        </w:tc>
      </w:tr>
      <w:tr w14:paraId="379EB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46F09EC9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18B147F4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glucose catabolic process to pyruvate</w:t>
            </w:r>
          </w:p>
        </w:tc>
      </w:tr>
      <w:tr w14:paraId="3FBA5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3AF1B30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288DB5C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ribonucleoside triphosphate biosynthetic process</w:t>
            </w:r>
          </w:p>
        </w:tc>
      </w:tr>
      <w:tr w14:paraId="18A52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2C66C0E1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66D50F59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nucleoside triphosphate biosynthetic process</w:t>
            </w:r>
          </w:p>
        </w:tc>
      </w:tr>
      <w:tr w14:paraId="51E6A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3DFC46D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238FD055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nucleoside monophosphate biosynthetic process</w:t>
            </w:r>
          </w:p>
        </w:tc>
      </w:tr>
      <w:tr w14:paraId="36212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559A83CE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7B71A70C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monocarboxylic acid biosynthetic process</w:t>
            </w:r>
          </w:p>
        </w:tc>
      </w:tr>
      <w:tr w14:paraId="3642B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restart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1B54CD8C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down-regulated</w:t>
            </w:r>
          </w:p>
        </w:tc>
        <w:tc>
          <w:tcPr>
            <w:tcW w:w="3827" w:type="pct"/>
            <w:tcBorders>
              <w:top w:val="single" w:color="F3F6F8" w:sz="4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07D6F25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purine ribonucleotide metabolic process</w:t>
            </w:r>
          </w:p>
        </w:tc>
      </w:tr>
      <w:tr w14:paraId="179F8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AA14EA5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5DB986B2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ribonucleoside bisphosphate metabolic process</w:t>
            </w:r>
          </w:p>
        </w:tc>
      </w:tr>
      <w:tr w14:paraId="146C2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223B4B45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4C1ECA1D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monocarboxylic acid metabolic process</w:t>
            </w:r>
          </w:p>
        </w:tc>
      </w:tr>
      <w:tr w14:paraId="0DD5B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B5BCDEE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448849DE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cholesterol biosynthetic process</w:t>
            </w:r>
          </w:p>
        </w:tc>
      </w:tr>
      <w:tr w14:paraId="6D564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480BD37B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0F80AA5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ribonucleoside triphosphate metabolic process</w:t>
            </w:r>
          </w:p>
        </w:tc>
      </w:tr>
      <w:tr w14:paraId="368D1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2360FCD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0FCA67A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purine nucleoside triphosphate metabolic process</w:t>
            </w:r>
          </w:p>
        </w:tc>
      </w:tr>
      <w:tr w14:paraId="53EA5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6B5554C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6D12E32D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ribonucleoside monophosphate metabolic process</w:t>
            </w:r>
          </w:p>
        </w:tc>
      </w:tr>
      <w:tr w14:paraId="4C48A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tcBorders>
              <w:top w:val="single" w:color="F3F6F8" w:sz="4" w:space="0"/>
              <w:left w:val="single" w:color="F3F6F8" w:sz="0" w:space="0"/>
              <w:bottom w:val="single" w:color="F3F6F8" w:sz="4" w:space="0"/>
              <w:right w:val="single" w:color="F3F6F8" w:sz="0" w:space="0"/>
            </w:tcBorders>
            <w:shd w:val="clear" w:color="auto" w:fill="auto"/>
            <w:noWrap/>
            <w:vAlign w:val="center"/>
          </w:tcPr>
          <w:p w14:paraId="19D8BD95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4" w:space="0"/>
              <w:left w:val="single" w:color="F3F6F8" w:sz="0" w:space="0"/>
              <w:bottom w:val="single" w:color="F3F6F8" w:sz="4" w:space="0"/>
              <w:right w:val="single" w:color="F3F6F8" w:sz="0" w:space="0"/>
            </w:tcBorders>
            <w:shd w:val="clear" w:color="auto" w:fill="auto"/>
            <w:noWrap/>
            <w:vAlign w:val="center"/>
          </w:tcPr>
          <w:p w14:paraId="5300877B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981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2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4CF1E389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 CC</w:t>
            </w:r>
          </w:p>
        </w:tc>
      </w:tr>
      <w:tr w14:paraId="3A560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restart"/>
            <w:tcBorders>
              <w:top w:val="single" w:color="F3F6F8" w:sz="4" w:space="0"/>
              <w:left w:val="single" w:color="F3F6F8" w:sz="0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1DE5D201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up-regulated</w:t>
            </w:r>
          </w:p>
        </w:tc>
        <w:tc>
          <w:tcPr>
            <w:tcW w:w="3827" w:type="pct"/>
            <w:tcBorders>
              <w:top w:val="single" w:color="F3F6F8" w:sz="4" w:space="0"/>
              <w:left w:val="single" w:color="F3F6F8" w:sz="4" w:space="0"/>
              <w:bottom w:val="single" w:color="F3F6F8" w:sz="0" w:space="0"/>
              <w:right w:val="single" w:color="F3F6F8" w:sz="0" w:space="0"/>
            </w:tcBorders>
            <w:shd w:val="clear" w:color="auto" w:fill="EAEFF3"/>
            <w:noWrap/>
            <w:vAlign w:val="center"/>
          </w:tcPr>
          <w:p w14:paraId="17AC4AE2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cytosol</w:t>
            </w:r>
          </w:p>
        </w:tc>
      </w:tr>
      <w:tr w14:paraId="0D7B8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0" w:space="0"/>
              <w:left w:val="single" w:color="F3F6F8" w:sz="0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F14FFBF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42704ED2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peroxisome</w:t>
            </w:r>
          </w:p>
        </w:tc>
      </w:tr>
      <w:tr w14:paraId="70D71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0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1BBFEEC3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039732C4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microbody</w:t>
            </w:r>
          </w:p>
        </w:tc>
      </w:tr>
      <w:tr w14:paraId="3FBDE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0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563E8E9A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9B4D791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peroxisomal matrix</w:t>
            </w:r>
          </w:p>
        </w:tc>
      </w:tr>
      <w:tr w14:paraId="63F1B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0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4E8D2D23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7BCC2F83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microbody lumen</w:t>
            </w:r>
          </w:p>
        </w:tc>
      </w:tr>
      <w:tr w14:paraId="6622D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0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795C14D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957D71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cytoplasmic vesicle lumen</w:t>
            </w:r>
          </w:p>
        </w:tc>
      </w:tr>
      <w:tr w14:paraId="7CABB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0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485BBE2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0272E0DB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vesicle lumen</w:t>
            </w:r>
          </w:p>
        </w:tc>
      </w:tr>
      <w:tr w14:paraId="790B4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0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538EBB85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1466565F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secretory granule lumen</w:t>
            </w:r>
          </w:p>
        </w:tc>
      </w:tr>
      <w:tr w14:paraId="1CB44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0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5B966CCE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1F182251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lipid droplet</w:t>
            </w:r>
          </w:p>
        </w:tc>
      </w:tr>
      <w:tr w14:paraId="5FF0B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restart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32EBE65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down-regulated</w:t>
            </w:r>
          </w:p>
        </w:tc>
        <w:tc>
          <w:tcPr>
            <w:tcW w:w="3827" w:type="pct"/>
            <w:tcBorders>
              <w:top w:val="single" w:color="F3F6F8" w:sz="4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6DE27E4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mitochondrion</w:t>
            </w:r>
          </w:p>
        </w:tc>
      </w:tr>
      <w:tr w14:paraId="33D50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1881B9D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0EB893A5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vacuole</w:t>
            </w:r>
          </w:p>
        </w:tc>
      </w:tr>
      <w:tr w14:paraId="5A826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901B6C4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1320809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mitochondrial matrix</w:t>
            </w:r>
          </w:p>
        </w:tc>
      </w:tr>
      <w:tr w14:paraId="62758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135E216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4A295F21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mitochondrial membrane</w:t>
            </w:r>
          </w:p>
        </w:tc>
      </w:tr>
      <w:tr w14:paraId="0AB37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1A63E0F4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14E0E9F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lysosome</w:t>
            </w:r>
          </w:p>
        </w:tc>
      </w:tr>
      <w:tr w14:paraId="5D23B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5DC8876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41AD104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lytic vacuole</w:t>
            </w:r>
          </w:p>
        </w:tc>
      </w:tr>
      <w:tr w14:paraId="2D81C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0632E4B4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8B9A09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mitochondrial envelope</w:t>
            </w:r>
          </w:p>
        </w:tc>
      </w:tr>
      <w:tr w14:paraId="51AC4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0770267C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721583E1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vacuolar lumen</w:t>
            </w:r>
          </w:p>
        </w:tc>
      </w:tr>
      <w:tr w14:paraId="5A4B1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FEBF3AC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43D5F443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organelle envelope</w:t>
            </w:r>
          </w:p>
        </w:tc>
      </w:tr>
      <w:tr w14:paraId="1D7EB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9EB26F3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28A4209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envelope</w:t>
            </w:r>
          </w:p>
        </w:tc>
      </w:tr>
      <w:tr w14:paraId="214B0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6C87ACB9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22E45B9D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organelle membrane</w:t>
            </w:r>
          </w:p>
        </w:tc>
      </w:tr>
      <w:tr w14:paraId="2B4F6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6A02A28B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0F5EC58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azurophil granule lumen</w:t>
            </w:r>
          </w:p>
        </w:tc>
      </w:tr>
      <w:tr w14:paraId="38A36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6EA9AEF6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074EA0A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lysosomal lumen</w:t>
            </w:r>
          </w:p>
        </w:tc>
      </w:tr>
      <w:tr w14:paraId="52448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E4EF232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4BFC403A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mitochondrial inner membrane</w:t>
            </w:r>
          </w:p>
        </w:tc>
      </w:tr>
      <w:tr w14:paraId="13F40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0AF25400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136CFB4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primary lysosome</w:t>
            </w:r>
          </w:p>
        </w:tc>
      </w:tr>
      <w:tr w14:paraId="213E1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02A30056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67DE78E3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azurophil granule</w:t>
            </w:r>
          </w:p>
        </w:tc>
      </w:tr>
      <w:tr w14:paraId="060E6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B516EEE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1E5E76C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organelle inner membrane</w:t>
            </w:r>
          </w:p>
        </w:tc>
      </w:tr>
      <w:tr w14:paraId="36D6F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4C68BEA9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3F16AB3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endoplasmic reticulum membrane</w:t>
            </w:r>
          </w:p>
        </w:tc>
      </w:tr>
      <w:tr w14:paraId="08EDC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tcBorders>
              <w:top w:val="single" w:color="F3F6F8" w:sz="4" w:space="0"/>
              <w:left w:val="single" w:color="F3F6F8" w:sz="0" w:space="0"/>
              <w:bottom w:val="single" w:color="F3F6F8" w:sz="4" w:space="0"/>
              <w:right w:val="single" w:color="F3F6F8" w:sz="0" w:space="0"/>
            </w:tcBorders>
            <w:shd w:val="clear" w:color="auto" w:fill="auto"/>
            <w:noWrap/>
            <w:vAlign w:val="center"/>
          </w:tcPr>
          <w:p w14:paraId="4E384289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4" w:space="0"/>
              <w:left w:val="single" w:color="F3F6F8" w:sz="0" w:space="0"/>
              <w:bottom w:val="single" w:color="F3F6F8" w:sz="4" w:space="0"/>
              <w:right w:val="single" w:color="F3F6F8" w:sz="0" w:space="0"/>
            </w:tcBorders>
            <w:shd w:val="clear" w:color="auto" w:fill="auto"/>
            <w:noWrap/>
            <w:vAlign w:val="center"/>
          </w:tcPr>
          <w:p w14:paraId="3FC6825E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BF8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5000" w:type="pct"/>
            <w:gridSpan w:val="2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1E3A620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 MF</w:t>
            </w:r>
          </w:p>
        </w:tc>
      </w:tr>
      <w:tr w14:paraId="6CF14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restart"/>
            <w:tcBorders>
              <w:top w:val="single" w:color="F3F6F8" w:sz="4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4204CD9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up-regulated</w:t>
            </w:r>
          </w:p>
        </w:tc>
        <w:tc>
          <w:tcPr>
            <w:tcW w:w="3827" w:type="pct"/>
            <w:tcBorders>
              <w:top w:val="single" w:color="F3F6F8" w:sz="4" w:space="0"/>
              <w:left w:val="single" w:color="F3F6F8" w:sz="4" w:space="0"/>
              <w:bottom w:val="single" w:color="F3F6F8" w:sz="0" w:space="0"/>
              <w:right w:val="single" w:color="F3F6F8" w:sz="0" w:space="0"/>
            </w:tcBorders>
            <w:shd w:val="clear" w:color="auto" w:fill="CED8E1"/>
            <w:noWrap/>
            <w:vAlign w:val="center"/>
          </w:tcPr>
          <w:p w14:paraId="364E4C27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identical protein binding</w:t>
            </w:r>
          </w:p>
        </w:tc>
      </w:tr>
      <w:tr w14:paraId="347A0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0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6AD8985E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27391173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catalytic activity</w:t>
            </w:r>
          </w:p>
        </w:tc>
      </w:tr>
      <w:tr w14:paraId="0E98B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9697794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073178A3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lyase activity</w:t>
            </w:r>
          </w:p>
        </w:tc>
      </w:tr>
      <w:tr w14:paraId="6D0AA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0701D259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3CFD843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phosphatase activity</w:t>
            </w:r>
          </w:p>
        </w:tc>
      </w:tr>
      <w:tr w14:paraId="36557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62849F24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48FC2FDA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isomerase activity</w:t>
            </w:r>
          </w:p>
        </w:tc>
      </w:tr>
      <w:tr w14:paraId="45EBD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restart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5492D75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down-regulated</w:t>
            </w:r>
          </w:p>
        </w:tc>
        <w:tc>
          <w:tcPr>
            <w:tcW w:w="3827" w:type="pct"/>
            <w:tcBorders>
              <w:top w:val="single" w:color="F3F6F8" w:sz="4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2096128E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catalytic activity</w:t>
            </w:r>
          </w:p>
        </w:tc>
      </w:tr>
      <w:tr w14:paraId="7F9D8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701F5DB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041D567B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oxidoreductase activity</w:t>
            </w:r>
          </w:p>
        </w:tc>
      </w:tr>
      <w:tr w14:paraId="6F0BB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4638BF5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3A5040A5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hydrolase activity</w:t>
            </w:r>
          </w:p>
        </w:tc>
      </w:tr>
      <w:tr w14:paraId="42F11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570453A4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A7913D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exopeptidase activity</w:t>
            </w:r>
          </w:p>
        </w:tc>
      </w:tr>
      <w:tr w14:paraId="7A9FC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9B3ACED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6D81F0D1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isomerase activity</w:t>
            </w:r>
          </w:p>
        </w:tc>
      </w:tr>
      <w:tr w14:paraId="757F4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10B4AE8E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464CA32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ATP hydrolysis activity</w:t>
            </w:r>
          </w:p>
        </w:tc>
      </w:tr>
      <w:tr w14:paraId="3335D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tcBorders>
              <w:top w:val="single" w:color="F3F6F8" w:sz="4" w:space="0"/>
              <w:left w:val="single" w:color="F3F6F8" w:sz="0" w:space="0"/>
              <w:bottom w:val="single" w:color="F3F6F8" w:sz="4" w:space="0"/>
              <w:right w:val="single" w:color="F3F6F8" w:sz="0" w:space="0"/>
            </w:tcBorders>
            <w:shd w:val="clear" w:color="auto" w:fill="auto"/>
            <w:noWrap/>
            <w:vAlign w:val="center"/>
          </w:tcPr>
          <w:p w14:paraId="79E258EC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4" w:space="0"/>
              <w:left w:val="single" w:color="F3F6F8" w:sz="0" w:space="0"/>
              <w:bottom w:val="single" w:color="F3F6F8" w:sz="4" w:space="0"/>
              <w:right w:val="single" w:color="F3F6F8" w:sz="0" w:space="0"/>
            </w:tcBorders>
            <w:shd w:val="clear" w:color="auto" w:fill="auto"/>
            <w:noWrap/>
            <w:vAlign w:val="center"/>
          </w:tcPr>
          <w:p w14:paraId="5EC97547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728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2"/>
            <w:tcBorders>
              <w:top w:val="single" w:color="F3F6F8" w:sz="4" w:space="0"/>
              <w:left w:val="single" w:color="F3F6F8" w:sz="4" w:space="0"/>
              <w:bottom w:val="nil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5DE50E1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KEGG</w:t>
            </w:r>
          </w:p>
        </w:tc>
      </w:tr>
      <w:tr w14:paraId="2DE43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CED8E1"/>
            <w:noWrap/>
            <w:vAlign w:val="center"/>
          </w:tcPr>
          <w:p w14:paraId="09B9B15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up-regulated</w:t>
            </w:r>
          </w:p>
        </w:tc>
        <w:tc>
          <w:tcPr>
            <w:tcW w:w="3827" w:type="pct"/>
            <w:tcBorders>
              <w:top w:val="nil"/>
              <w:left w:val="nil"/>
              <w:bottom w:val="nil"/>
              <w:right w:val="nil"/>
            </w:tcBorders>
            <w:shd w:val="clear" w:color="auto" w:fill="EAEFF3"/>
            <w:noWrap/>
            <w:vAlign w:val="center"/>
          </w:tcPr>
          <w:p w14:paraId="02B48273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mmu00010 Glycolysis / Gluconeogenesis</w:t>
            </w:r>
          </w:p>
        </w:tc>
      </w:tr>
      <w:tr w14:paraId="0069F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nil"/>
              <w:left w:val="nil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2423B9D5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nil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0231F1CE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mmu04146 Peroxisome</w:t>
            </w:r>
          </w:p>
        </w:tc>
      </w:tr>
      <w:tr w14:paraId="4E26F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nil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17978B42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0EDD08B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mmu04922 Glucagon signaling pathway</w:t>
            </w:r>
          </w:p>
        </w:tc>
      </w:tr>
      <w:tr w14:paraId="05C60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nil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B75C517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C302FE4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mmu00052 Galactose metabolism</w:t>
            </w:r>
          </w:p>
        </w:tc>
      </w:tr>
      <w:tr w14:paraId="3A092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nil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68123F8F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3FC2F6D9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mmu00071 Fatty acid degradation</w:t>
            </w:r>
          </w:p>
        </w:tc>
      </w:tr>
      <w:tr w14:paraId="167EA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nil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6E2BA96C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2747D56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mmu00280 Valine, leucine and isoleucine degradation</w:t>
            </w:r>
          </w:p>
        </w:tc>
      </w:tr>
      <w:tr w14:paraId="499A4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nil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6F8DD4C2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1055D7B5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mmu00650 Butanoate metabolism</w:t>
            </w:r>
          </w:p>
        </w:tc>
      </w:tr>
      <w:tr w14:paraId="1008E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nil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2AEF971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3952CA4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mmu00030 Pentose phosphate pathway</w:t>
            </w:r>
          </w:p>
        </w:tc>
      </w:tr>
      <w:tr w14:paraId="52DB4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nil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1D985445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25BC6C2E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mmu00630 Glyoxylate and dicarboxylate metabolism</w:t>
            </w:r>
          </w:p>
        </w:tc>
      </w:tr>
      <w:tr w14:paraId="5842C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nil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170D5BCE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B1344D5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mmu00640 Propanoate metabolism</w:t>
            </w:r>
          </w:p>
        </w:tc>
      </w:tr>
      <w:tr w14:paraId="1419C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nil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1FC065FB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3AD30C11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mmu00051 Fructose and mannose metabolism</w:t>
            </w:r>
          </w:p>
        </w:tc>
      </w:tr>
      <w:tr w14:paraId="7F390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nil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6E276267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3AB7754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mmu00250 Alanine, aspartate and glutamate metabolism</w:t>
            </w:r>
          </w:p>
        </w:tc>
      </w:tr>
      <w:tr w14:paraId="73CEA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nil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1064B5BB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7A5BD81B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mmu00620 Pyruvate metabolism</w:t>
            </w:r>
          </w:p>
        </w:tc>
      </w:tr>
      <w:tr w14:paraId="341DD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nil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4D8AF434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2DC7B6A3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mmu00380 Tryptophan metabolism</w:t>
            </w:r>
          </w:p>
        </w:tc>
      </w:tr>
      <w:tr w14:paraId="098F2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restart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0A45DF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down-regulated</w:t>
            </w:r>
          </w:p>
        </w:tc>
        <w:tc>
          <w:tcPr>
            <w:tcW w:w="3827" w:type="pct"/>
            <w:tcBorders>
              <w:top w:val="single" w:color="F3F6F8" w:sz="4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47F138B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mmu04142 Lysosome</w:t>
            </w:r>
          </w:p>
        </w:tc>
      </w:tr>
      <w:tr w14:paraId="2B40A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0B7C8E08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71076D8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mmu00630 Glyoxylate and dicarboxylate metabolism</w:t>
            </w:r>
          </w:p>
        </w:tc>
      </w:tr>
      <w:tr w14:paraId="23B3F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067194EC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05D6922C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mmu04146 Peroxisome</w:t>
            </w:r>
          </w:p>
        </w:tc>
      </w:tr>
      <w:tr w14:paraId="29465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65C4AE11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EB7E8E9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mmu00190 Oxidative phosphorylation</w:t>
            </w:r>
          </w:p>
        </w:tc>
      </w:tr>
      <w:tr w14:paraId="029A6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1E0484CD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227CFE1F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mmu00100 Steroid biosynthesis</w:t>
            </w:r>
          </w:p>
        </w:tc>
      </w:tr>
      <w:tr w14:paraId="2EFA8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651E56C9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2774A24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mmu00280 Valine, leucine and isoleucine degradation</w:t>
            </w:r>
          </w:p>
        </w:tc>
      </w:tr>
      <w:tr w14:paraId="4092F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09A9BC1C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56FB2A91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mmu00920 Sulfur metabolism</w:t>
            </w:r>
          </w:p>
        </w:tc>
      </w:tr>
      <w:tr w14:paraId="4FF8A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640EBD23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33BA273B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mmu00531 Glycosaminoglycan degradation</w:t>
            </w:r>
          </w:p>
        </w:tc>
      </w:tr>
      <w:tr w14:paraId="539DE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68214087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5A2BE5C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mmu04964 Proximal tubule bicarbonate reclamation</w:t>
            </w:r>
          </w:p>
        </w:tc>
      </w:tr>
      <w:tr w14:paraId="1A9BD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F3F6F8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513D1D31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F3F6F8" w:sz="0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09F14CF2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mmu00140 Steroid hormone biosynthesis</w:t>
            </w:r>
          </w:p>
        </w:tc>
      </w:tr>
      <w:tr w14:paraId="5FBEA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2" w:type="pct"/>
            <w:vMerge w:val="continue"/>
            <w:tcBorders>
              <w:top w:val="single" w:color="F3F6F8" w:sz="4" w:space="0"/>
              <w:left w:val="single" w:color="F3F6F8" w:sz="4" w:space="0"/>
              <w:bottom w:val="single" w:color="5D7C97" w:sz="4" w:space="0"/>
              <w:right w:val="single" w:color="F3F6F8" w:sz="4" w:space="0"/>
            </w:tcBorders>
            <w:shd w:val="clear" w:color="auto" w:fill="CED8E1"/>
            <w:noWrap/>
            <w:vAlign w:val="center"/>
          </w:tcPr>
          <w:p w14:paraId="41F112BC">
            <w:pPr>
              <w:keepNext w:val="0"/>
              <w:keepLines w:val="0"/>
              <w:pageBreakBefore w:val="0"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27" w:type="pct"/>
            <w:tcBorders>
              <w:top w:val="single" w:color="F3F6F8" w:sz="0" w:space="0"/>
              <w:left w:val="single" w:color="F3F6F8" w:sz="4" w:space="0"/>
              <w:bottom w:val="single" w:color="5D7C97" w:sz="4" w:space="0"/>
              <w:right w:val="single" w:color="F3F6F8" w:sz="4" w:space="0"/>
            </w:tcBorders>
            <w:shd w:val="clear" w:color="auto" w:fill="EAEFF3"/>
            <w:noWrap/>
            <w:vAlign w:val="center"/>
          </w:tcPr>
          <w:p w14:paraId="0C81A61C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mmu00640 Propanoate metabolism</w:t>
            </w:r>
          </w:p>
        </w:tc>
      </w:tr>
    </w:tbl>
    <w:p w14:paraId="67218E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mMGViZjlhZTRlZTBlY2Y5NzhhMzc5OWMwZjhiYjcifQ=="/>
  </w:docVars>
  <w:rsids>
    <w:rsidRoot w:val="00000000"/>
    <w:rsid w:val="07FE2F93"/>
    <w:rsid w:val="23AF4D13"/>
    <w:rsid w:val="281D3954"/>
    <w:rsid w:val="7968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default="1" w:styleId="4">
    <w:name w:val="Default Paragraph Font"/>
    <w:autoRedefine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647</Words>
  <Characters>4507</Characters>
  <Lines>0</Lines>
  <Paragraphs>0</Paragraphs>
  <TotalTime>0</TotalTime>
  <ScaleCrop>false</ScaleCrop>
  <LinksUpToDate>false</LinksUpToDate>
  <CharactersWithSpaces>5061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2024-03-19T04:15:00Z</dcterms:created>
  <dc:creator>sawlu</dc:creator>
  <cp:lastModifiedBy>Dr. Wang</cp:lastModifiedBy>
  <dcterms:modified xsi:type="dcterms:W3CDTF">2025-01-20T10:52:22Z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ACE9D6268BC747A98A254C8D358FD8E3_12</vt:lpwstr>
  </property>
  <property fmtid="{D5CDD505-2E9C-101B-9397-08002B2CF9AE}" pid="4" name="KSOTemplateDocerSaveRecord">
    <vt:lpwstr>eyJoZGlkIjoiYmNmMGViZjlhZTRlZTBlY2Y5NzhhMzc5OWMwZjhiYjciLCJ1c2VySWQiOiIzNDY4NTI3MDcifQ==</vt:lpwstr>
  </property>
</Properties>
</file>