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B48" w:rsidRPr="002C6D4A" w:rsidRDefault="007A6B48" w:rsidP="007A6B48">
      <w:pPr>
        <w:jc w:val="center"/>
        <w:rPr>
          <w:rFonts w:cs="Times New Roman"/>
          <w:b/>
          <w:bCs/>
          <w:sz w:val="24"/>
          <w:szCs w:val="24"/>
        </w:rPr>
      </w:pPr>
      <w:r w:rsidRPr="002C6D4A">
        <w:rPr>
          <w:rFonts w:cs="Times New Roman"/>
          <w:b/>
          <w:bCs/>
          <w:sz w:val="24"/>
          <w:szCs w:val="24"/>
        </w:rPr>
        <w:t>Declaration of ARRIVE guidelines</w:t>
      </w:r>
    </w:p>
    <w:p w:rsidR="007A6B48" w:rsidRPr="002C6D4A" w:rsidRDefault="007A6B48" w:rsidP="007A6B48">
      <w:pPr>
        <w:ind w:firstLineChars="200" w:firstLine="480"/>
        <w:rPr>
          <w:rFonts w:cs="Times New Roman"/>
          <w:sz w:val="24"/>
          <w:szCs w:val="24"/>
        </w:rPr>
      </w:pPr>
      <w:r w:rsidRPr="002C6D4A">
        <w:rPr>
          <w:rFonts w:cs="Times New Roman"/>
          <w:sz w:val="24"/>
          <w:szCs w:val="24"/>
        </w:rPr>
        <w:t xml:space="preserve">We declare that this study is reported in accordance with </w:t>
      </w:r>
      <w:proofErr w:type="gramStart"/>
      <w:r w:rsidRPr="002C6D4A">
        <w:rPr>
          <w:rFonts w:cs="Times New Roman"/>
          <w:sz w:val="24"/>
          <w:szCs w:val="24"/>
        </w:rPr>
        <w:t>ARRIVE</w:t>
      </w:r>
      <w:proofErr w:type="gramEnd"/>
      <w:r w:rsidRPr="002C6D4A">
        <w:rPr>
          <w:rFonts w:cs="Times New Roman"/>
          <w:sz w:val="24"/>
          <w:szCs w:val="24"/>
        </w:rPr>
        <w:t xml:space="preserve"> guidelines (https://arriveguidelines.org).</w:t>
      </w:r>
    </w:p>
    <w:p w:rsidR="007A6B48" w:rsidRPr="002C6D4A" w:rsidRDefault="007A6B48" w:rsidP="007A6B48">
      <w:pPr>
        <w:ind w:firstLineChars="200" w:firstLine="480"/>
        <w:rPr>
          <w:rFonts w:cs="Times New Roman"/>
          <w:sz w:val="24"/>
          <w:szCs w:val="24"/>
        </w:rPr>
      </w:pPr>
      <w:r w:rsidRPr="002C6D4A">
        <w:rPr>
          <w:rFonts w:cs="Times New Roman"/>
          <w:sz w:val="24"/>
          <w:szCs w:val="24"/>
        </w:rPr>
        <w:t>1. Research design: our research subjects were humans, mice, bats, rhesus monkeys, and bovines.</w:t>
      </w:r>
    </w:p>
    <w:p w:rsidR="007A6B48" w:rsidRPr="002C6D4A" w:rsidRDefault="007A6B48" w:rsidP="007A6B48">
      <w:pPr>
        <w:ind w:firstLineChars="200" w:firstLine="480"/>
        <w:rPr>
          <w:rFonts w:cs="Times New Roman"/>
          <w:sz w:val="24"/>
          <w:szCs w:val="24"/>
        </w:rPr>
      </w:pPr>
      <w:r w:rsidRPr="002C6D4A">
        <w:rPr>
          <w:rFonts w:cs="Times New Roman"/>
          <w:sz w:val="24"/>
          <w:szCs w:val="24"/>
        </w:rPr>
        <w:t>2. Sample sizes: 18 human samples, 6 rhesus monkey samples, 15 mouse samples, 2 bat samples, and 1 bovine sample. Our study did not include a control group, and we made comparisons within each group of animals.</w:t>
      </w:r>
    </w:p>
    <w:p w:rsidR="007A6B48" w:rsidRPr="002C6D4A" w:rsidRDefault="007A6B48" w:rsidP="007A6B48">
      <w:pPr>
        <w:ind w:firstLineChars="200" w:firstLine="480"/>
        <w:rPr>
          <w:rFonts w:cs="Times New Roman"/>
          <w:sz w:val="24"/>
          <w:szCs w:val="24"/>
        </w:rPr>
      </w:pPr>
      <w:r w:rsidRPr="002C6D4A">
        <w:rPr>
          <w:rFonts w:cs="Times New Roman"/>
          <w:sz w:val="24"/>
          <w:szCs w:val="24"/>
        </w:rPr>
        <w:t>3. Randomization: We used a random method to include the study animals.</w:t>
      </w:r>
    </w:p>
    <w:p w:rsidR="007A6B48" w:rsidRPr="002C6D4A" w:rsidRDefault="007A6B48" w:rsidP="007A6B48">
      <w:pPr>
        <w:ind w:firstLineChars="200" w:firstLine="480"/>
        <w:rPr>
          <w:rFonts w:cs="Times New Roman"/>
          <w:sz w:val="24"/>
          <w:szCs w:val="24"/>
        </w:rPr>
      </w:pPr>
      <w:r w:rsidRPr="002C6D4A">
        <w:rPr>
          <w:rFonts w:cs="Times New Roman"/>
          <w:sz w:val="24"/>
          <w:szCs w:val="24"/>
        </w:rPr>
        <w:t xml:space="preserve">4. Experimental animals and procedure: </w:t>
      </w:r>
    </w:p>
    <w:p w:rsidR="007A6B48" w:rsidRPr="002C6D4A" w:rsidRDefault="007A6B48" w:rsidP="007A6B48">
      <w:pPr>
        <w:ind w:firstLineChars="200" w:firstLine="480"/>
        <w:rPr>
          <w:rFonts w:cs="Times New Roman"/>
          <w:sz w:val="24"/>
          <w:szCs w:val="24"/>
        </w:rPr>
      </w:pPr>
      <w:r w:rsidRPr="002C6D4A">
        <w:rPr>
          <w:rFonts w:cs="Times New Roman"/>
          <w:sz w:val="24"/>
          <w:szCs w:val="24"/>
        </w:rPr>
        <w:t>(1) The source of human samples</w:t>
      </w:r>
      <w:r w:rsidRPr="002C6D4A">
        <w:rPr>
          <w:rFonts w:cs="Times New Roman" w:hint="eastAsia"/>
          <w:sz w:val="24"/>
          <w:szCs w:val="24"/>
        </w:rPr>
        <w:t xml:space="preserve">: </w:t>
      </w:r>
      <w:r w:rsidRPr="002C6D4A">
        <w:rPr>
          <w:rFonts w:cs="Times New Roman"/>
          <w:sz w:val="24"/>
          <w:szCs w:val="24"/>
        </w:rPr>
        <w:t xml:space="preserve">8 human samples were collected four thymus samples and four peripheral blood samples from infants aged 7, 52, 107, and 156 days, DNA was extracted from thymus tissues and peripheral blood mononuclear cells (PBMCs), and the TCRβ CDR3 repertoires were constructed using multiplex PCR. Sequencing was conducted on the </w:t>
      </w:r>
      <w:proofErr w:type="spellStart"/>
      <w:r w:rsidRPr="002C6D4A">
        <w:rPr>
          <w:rFonts w:cs="Times New Roman"/>
          <w:sz w:val="24"/>
          <w:szCs w:val="24"/>
        </w:rPr>
        <w:t>Illumina</w:t>
      </w:r>
      <w:proofErr w:type="spellEnd"/>
      <w:r w:rsidRPr="002C6D4A">
        <w:rPr>
          <w:rFonts w:cs="Times New Roman"/>
          <w:sz w:val="24"/>
          <w:szCs w:val="24"/>
        </w:rPr>
        <w:t xml:space="preserve"> platform, and the relevant sample information was obtained from the article (DOI: 10.1016/j.dib.2021.106751). Five peripheral blood samples were obtained from five healthy donors aged 39, 71, 55, 68, and 41, respectively, PBMCs were isolated using density gradient centrifugation, and single-cell sequencing was performed on the </w:t>
      </w:r>
      <w:proofErr w:type="spellStart"/>
      <w:r w:rsidRPr="002C6D4A">
        <w:rPr>
          <w:rFonts w:cs="Times New Roman"/>
          <w:sz w:val="24"/>
          <w:szCs w:val="24"/>
        </w:rPr>
        <w:t>Illumina</w:t>
      </w:r>
      <w:proofErr w:type="spellEnd"/>
      <w:r w:rsidRPr="002C6D4A">
        <w:rPr>
          <w:rFonts w:cs="Times New Roman"/>
          <w:sz w:val="24"/>
          <w:szCs w:val="24"/>
        </w:rPr>
        <w:t xml:space="preserve"> </w:t>
      </w:r>
      <w:proofErr w:type="spellStart"/>
      <w:r w:rsidRPr="002C6D4A">
        <w:rPr>
          <w:rFonts w:cs="Times New Roman"/>
          <w:sz w:val="24"/>
          <w:szCs w:val="24"/>
        </w:rPr>
        <w:t>HiSeq</w:t>
      </w:r>
      <w:proofErr w:type="spellEnd"/>
      <w:r w:rsidRPr="002C6D4A">
        <w:rPr>
          <w:rFonts w:cs="Times New Roman"/>
          <w:sz w:val="24"/>
          <w:szCs w:val="24"/>
        </w:rPr>
        <w:t xml:space="preserve"> 3000 platform. The basic information of the samples is available in the published article (DOI</w:t>
      </w:r>
      <w:proofErr w:type="gramStart"/>
      <w:r w:rsidRPr="002C6D4A">
        <w:rPr>
          <w:rFonts w:cs="Times New Roman"/>
          <w:sz w:val="24"/>
          <w:szCs w:val="24"/>
        </w:rPr>
        <w:t>:10.1038</w:t>
      </w:r>
      <w:proofErr w:type="gramEnd"/>
      <w:r w:rsidRPr="002C6D4A">
        <w:rPr>
          <w:rFonts w:cs="Times New Roman"/>
          <w:sz w:val="24"/>
          <w:szCs w:val="24"/>
        </w:rPr>
        <w:t xml:space="preserve">/s41467-022-29175-x). Five thymus samples were collected from five donors aged 11 weeks, 30 months, 10 months, 12 weeks, and 35-40 years. The thymus samples were digested using enzymes until the tissue was completely dissociated. Sequencing was performed using the </w:t>
      </w:r>
      <w:proofErr w:type="spellStart"/>
      <w:r w:rsidRPr="002C6D4A">
        <w:rPr>
          <w:rFonts w:cs="Times New Roman"/>
          <w:sz w:val="24"/>
          <w:szCs w:val="24"/>
        </w:rPr>
        <w:t>Illumina</w:t>
      </w:r>
      <w:proofErr w:type="spellEnd"/>
      <w:r w:rsidRPr="002C6D4A">
        <w:rPr>
          <w:rFonts w:cs="Times New Roman"/>
          <w:sz w:val="24"/>
          <w:szCs w:val="24"/>
        </w:rPr>
        <w:t xml:space="preserve"> </w:t>
      </w:r>
      <w:proofErr w:type="spellStart"/>
      <w:r w:rsidRPr="002C6D4A">
        <w:rPr>
          <w:rFonts w:cs="Times New Roman"/>
          <w:sz w:val="24"/>
          <w:szCs w:val="24"/>
        </w:rPr>
        <w:t>HiSeq</w:t>
      </w:r>
      <w:proofErr w:type="spellEnd"/>
      <w:r w:rsidRPr="002C6D4A">
        <w:rPr>
          <w:rFonts w:cs="Times New Roman"/>
          <w:sz w:val="24"/>
          <w:szCs w:val="24"/>
        </w:rPr>
        <w:t xml:space="preserve"> 4000 platform. The data can be downloaded from the NCBI database (https://www.ncbi.nlm.nih.gov/Traces/study/?acc=ERP119282&amp;o=acc_s%3Aa). </w:t>
      </w:r>
    </w:p>
    <w:p w:rsidR="007A6B48" w:rsidRPr="002C6D4A" w:rsidRDefault="007A6B48" w:rsidP="007A6B48">
      <w:pPr>
        <w:ind w:firstLineChars="200" w:firstLine="480"/>
        <w:rPr>
          <w:rFonts w:cs="Times New Roman"/>
          <w:sz w:val="24"/>
          <w:szCs w:val="24"/>
        </w:rPr>
      </w:pPr>
      <w:r w:rsidRPr="002C6D4A">
        <w:rPr>
          <w:rFonts w:cs="Times New Roman"/>
          <w:sz w:val="24"/>
          <w:szCs w:val="24"/>
        </w:rPr>
        <w:t>(2) The source of mouse samples</w:t>
      </w:r>
      <w:r w:rsidRPr="002C6D4A">
        <w:rPr>
          <w:rFonts w:cs="Times New Roman" w:hint="eastAsia"/>
          <w:sz w:val="24"/>
          <w:szCs w:val="24"/>
        </w:rPr>
        <w:t xml:space="preserve">: </w:t>
      </w:r>
      <w:r w:rsidRPr="002C6D4A">
        <w:rPr>
          <w:rFonts w:cs="Times New Roman"/>
          <w:sz w:val="24"/>
          <w:szCs w:val="24"/>
        </w:rPr>
        <w:t>6 mouse samples were collected from 3 spleen and 3 thymus samples from female BALB/c mice aged 2 months by our group. Total RNA was extracted from each sample, and the 5</w:t>
      </w:r>
      <w:r w:rsidRPr="002C6D4A">
        <w:rPr>
          <w:rFonts w:cs="Times New Roman" w:hint="eastAsia"/>
          <w:sz w:val="24"/>
          <w:szCs w:val="24"/>
        </w:rPr>
        <w:t>'</w:t>
      </w:r>
      <w:r w:rsidRPr="002C6D4A">
        <w:rPr>
          <w:rFonts w:cs="Times New Roman"/>
          <w:sz w:val="24"/>
          <w:szCs w:val="24"/>
        </w:rPr>
        <w:t xml:space="preserve">RACE method was used to construct the TCRβ CDR3 repertoires. Sequencing was performed using </w:t>
      </w:r>
      <w:proofErr w:type="spellStart"/>
      <w:r w:rsidRPr="002C6D4A">
        <w:rPr>
          <w:rFonts w:cs="Times New Roman"/>
          <w:sz w:val="24"/>
          <w:szCs w:val="24"/>
        </w:rPr>
        <w:t>Illumina</w:t>
      </w:r>
      <w:proofErr w:type="spellEnd"/>
      <w:r w:rsidRPr="002C6D4A">
        <w:rPr>
          <w:rFonts w:cs="Times New Roman"/>
          <w:sz w:val="24"/>
          <w:szCs w:val="24"/>
        </w:rPr>
        <w:t xml:space="preserve"> </w:t>
      </w:r>
      <w:proofErr w:type="spellStart"/>
      <w:r w:rsidRPr="002C6D4A">
        <w:rPr>
          <w:rFonts w:cs="Times New Roman"/>
          <w:sz w:val="24"/>
          <w:szCs w:val="24"/>
        </w:rPr>
        <w:t>NovaSeq</w:t>
      </w:r>
      <w:proofErr w:type="spellEnd"/>
      <w:r w:rsidRPr="002C6D4A">
        <w:rPr>
          <w:rFonts w:cs="Times New Roman"/>
          <w:sz w:val="24"/>
          <w:szCs w:val="24"/>
        </w:rPr>
        <w:t xml:space="preserve"> 6000 platform. Nine mouse samples from 3 C57BL/6 tumour-bearing mice aged 6-8 </w:t>
      </w:r>
      <w:proofErr w:type="gramStart"/>
      <w:r w:rsidRPr="002C6D4A">
        <w:rPr>
          <w:rFonts w:cs="Times New Roman"/>
          <w:sz w:val="24"/>
          <w:szCs w:val="24"/>
        </w:rPr>
        <w:t>weeks,</w:t>
      </w:r>
      <w:proofErr w:type="gramEnd"/>
      <w:r w:rsidRPr="002C6D4A">
        <w:rPr>
          <w:rFonts w:cs="Times New Roman"/>
          <w:sz w:val="24"/>
          <w:szCs w:val="24"/>
        </w:rPr>
        <w:t xml:space="preserve"> </w:t>
      </w:r>
      <w:proofErr w:type="spellStart"/>
      <w:r w:rsidRPr="002C6D4A">
        <w:rPr>
          <w:rFonts w:cs="Times New Roman"/>
          <w:sz w:val="24"/>
          <w:szCs w:val="24"/>
        </w:rPr>
        <w:t>immunomagnetic</w:t>
      </w:r>
      <w:proofErr w:type="spellEnd"/>
      <w:r w:rsidRPr="002C6D4A">
        <w:rPr>
          <w:rFonts w:cs="Times New Roman"/>
          <w:sz w:val="24"/>
          <w:szCs w:val="24"/>
        </w:rPr>
        <w:t xml:space="preserve"> bead negative selection was used to pre-enrich total T cells. Single-cell sequencing was performed on the </w:t>
      </w:r>
      <w:proofErr w:type="spellStart"/>
      <w:r w:rsidRPr="002C6D4A">
        <w:rPr>
          <w:rFonts w:cs="Times New Roman"/>
          <w:sz w:val="24"/>
          <w:szCs w:val="24"/>
        </w:rPr>
        <w:t>Illumina</w:t>
      </w:r>
      <w:proofErr w:type="spellEnd"/>
      <w:r w:rsidRPr="002C6D4A">
        <w:rPr>
          <w:rFonts w:cs="Times New Roman"/>
          <w:sz w:val="24"/>
          <w:szCs w:val="24"/>
        </w:rPr>
        <w:t xml:space="preserve"> </w:t>
      </w:r>
      <w:proofErr w:type="spellStart"/>
      <w:r w:rsidRPr="002C6D4A">
        <w:rPr>
          <w:rFonts w:cs="Times New Roman"/>
          <w:sz w:val="24"/>
          <w:szCs w:val="24"/>
        </w:rPr>
        <w:t>HiSeq</w:t>
      </w:r>
      <w:proofErr w:type="spellEnd"/>
      <w:r w:rsidRPr="002C6D4A">
        <w:rPr>
          <w:rFonts w:cs="Times New Roman"/>
          <w:sz w:val="24"/>
          <w:szCs w:val="24"/>
        </w:rPr>
        <w:t xml:space="preserve"> 4000 platform. The basic sample information is derived from a published article (DOI:10.1084/jem.20201329). One spleen sample and two PBMCs samples from a rhesus monkey were used. FACS was employed to stimulate non-proliferating T cells (SRR15249814) and proliferating T cells (SRR15249812). The 5</w:t>
      </w:r>
      <w:r w:rsidRPr="002C6D4A">
        <w:rPr>
          <w:rFonts w:cs="Times New Roman" w:hint="eastAsia"/>
          <w:sz w:val="24"/>
          <w:szCs w:val="24"/>
        </w:rPr>
        <w:t>'</w:t>
      </w:r>
      <w:r w:rsidRPr="002C6D4A">
        <w:rPr>
          <w:rFonts w:cs="Times New Roman"/>
          <w:sz w:val="24"/>
          <w:szCs w:val="24"/>
        </w:rPr>
        <w:t xml:space="preserve">RACE method was used for TCRβ CDR3 repertoires construction. Single-cell sequencing was performed on the </w:t>
      </w:r>
      <w:proofErr w:type="spellStart"/>
      <w:r w:rsidRPr="002C6D4A">
        <w:rPr>
          <w:rFonts w:cs="Times New Roman"/>
          <w:sz w:val="24"/>
          <w:szCs w:val="24"/>
        </w:rPr>
        <w:t>Illumina</w:t>
      </w:r>
      <w:proofErr w:type="spellEnd"/>
      <w:r w:rsidRPr="002C6D4A">
        <w:rPr>
          <w:rFonts w:cs="Times New Roman"/>
          <w:sz w:val="24"/>
          <w:szCs w:val="24"/>
        </w:rPr>
        <w:t xml:space="preserve"> </w:t>
      </w:r>
      <w:proofErr w:type="spellStart"/>
      <w:r w:rsidRPr="002C6D4A">
        <w:rPr>
          <w:rFonts w:cs="Times New Roman"/>
          <w:sz w:val="24"/>
          <w:szCs w:val="24"/>
        </w:rPr>
        <w:lastRenderedPageBreak/>
        <w:t>NextSeq</w:t>
      </w:r>
      <w:proofErr w:type="spellEnd"/>
      <w:r w:rsidRPr="002C6D4A">
        <w:rPr>
          <w:rFonts w:cs="Times New Roman"/>
          <w:sz w:val="24"/>
          <w:szCs w:val="24"/>
        </w:rPr>
        <w:t xml:space="preserve"> 500 platform. The basic information of the samples was obtained from a published article (DOI: 10.4049/jimmunol.2100824). </w:t>
      </w:r>
    </w:p>
    <w:p w:rsidR="007A6B48" w:rsidRPr="002C6D4A" w:rsidRDefault="007A6B48" w:rsidP="007A6B48">
      <w:pPr>
        <w:ind w:firstLineChars="200" w:firstLine="480"/>
        <w:rPr>
          <w:rFonts w:cs="Times New Roman"/>
          <w:sz w:val="24"/>
          <w:szCs w:val="24"/>
        </w:rPr>
      </w:pPr>
      <w:r w:rsidRPr="002C6D4A">
        <w:rPr>
          <w:rFonts w:cs="Times New Roman"/>
          <w:sz w:val="24"/>
          <w:szCs w:val="24"/>
        </w:rPr>
        <w:t>(3) The source of the monkey samples</w:t>
      </w:r>
      <w:r w:rsidRPr="002C6D4A">
        <w:rPr>
          <w:rFonts w:cs="Times New Roman" w:hint="eastAsia"/>
          <w:sz w:val="24"/>
          <w:szCs w:val="24"/>
        </w:rPr>
        <w:t xml:space="preserve">: </w:t>
      </w:r>
      <w:r w:rsidRPr="002C6D4A">
        <w:rPr>
          <w:rFonts w:cs="Times New Roman"/>
          <w:sz w:val="24"/>
          <w:szCs w:val="24"/>
        </w:rPr>
        <w:t>one blood sample was obtained from a 5-year-old healthy female Chinese rhesus monkey. PBMCs were isolated using density gradient centrifugation, and total RNA was then extracted. The TCRβ CDR3 repertoire was constructed using 5</w:t>
      </w:r>
      <w:r w:rsidRPr="002C6D4A">
        <w:rPr>
          <w:rFonts w:cs="Times New Roman" w:hint="eastAsia"/>
          <w:sz w:val="24"/>
          <w:szCs w:val="24"/>
        </w:rPr>
        <w:t>'</w:t>
      </w:r>
      <w:r w:rsidRPr="002C6D4A">
        <w:rPr>
          <w:rFonts w:cs="Times New Roman"/>
          <w:sz w:val="24"/>
          <w:szCs w:val="24"/>
        </w:rPr>
        <w:t xml:space="preserve">RACE, and sequencing was conducted using </w:t>
      </w:r>
      <w:proofErr w:type="spellStart"/>
      <w:r w:rsidRPr="002C6D4A">
        <w:rPr>
          <w:rFonts w:cs="Times New Roman"/>
          <w:sz w:val="24"/>
          <w:szCs w:val="24"/>
        </w:rPr>
        <w:t>Illumina</w:t>
      </w:r>
      <w:proofErr w:type="spellEnd"/>
      <w:r w:rsidRPr="002C6D4A">
        <w:rPr>
          <w:rFonts w:cs="Times New Roman"/>
          <w:sz w:val="24"/>
          <w:szCs w:val="24"/>
        </w:rPr>
        <w:t xml:space="preserve"> </w:t>
      </w:r>
      <w:proofErr w:type="spellStart"/>
      <w:r w:rsidRPr="002C6D4A">
        <w:rPr>
          <w:rFonts w:cs="Times New Roman"/>
          <w:sz w:val="24"/>
          <w:szCs w:val="24"/>
        </w:rPr>
        <w:t>HiSeq</w:t>
      </w:r>
      <w:proofErr w:type="spellEnd"/>
      <w:r w:rsidRPr="002C6D4A">
        <w:rPr>
          <w:rFonts w:cs="Times New Roman"/>
          <w:sz w:val="24"/>
          <w:szCs w:val="24"/>
        </w:rPr>
        <w:t xml:space="preserve"> 2000 platform. The basic information of the sample can be found in a previously published article (DOI:10.1371/journal.pone.0182733). Four samples of T cells from the peripheral tissues of rhesus monkeys were collected from PBMCs (SRR15249806, SRR15249810), </w:t>
      </w:r>
      <w:proofErr w:type="spellStart"/>
      <w:r w:rsidRPr="002C6D4A">
        <w:rPr>
          <w:rFonts w:cs="Times New Roman"/>
          <w:sz w:val="24"/>
          <w:szCs w:val="24"/>
        </w:rPr>
        <w:t>splenocytes</w:t>
      </w:r>
      <w:proofErr w:type="spellEnd"/>
      <w:r w:rsidRPr="002C6D4A">
        <w:rPr>
          <w:rFonts w:cs="Times New Roman"/>
          <w:sz w:val="24"/>
          <w:szCs w:val="24"/>
        </w:rPr>
        <w:t xml:space="preserve"> (SRR15249798), and FACS-sorted stimulated </w:t>
      </w:r>
      <w:proofErr w:type="spellStart"/>
      <w:r w:rsidRPr="002C6D4A">
        <w:rPr>
          <w:rFonts w:cs="Times New Roman"/>
          <w:sz w:val="24"/>
          <w:szCs w:val="24"/>
        </w:rPr>
        <w:t>nonproliferating</w:t>
      </w:r>
      <w:proofErr w:type="spellEnd"/>
      <w:r w:rsidRPr="002C6D4A">
        <w:rPr>
          <w:rFonts w:cs="Times New Roman"/>
          <w:sz w:val="24"/>
          <w:szCs w:val="24"/>
        </w:rPr>
        <w:t xml:space="preserve"> (SRR15249814) and proliferating (SRR15249812) T cells. TRB sequencing was performed using the </w:t>
      </w:r>
      <w:proofErr w:type="spellStart"/>
      <w:r w:rsidRPr="002C6D4A">
        <w:rPr>
          <w:rFonts w:cs="Times New Roman"/>
          <w:sz w:val="24"/>
          <w:szCs w:val="24"/>
        </w:rPr>
        <w:t>Illumina</w:t>
      </w:r>
      <w:proofErr w:type="spellEnd"/>
      <w:r w:rsidRPr="002C6D4A">
        <w:rPr>
          <w:rFonts w:cs="Times New Roman"/>
          <w:sz w:val="24"/>
          <w:szCs w:val="24"/>
        </w:rPr>
        <w:t xml:space="preserve"> </w:t>
      </w:r>
      <w:proofErr w:type="spellStart"/>
      <w:r w:rsidRPr="002C6D4A">
        <w:rPr>
          <w:rFonts w:cs="Times New Roman"/>
          <w:sz w:val="24"/>
          <w:szCs w:val="24"/>
        </w:rPr>
        <w:t>NextSeq</w:t>
      </w:r>
      <w:proofErr w:type="spellEnd"/>
      <w:r w:rsidRPr="002C6D4A">
        <w:rPr>
          <w:rFonts w:cs="Times New Roman"/>
          <w:sz w:val="24"/>
          <w:szCs w:val="24"/>
        </w:rPr>
        <w:t xml:space="preserve"> 500 platform. The basic information of the sample can be found in a previously published article (DOI: 10.4049/jimmunol.2100824). </w:t>
      </w:r>
    </w:p>
    <w:p w:rsidR="007A6B48" w:rsidRPr="002C6D4A" w:rsidRDefault="007A6B48" w:rsidP="007A6B48">
      <w:pPr>
        <w:ind w:firstLineChars="200" w:firstLine="480"/>
        <w:rPr>
          <w:rFonts w:cs="Times New Roman"/>
          <w:sz w:val="24"/>
          <w:szCs w:val="24"/>
        </w:rPr>
      </w:pPr>
      <w:r w:rsidRPr="002C6D4A">
        <w:rPr>
          <w:rFonts w:cs="Times New Roman"/>
          <w:sz w:val="24"/>
          <w:szCs w:val="24"/>
        </w:rPr>
        <w:t xml:space="preserve">(4) Sources of the bat samples: Two bat samples were collected from </w:t>
      </w:r>
      <w:proofErr w:type="spellStart"/>
      <w:r w:rsidRPr="002C6D4A">
        <w:rPr>
          <w:rFonts w:cs="Times New Roman"/>
          <w:i/>
          <w:iCs/>
          <w:sz w:val="24"/>
          <w:szCs w:val="24"/>
        </w:rPr>
        <w:t>Rhinolophus</w:t>
      </w:r>
      <w:proofErr w:type="spellEnd"/>
      <w:r w:rsidRPr="002C6D4A">
        <w:rPr>
          <w:rFonts w:cs="Times New Roman"/>
          <w:i/>
          <w:iCs/>
          <w:sz w:val="24"/>
          <w:szCs w:val="24"/>
        </w:rPr>
        <w:t xml:space="preserve"> </w:t>
      </w:r>
      <w:proofErr w:type="spellStart"/>
      <w:r w:rsidRPr="002C6D4A">
        <w:rPr>
          <w:rFonts w:cs="Times New Roman"/>
          <w:i/>
          <w:iCs/>
          <w:sz w:val="24"/>
          <w:szCs w:val="24"/>
        </w:rPr>
        <w:t>affinis</w:t>
      </w:r>
      <w:proofErr w:type="spellEnd"/>
      <w:r w:rsidRPr="002C6D4A">
        <w:rPr>
          <w:rFonts w:cs="Times New Roman"/>
          <w:sz w:val="24"/>
          <w:szCs w:val="24"/>
        </w:rPr>
        <w:t xml:space="preserve"> in </w:t>
      </w:r>
      <w:proofErr w:type="spellStart"/>
      <w:r w:rsidRPr="002C6D4A">
        <w:rPr>
          <w:rFonts w:cs="Times New Roman"/>
          <w:sz w:val="24"/>
          <w:szCs w:val="24"/>
        </w:rPr>
        <w:t>Guizhou</w:t>
      </w:r>
      <w:proofErr w:type="spellEnd"/>
      <w:r w:rsidRPr="002C6D4A">
        <w:rPr>
          <w:rFonts w:cs="Times New Roman"/>
          <w:sz w:val="24"/>
          <w:szCs w:val="24"/>
        </w:rPr>
        <w:t>, China. Spleen tissue samples were obtained from each bat, and total RNA was extracted. The 5</w:t>
      </w:r>
      <w:r w:rsidRPr="002C6D4A">
        <w:rPr>
          <w:rFonts w:cs="Times New Roman" w:hint="eastAsia"/>
          <w:sz w:val="24"/>
          <w:szCs w:val="24"/>
        </w:rPr>
        <w:t>'</w:t>
      </w:r>
      <w:r w:rsidRPr="002C6D4A">
        <w:rPr>
          <w:rFonts w:cs="Times New Roman"/>
          <w:sz w:val="24"/>
          <w:szCs w:val="24"/>
        </w:rPr>
        <w:t xml:space="preserve">RACE method was employed to construct the TCRβ CDR3 </w:t>
      </w:r>
      <w:proofErr w:type="gramStart"/>
      <w:r w:rsidRPr="002C6D4A">
        <w:rPr>
          <w:rFonts w:cs="Times New Roman"/>
          <w:sz w:val="24"/>
          <w:szCs w:val="24"/>
        </w:rPr>
        <w:t>repertoires,</w:t>
      </w:r>
      <w:proofErr w:type="gramEnd"/>
      <w:r w:rsidRPr="002C6D4A">
        <w:rPr>
          <w:rFonts w:cs="Times New Roman"/>
          <w:sz w:val="24"/>
          <w:szCs w:val="24"/>
        </w:rPr>
        <w:t xml:space="preserve"> and sequencing was performed using the </w:t>
      </w:r>
      <w:proofErr w:type="spellStart"/>
      <w:r w:rsidRPr="002C6D4A">
        <w:rPr>
          <w:rFonts w:cs="Times New Roman"/>
          <w:sz w:val="24"/>
          <w:szCs w:val="24"/>
        </w:rPr>
        <w:t>Illumina</w:t>
      </w:r>
      <w:proofErr w:type="spellEnd"/>
      <w:r w:rsidRPr="002C6D4A">
        <w:rPr>
          <w:rFonts w:cs="Times New Roman"/>
          <w:sz w:val="24"/>
          <w:szCs w:val="24"/>
        </w:rPr>
        <w:t xml:space="preserve"> </w:t>
      </w:r>
      <w:proofErr w:type="spellStart"/>
      <w:r w:rsidRPr="002C6D4A">
        <w:rPr>
          <w:rFonts w:cs="Times New Roman"/>
          <w:sz w:val="24"/>
          <w:szCs w:val="24"/>
        </w:rPr>
        <w:t>HiSeq</w:t>
      </w:r>
      <w:proofErr w:type="spellEnd"/>
      <w:r w:rsidRPr="002C6D4A">
        <w:rPr>
          <w:rFonts w:cs="Times New Roman"/>
          <w:sz w:val="24"/>
          <w:szCs w:val="24"/>
        </w:rPr>
        <w:t xml:space="preserve"> 1500 platform. </w:t>
      </w:r>
    </w:p>
    <w:p w:rsidR="007A6B48" w:rsidRPr="002C6D4A" w:rsidRDefault="007A6B48" w:rsidP="007A6B48">
      <w:pPr>
        <w:ind w:firstLineChars="200" w:firstLine="480"/>
        <w:rPr>
          <w:rFonts w:cs="Times New Roman"/>
          <w:sz w:val="24"/>
          <w:szCs w:val="24"/>
        </w:rPr>
      </w:pPr>
      <w:r w:rsidRPr="002C6D4A">
        <w:rPr>
          <w:rFonts w:cs="Times New Roman"/>
          <w:sz w:val="24"/>
          <w:szCs w:val="24"/>
        </w:rPr>
        <w:t>(5) The source of the bovine samples</w:t>
      </w:r>
      <w:r w:rsidRPr="002C6D4A">
        <w:rPr>
          <w:rFonts w:cs="Times New Roman" w:hint="eastAsia"/>
          <w:sz w:val="24"/>
          <w:szCs w:val="24"/>
        </w:rPr>
        <w:t xml:space="preserve">: </w:t>
      </w:r>
      <w:r w:rsidRPr="002C6D4A">
        <w:rPr>
          <w:rFonts w:cs="Times New Roman"/>
          <w:sz w:val="24"/>
          <w:szCs w:val="24"/>
        </w:rPr>
        <w:t xml:space="preserve">one spleen sample was collected from a bovine. The total RNA was reverse transcribed to </w:t>
      </w:r>
      <w:proofErr w:type="spellStart"/>
      <w:r w:rsidRPr="002C6D4A">
        <w:rPr>
          <w:rFonts w:cs="Times New Roman"/>
          <w:sz w:val="24"/>
          <w:szCs w:val="24"/>
        </w:rPr>
        <w:t>cDNA</w:t>
      </w:r>
      <w:proofErr w:type="spellEnd"/>
      <w:r w:rsidRPr="002C6D4A">
        <w:rPr>
          <w:rFonts w:cs="Times New Roman"/>
          <w:sz w:val="24"/>
          <w:szCs w:val="24"/>
        </w:rPr>
        <w:t>. Multiplexed PCR was performed to amplify rearranged TCR-β CDR3 sequences. TRB sequencing was performed using the MGISEQ-2000RS platform.</w:t>
      </w:r>
    </w:p>
    <w:p w:rsidR="007A6B48" w:rsidRPr="002C6D4A" w:rsidRDefault="007A6B48" w:rsidP="007A6B48">
      <w:pPr>
        <w:ind w:firstLineChars="200" w:firstLine="480"/>
        <w:rPr>
          <w:rFonts w:cs="Times New Roman"/>
          <w:sz w:val="24"/>
          <w:szCs w:val="24"/>
        </w:rPr>
      </w:pPr>
      <w:r w:rsidRPr="002C6D4A">
        <w:rPr>
          <w:rFonts w:cs="Times New Roman"/>
          <w:sz w:val="24"/>
          <w:szCs w:val="24"/>
        </w:rPr>
        <w:t>5. Result: all sequencing data can be used for the analysis of the TCRβ CDR3 repertoires.</w:t>
      </w:r>
    </w:p>
    <w:p w:rsidR="007A6B48" w:rsidRPr="002C6D4A" w:rsidRDefault="007A6B48" w:rsidP="007A6B48">
      <w:pPr>
        <w:ind w:firstLineChars="200" w:firstLine="480"/>
        <w:rPr>
          <w:rFonts w:cs="Times New Roman"/>
          <w:sz w:val="24"/>
          <w:szCs w:val="24"/>
        </w:rPr>
      </w:pPr>
      <w:r w:rsidRPr="002C6D4A">
        <w:rPr>
          <w:rFonts w:cs="Times New Roman"/>
          <w:sz w:val="24"/>
          <w:szCs w:val="24"/>
        </w:rPr>
        <w:t xml:space="preserve">6. Statistical methods: SPSS (version 29.0) was used for statistical </w:t>
      </w:r>
      <w:proofErr w:type="gramStart"/>
      <w:r w:rsidRPr="002C6D4A">
        <w:rPr>
          <w:rFonts w:cs="Times New Roman"/>
          <w:sz w:val="24"/>
          <w:szCs w:val="24"/>
        </w:rPr>
        <w:t>analysis,</w:t>
      </w:r>
      <w:proofErr w:type="gramEnd"/>
      <w:r w:rsidRPr="002C6D4A">
        <w:rPr>
          <w:rFonts w:cs="Times New Roman"/>
          <w:sz w:val="24"/>
          <w:szCs w:val="24"/>
        </w:rPr>
        <w:t xml:space="preserve"> we performed statistical analysis by Mann-Whitney U test and Pearson's chi-squared test. A P value &lt; 0.05 was considered to indicate a statistically significant difference.</w:t>
      </w:r>
    </w:p>
    <w:p w:rsidR="003A5851" w:rsidRDefault="003A5851">
      <w:bookmarkStart w:id="0" w:name="_GoBack"/>
      <w:bookmarkEnd w:id="0"/>
    </w:p>
    <w:sectPr w:rsidR="003A58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B48"/>
    <w:rsid w:val="000010C4"/>
    <w:rsid w:val="00073C71"/>
    <w:rsid w:val="000A176B"/>
    <w:rsid w:val="000E2C67"/>
    <w:rsid w:val="001114CB"/>
    <w:rsid w:val="00144B1E"/>
    <w:rsid w:val="00156F14"/>
    <w:rsid w:val="00171A01"/>
    <w:rsid w:val="001A4F56"/>
    <w:rsid w:val="00241AB2"/>
    <w:rsid w:val="002B1233"/>
    <w:rsid w:val="002C4A00"/>
    <w:rsid w:val="002C575A"/>
    <w:rsid w:val="002D48A7"/>
    <w:rsid w:val="002E3C65"/>
    <w:rsid w:val="00335AB0"/>
    <w:rsid w:val="0038648C"/>
    <w:rsid w:val="003A5851"/>
    <w:rsid w:val="003C39E5"/>
    <w:rsid w:val="003C6799"/>
    <w:rsid w:val="003E2593"/>
    <w:rsid w:val="003E58BC"/>
    <w:rsid w:val="00404912"/>
    <w:rsid w:val="004476A2"/>
    <w:rsid w:val="00455D2C"/>
    <w:rsid w:val="00487276"/>
    <w:rsid w:val="004C54C6"/>
    <w:rsid w:val="00503C56"/>
    <w:rsid w:val="005045DA"/>
    <w:rsid w:val="00540272"/>
    <w:rsid w:val="005661AA"/>
    <w:rsid w:val="00580A70"/>
    <w:rsid w:val="005F006D"/>
    <w:rsid w:val="00655083"/>
    <w:rsid w:val="0065684E"/>
    <w:rsid w:val="0073462E"/>
    <w:rsid w:val="0073576E"/>
    <w:rsid w:val="007700F9"/>
    <w:rsid w:val="007862D1"/>
    <w:rsid w:val="007A6B48"/>
    <w:rsid w:val="007B23A8"/>
    <w:rsid w:val="007D1622"/>
    <w:rsid w:val="007E4C3C"/>
    <w:rsid w:val="007E64BB"/>
    <w:rsid w:val="008138AB"/>
    <w:rsid w:val="008741C1"/>
    <w:rsid w:val="008C2B19"/>
    <w:rsid w:val="008D105F"/>
    <w:rsid w:val="009374B7"/>
    <w:rsid w:val="009773C7"/>
    <w:rsid w:val="009875C5"/>
    <w:rsid w:val="009906CE"/>
    <w:rsid w:val="009913FF"/>
    <w:rsid w:val="009A6B37"/>
    <w:rsid w:val="009B34EC"/>
    <w:rsid w:val="009D5DE3"/>
    <w:rsid w:val="00A03E80"/>
    <w:rsid w:val="00A41A1B"/>
    <w:rsid w:val="00A770CB"/>
    <w:rsid w:val="00A82E14"/>
    <w:rsid w:val="00A82E95"/>
    <w:rsid w:val="00AA261D"/>
    <w:rsid w:val="00B76AD5"/>
    <w:rsid w:val="00B85E75"/>
    <w:rsid w:val="00BF4CE4"/>
    <w:rsid w:val="00BF77C1"/>
    <w:rsid w:val="00C04860"/>
    <w:rsid w:val="00C43262"/>
    <w:rsid w:val="00C63D3B"/>
    <w:rsid w:val="00C873D1"/>
    <w:rsid w:val="00C90E12"/>
    <w:rsid w:val="00C914D3"/>
    <w:rsid w:val="00CD25BC"/>
    <w:rsid w:val="00CE7CB6"/>
    <w:rsid w:val="00CF0C02"/>
    <w:rsid w:val="00D05211"/>
    <w:rsid w:val="00D16F9C"/>
    <w:rsid w:val="00D45066"/>
    <w:rsid w:val="00D55037"/>
    <w:rsid w:val="00D568D9"/>
    <w:rsid w:val="00D6102D"/>
    <w:rsid w:val="00D82F6E"/>
    <w:rsid w:val="00DD413A"/>
    <w:rsid w:val="00DF2738"/>
    <w:rsid w:val="00E0480C"/>
    <w:rsid w:val="00E553F7"/>
    <w:rsid w:val="00ED596F"/>
    <w:rsid w:val="00F0583F"/>
    <w:rsid w:val="00F765ED"/>
    <w:rsid w:val="00F9644F"/>
    <w:rsid w:val="00FB0CB1"/>
    <w:rsid w:val="00FB7D40"/>
    <w:rsid w:val="00FC5B52"/>
    <w:rsid w:val="00FD07C9"/>
    <w:rsid w:val="00FE44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3990</Characters>
  <Application>Microsoft Office Word</Application>
  <DocSecurity>0</DocSecurity>
  <Lines>33</Lines>
  <Paragraphs>9</Paragraphs>
  <ScaleCrop>false</ScaleCrop>
  <Company/>
  <LinksUpToDate>false</LinksUpToDate>
  <CharactersWithSpaces>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Editorial Integra</dc:creator>
  <cp:lastModifiedBy>Editorial Integra</cp:lastModifiedBy>
  <cp:revision>1</cp:revision>
  <dcterms:created xsi:type="dcterms:W3CDTF">2025-03-22T14:38:00Z</dcterms:created>
  <dcterms:modified xsi:type="dcterms:W3CDTF">2025-03-22T14:38:00Z</dcterms:modified>
</cp:coreProperties>
</file>