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95248" w14:textId="77777777" w:rsidR="008F7016" w:rsidRPr="008F7016" w:rsidRDefault="008F7016" w:rsidP="008F7016">
      <w:pPr>
        <w:spacing w:before="100" w:beforeAutospacing="1" w:after="100" w:afterAutospacing="1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</w:pPr>
      <w:r w:rsidRPr="008F7016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</w:rPr>
        <w:t>Supplementary Materials</w:t>
      </w:r>
    </w:p>
    <w:p w14:paraId="0C2647B6" w14:textId="77777777" w:rsidR="008F7016" w:rsidRPr="008F7016" w:rsidRDefault="008F7016" w:rsidP="008F7016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sz w:val="24"/>
          <w:szCs w:val="24"/>
        </w:rPr>
      </w:pPr>
      <w:r w:rsidRPr="008F7016">
        <w:rPr>
          <w:rFonts w:ascii="Times New Roman" w:eastAsia="Times New Roman" w:hAnsi="Times New Roman" w:cs="Times New Roman"/>
          <w:sz w:val="24"/>
          <w:szCs w:val="24"/>
        </w:rPr>
        <w:t xml:space="preserve">Integrative Analysis of Hub1 Overexpression: Driving Transcriptional Reprogramming and Alternative Splicing in </w:t>
      </w:r>
      <w:r w:rsidRPr="008F7016">
        <w:rPr>
          <w:rFonts w:ascii="Times New Roman" w:eastAsia="Times New Roman" w:hAnsi="Times New Roman" w:cs="Times New Roman"/>
          <w:i/>
          <w:iCs/>
          <w:sz w:val="24"/>
          <w:szCs w:val="24"/>
        </w:rPr>
        <w:t>Saccharomyces cerevisiae</w:t>
      </w:r>
    </w:p>
    <w:p w14:paraId="2CE9DA76" w14:textId="77777777" w:rsidR="008F7016" w:rsidRPr="008F7016" w:rsidRDefault="008F7016" w:rsidP="008F7016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Figures</w:t>
      </w:r>
    </w:p>
    <w:p w14:paraId="226EBE1E" w14:textId="2C3F405A" w:rsidR="008F7016" w:rsidRPr="008F7016" w:rsidRDefault="008F7016" w:rsidP="008F701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Figure S1. Principal Component Analysis of Hub1 overexpression samples</w:t>
      </w:r>
    </w:p>
    <w:p w14:paraId="08722D3E" w14:textId="11949A22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17192863" wp14:editId="68C46E8F">
            <wp:simplePos x="0" y="0"/>
            <wp:positionH relativeFrom="margin">
              <wp:align>center</wp:align>
            </wp:positionH>
            <wp:positionV relativeFrom="paragraph">
              <wp:posOffset>153366</wp:posOffset>
            </wp:positionV>
            <wp:extent cx="4086326" cy="2979973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182"/>
                    <a:stretch/>
                  </pic:blipFill>
                  <pic:spPr bwMode="auto">
                    <a:xfrm>
                      <a:off x="0" y="0"/>
                      <a:ext cx="4086326" cy="297997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47E75A" w14:textId="4B836EDE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C410834" w14:textId="35E4664B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63515F4" w14:textId="0D97E8CB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7CA5B3C" w14:textId="491ADC12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6797F20" w14:textId="1E0EA746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333E832" w14:textId="77777777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7DE32AE" w14:textId="77777777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E225159" w14:textId="77777777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C8FA6A" w14:textId="77777777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E2B9804" w14:textId="20ADB8C3" w:rsidR="008F7016" w:rsidRP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Fig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S1.</w:t>
      </w:r>
      <w:r w:rsidRPr="008F7016">
        <w:rPr>
          <w:rFonts w:ascii="Times New Roman" w:eastAsia="Times New Roman" w:hAnsi="Times New Roman" w:cs="Times New Roman"/>
          <w:sz w:val="24"/>
          <w:szCs w:val="24"/>
        </w:rPr>
        <w:t xml:space="preserve"> PCA plot of control vs. Hub1-OE RNA-seq samples. Principal component analysis was performed on variance-stabilized transformed (VST) gene expression data. The first principal component (PC1) explains 98% of the total variance and clearly separates Hub1-overexpressing samples from controls, while PC2 accounts for 1% of the variance. Biological replicates within each group cluster tightly, demonstrating high experimental reproducibility and minimal technical variability.</w:t>
      </w:r>
    </w:p>
    <w:p w14:paraId="39738A5D" w14:textId="2912D999" w:rsidR="008F7016" w:rsidRPr="008F7016" w:rsidRDefault="008F7016" w:rsidP="008F7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6400A471" w14:textId="77777777" w:rsidR="008F7016" w:rsidRDefault="008F7016" w:rsidP="008F701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AF7A07B" w14:textId="77777777" w:rsidR="008F7016" w:rsidRDefault="008F7016" w:rsidP="008F701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99D98A1" w14:textId="77777777" w:rsidR="008F7016" w:rsidRDefault="008F7016" w:rsidP="008F701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C829848" w14:textId="77777777" w:rsidR="008F7016" w:rsidRDefault="008F7016" w:rsidP="008F701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08FD6C2" w14:textId="400ED108" w:rsidR="008F7016" w:rsidRPr="008F7016" w:rsidRDefault="008F7016" w:rsidP="008F701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Supplementary Figure S2. Differential Exon Usage Analysis</w:t>
      </w:r>
    </w:p>
    <w:p w14:paraId="5AF30957" w14:textId="2A74B5E1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37B99EB" wp14:editId="12F2DE69">
            <wp:simplePos x="0" y="0"/>
            <wp:positionH relativeFrom="margin">
              <wp:posOffset>1057523</wp:posOffset>
            </wp:positionH>
            <wp:positionV relativeFrom="paragraph">
              <wp:posOffset>321697</wp:posOffset>
            </wp:positionV>
            <wp:extent cx="3792772" cy="2687286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30"/>
                    <a:stretch/>
                  </pic:blipFill>
                  <pic:spPr bwMode="auto">
                    <a:xfrm>
                      <a:off x="0" y="0"/>
                      <a:ext cx="3792772" cy="268728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A</w:t>
      </w:r>
    </w:p>
    <w:p w14:paraId="5AE7957A" w14:textId="219277EF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651DFA" w14:textId="1C53FA74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5FAE986" w14:textId="10596754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C0A59B0" w14:textId="295FE947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EF346E" w14:textId="0BAAAC12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4E7B19BA" w14:textId="7D34EE0A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C25DC0F" w14:textId="017467AC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BCF17D1" w14:textId="0326136F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3BE3D6AC" w14:textId="08911D86" w:rsidR="008F7016" w:rsidRDefault="00B8300B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60288" behindDoc="0" locked="0" layoutInCell="1" allowOverlap="1" wp14:anchorId="6CAFA0E5" wp14:editId="4262D7E3">
            <wp:simplePos x="0" y="0"/>
            <wp:positionH relativeFrom="margin">
              <wp:posOffset>731520</wp:posOffset>
            </wp:positionH>
            <wp:positionV relativeFrom="paragraph">
              <wp:posOffset>341685</wp:posOffset>
            </wp:positionV>
            <wp:extent cx="4356735" cy="2713658"/>
            <wp:effectExtent l="0" t="0" r="571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70"/>
                    <a:stretch/>
                  </pic:blipFill>
                  <pic:spPr bwMode="auto">
                    <a:xfrm>
                      <a:off x="0" y="0"/>
                      <a:ext cx="4357315" cy="27140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</w:t>
      </w:r>
    </w:p>
    <w:p w14:paraId="1A748B4D" w14:textId="6A4CFF30" w:rsid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008BA3C7" w14:textId="0816C46A" w:rsidR="00B8300B" w:rsidRDefault="00B8300B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C79D60C" w14:textId="191570E7" w:rsidR="00B8300B" w:rsidRDefault="00B8300B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66990464" w14:textId="174A4C31" w:rsidR="00B8300B" w:rsidRDefault="00B8300B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859C1CE" w14:textId="466CB2AF" w:rsidR="00B8300B" w:rsidRDefault="00B8300B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530FBBEA" w14:textId="1DA8DFC5" w:rsidR="00B8300B" w:rsidRDefault="00B8300B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729D4149" w14:textId="15DE7A9E" w:rsidR="00B8300B" w:rsidRDefault="00B8300B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1312C4DC" w14:textId="77777777" w:rsidR="00B8300B" w:rsidRDefault="00B8300B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14:paraId="22BAEC4A" w14:textId="0AE19EB2" w:rsidR="008F7016" w:rsidRPr="008F7016" w:rsidRDefault="008F7016" w:rsidP="0014378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Fig</w:t>
      </w:r>
      <w:r w:rsidR="00B8300B">
        <w:rPr>
          <w:rFonts w:ascii="Times New Roman" w:eastAsia="Times New Roman" w:hAnsi="Times New Roman" w:cs="Times New Roman"/>
          <w:b/>
          <w:bCs/>
          <w:sz w:val="24"/>
          <w:szCs w:val="24"/>
        </w:rPr>
        <w:t>.</w:t>
      </w: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S2. Differential Exon Usage Analysis in Hub1-OE vs. Control Yeast Cells</w:t>
      </w:r>
      <w:r w:rsidRPr="008F701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t>(A)</w:t>
      </w:r>
      <w:r w:rsidRPr="008F7016">
        <w:rPr>
          <w:rFonts w:ascii="Times New Roman" w:eastAsia="Times New Roman" w:hAnsi="Times New Roman" w:cs="Times New Roman"/>
          <w:sz w:val="24"/>
          <w:szCs w:val="24"/>
        </w:rPr>
        <w:t xml:space="preserve"> MA plot of differential exon usage generated using </w:t>
      </w:r>
      <w:proofErr w:type="spellStart"/>
      <w:r w:rsidRPr="008F7016">
        <w:rPr>
          <w:rFonts w:ascii="Times New Roman" w:eastAsia="Times New Roman" w:hAnsi="Times New Roman" w:cs="Times New Roman"/>
          <w:sz w:val="24"/>
          <w:szCs w:val="24"/>
        </w:rPr>
        <w:t>DEXSeq</w:t>
      </w:r>
      <w:proofErr w:type="spellEnd"/>
      <w:r w:rsidRPr="008F7016">
        <w:rPr>
          <w:rFonts w:ascii="Times New Roman" w:eastAsia="Times New Roman" w:hAnsi="Times New Roman" w:cs="Times New Roman"/>
          <w:sz w:val="24"/>
          <w:szCs w:val="24"/>
        </w:rPr>
        <w:t>. Each dot represents an exon, plotted by log2 fold change (Hub1-OE vs. Control) on the y-axis and base mean expression on the x-axis (log10 scale). Red: significantly upregulated (</w:t>
      </w:r>
      <w:proofErr w:type="spellStart"/>
      <w:r w:rsidRPr="008F7016">
        <w:rPr>
          <w:rFonts w:ascii="Times New Roman" w:eastAsia="Times New Roman" w:hAnsi="Times New Roman" w:cs="Times New Roman"/>
          <w:sz w:val="24"/>
          <w:szCs w:val="24"/>
        </w:rPr>
        <w:t>padj</w:t>
      </w:r>
      <w:proofErr w:type="spellEnd"/>
      <w:r w:rsidRPr="008F7016">
        <w:rPr>
          <w:rFonts w:ascii="Times New Roman" w:eastAsia="Times New Roman" w:hAnsi="Times New Roman" w:cs="Times New Roman"/>
          <w:sz w:val="24"/>
          <w:szCs w:val="24"/>
        </w:rPr>
        <w:t xml:space="preserve"> &lt; 0.05); blue: downregulated; gray: non-significant. A total of 27 exons were significantly downregulated and 21 exons upregulated. </w:t>
      </w: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t>(B)</w:t>
      </w:r>
      <w:r w:rsidRPr="008F7016">
        <w:rPr>
          <w:rFonts w:ascii="Times New Roman" w:eastAsia="Times New Roman" w:hAnsi="Times New Roman" w:cs="Times New Roman"/>
          <w:sz w:val="24"/>
          <w:szCs w:val="24"/>
        </w:rPr>
        <w:t xml:space="preserve"> Heatmap of top differentially used exons (</w:t>
      </w:r>
      <w:proofErr w:type="spellStart"/>
      <w:r w:rsidRPr="008F7016">
        <w:rPr>
          <w:rFonts w:ascii="Times New Roman" w:eastAsia="Times New Roman" w:hAnsi="Times New Roman" w:cs="Times New Roman"/>
          <w:sz w:val="24"/>
          <w:szCs w:val="24"/>
        </w:rPr>
        <w:t>padj</w:t>
      </w:r>
      <w:proofErr w:type="spellEnd"/>
      <w:r w:rsidRPr="008F7016">
        <w:rPr>
          <w:rFonts w:ascii="Times New Roman" w:eastAsia="Times New Roman" w:hAnsi="Times New Roman" w:cs="Times New Roman"/>
          <w:sz w:val="24"/>
          <w:szCs w:val="24"/>
        </w:rPr>
        <w:t xml:space="preserve"> &lt; 0.05). Rows represent individual exons and columns represent biological replicates. Values are log2-transformed normalized exon </w:t>
      </w:r>
      <w:r w:rsidRPr="008F7016">
        <w:rPr>
          <w:rFonts w:ascii="Times New Roman" w:eastAsia="Times New Roman" w:hAnsi="Times New Roman" w:cs="Times New Roman"/>
          <w:sz w:val="24"/>
          <w:szCs w:val="24"/>
        </w:rPr>
        <w:lastRenderedPageBreak/>
        <w:t>counts, scaled per row. Color indicates relative expression (red = high; blue = low). Dendrogram shows clustering by condition.</w:t>
      </w:r>
    </w:p>
    <w:p w14:paraId="7807860E" w14:textId="77777777" w:rsidR="008F7016" w:rsidRPr="008F7016" w:rsidRDefault="008F7016" w:rsidP="008F7016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Tables</w:t>
      </w:r>
    </w:p>
    <w:p w14:paraId="53AEC99C" w14:textId="77777777" w:rsidR="008F7016" w:rsidRPr="008F7016" w:rsidRDefault="008F7016" w:rsidP="008F7016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 S1. Splice Site Motif Scores for Hub1-Regulated Exons</w:t>
      </w:r>
    </w:p>
    <w:tbl>
      <w:tblPr>
        <w:tblW w:w="0" w:type="auto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55"/>
        <w:gridCol w:w="1120"/>
        <w:gridCol w:w="3887"/>
        <w:gridCol w:w="1549"/>
      </w:tblGrid>
      <w:tr w:rsidR="008F7016" w:rsidRPr="008F7016" w14:paraId="1D016923" w14:textId="77777777" w:rsidTr="00143784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3794FB1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Exon ID</w:t>
            </w:r>
          </w:p>
        </w:tc>
        <w:tc>
          <w:tcPr>
            <w:tcW w:w="0" w:type="auto"/>
            <w:vAlign w:val="center"/>
            <w:hideMark/>
          </w:tcPr>
          <w:p w14:paraId="0FF33A55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Splice Site</w:t>
            </w:r>
          </w:p>
        </w:tc>
        <w:tc>
          <w:tcPr>
            <w:tcW w:w="0" w:type="auto"/>
            <w:vAlign w:val="center"/>
            <w:hideMark/>
          </w:tcPr>
          <w:p w14:paraId="01117A44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Sequence</w:t>
            </w:r>
          </w:p>
        </w:tc>
        <w:tc>
          <w:tcPr>
            <w:tcW w:w="0" w:type="auto"/>
            <w:vAlign w:val="center"/>
            <w:hideMark/>
          </w:tcPr>
          <w:p w14:paraId="168C3CB3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8F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MaxEnt</w:t>
            </w:r>
            <w:proofErr w:type="spellEnd"/>
            <w:r w:rsidRPr="008F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Score</w:t>
            </w:r>
          </w:p>
        </w:tc>
      </w:tr>
      <w:tr w:rsidR="008F7016" w:rsidRPr="008F7016" w14:paraId="1E115857" w14:textId="77777777" w:rsidTr="00143784">
        <w:trPr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5A2B14FB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DYN2_exon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41D0B84A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5′ donor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7F3ABB9B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GGTGTAAGT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</w:tcBorders>
            <w:vAlign w:val="center"/>
            <w:hideMark/>
          </w:tcPr>
          <w:p w14:paraId="0B3C2984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−18.32</w:t>
            </w:r>
          </w:p>
        </w:tc>
      </w:tr>
      <w:tr w:rsidR="008F7016" w:rsidRPr="008F7016" w14:paraId="63E2C8F1" w14:textId="77777777" w:rsidTr="001437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76BB9A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DYN2_exon</w:t>
            </w:r>
          </w:p>
        </w:tc>
        <w:tc>
          <w:tcPr>
            <w:tcW w:w="0" w:type="auto"/>
            <w:vAlign w:val="center"/>
            <w:hideMark/>
          </w:tcPr>
          <w:p w14:paraId="5807CD0C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3′ acceptor</w:t>
            </w:r>
          </w:p>
        </w:tc>
        <w:tc>
          <w:tcPr>
            <w:tcW w:w="0" w:type="auto"/>
            <w:vAlign w:val="center"/>
            <w:hideMark/>
          </w:tcPr>
          <w:p w14:paraId="3E5237DA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TTGTGTGTAAGTCACCAATTTTC</w:t>
            </w:r>
          </w:p>
        </w:tc>
        <w:tc>
          <w:tcPr>
            <w:tcW w:w="0" w:type="auto"/>
            <w:vAlign w:val="center"/>
            <w:hideMark/>
          </w:tcPr>
          <w:p w14:paraId="73356EA6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−5.52</w:t>
            </w:r>
          </w:p>
        </w:tc>
      </w:tr>
      <w:tr w:rsidR="008F7016" w:rsidRPr="008F7016" w14:paraId="17346408" w14:textId="77777777" w:rsidTr="001437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E43C276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YDL246C_E1</w:t>
            </w:r>
          </w:p>
        </w:tc>
        <w:tc>
          <w:tcPr>
            <w:tcW w:w="0" w:type="auto"/>
            <w:vAlign w:val="center"/>
            <w:hideMark/>
          </w:tcPr>
          <w:p w14:paraId="5887D479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5′ donor</w:t>
            </w:r>
          </w:p>
        </w:tc>
        <w:tc>
          <w:tcPr>
            <w:tcW w:w="0" w:type="auto"/>
            <w:vAlign w:val="center"/>
            <w:hideMark/>
          </w:tcPr>
          <w:p w14:paraId="6DEF1B38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TGAATGAAA</w:t>
            </w:r>
          </w:p>
        </w:tc>
        <w:tc>
          <w:tcPr>
            <w:tcW w:w="0" w:type="auto"/>
            <w:vAlign w:val="center"/>
            <w:hideMark/>
          </w:tcPr>
          <w:p w14:paraId="08F41774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−17.90</w:t>
            </w:r>
          </w:p>
        </w:tc>
      </w:tr>
      <w:tr w:rsidR="008F7016" w:rsidRPr="008F7016" w14:paraId="01E46E01" w14:textId="77777777" w:rsidTr="001437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EE44CC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YDL243C_E1</w:t>
            </w:r>
          </w:p>
        </w:tc>
        <w:tc>
          <w:tcPr>
            <w:tcW w:w="0" w:type="auto"/>
            <w:vAlign w:val="center"/>
            <w:hideMark/>
          </w:tcPr>
          <w:p w14:paraId="02D2214D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5′ donor</w:t>
            </w:r>
          </w:p>
        </w:tc>
        <w:tc>
          <w:tcPr>
            <w:tcW w:w="0" w:type="auto"/>
            <w:vAlign w:val="center"/>
            <w:hideMark/>
          </w:tcPr>
          <w:p w14:paraId="52543C9F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CGATTAATC</w:t>
            </w:r>
          </w:p>
        </w:tc>
        <w:tc>
          <w:tcPr>
            <w:tcW w:w="0" w:type="auto"/>
            <w:vAlign w:val="center"/>
            <w:hideMark/>
          </w:tcPr>
          <w:p w14:paraId="04A67BB4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−10.06</w:t>
            </w:r>
          </w:p>
        </w:tc>
      </w:tr>
      <w:tr w:rsidR="008F7016" w:rsidRPr="008F7016" w14:paraId="4F3C4552" w14:textId="77777777" w:rsidTr="001437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35CC606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YDR387C_E1</w:t>
            </w:r>
          </w:p>
        </w:tc>
        <w:tc>
          <w:tcPr>
            <w:tcW w:w="0" w:type="auto"/>
            <w:vAlign w:val="center"/>
            <w:hideMark/>
          </w:tcPr>
          <w:p w14:paraId="0925ADBA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5′ donor</w:t>
            </w:r>
          </w:p>
        </w:tc>
        <w:tc>
          <w:tcPr>
            <w:tcW w:w="0" w:type="auto"/>
            <w:vAlign w:val="center"/>
            <w:hideMark/>
          </w:tcPr>
          <w:p w14:paraId="05865F03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CCATTGATG</w:t>
            </w:r>
          </w:p>
        </w:tc>
        <w:tc>
          <w:tcPr>
            <w:tcW w:w="0" w:type="auto"/>
            <w:vAlign w:val="center"/>
            <w:hideMark/>
          </w:tcPr>
          <w:p w14:paraId="0EF7B08A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−14.73</w:t>
            </w:r>
          </w:p>
        </w:tc>
      </w:tr>
      <w:tr w:rsidR="008F7016" w:rsidRPr="008F7016" w14:paraId="36A735D9" w14:textId="77777777" w:rsidTr="001437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3C348D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YDL094C_E1</w:t>
            </w:r>
          </w:p>
        </w:tc>
        <w:tc>
          <w:tcPr>
            <w:tcW w:w="0" w:type="auto"/>
            <w:vAlign w:val="center"/>
            <w:hideMark/>
          </w:tcPr>
          <w:p w14:paraId="5EB8F64A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5′ donor</w:t>
            </w:r>
          </w:p>
        </w:tc>
        <w:tc>
          <w:tcPr>
            <w:tcW w:w="0" w:type="auto"/>
            <w:vAlign w:val="center"/>
            <w:hideMark/>
          </w:tcPr>
          <w:p w14:paraId="78CD5264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TTTTTAATT</w:t>
            </w:r>
          </w:p>
        </w:tc>
        <w:tc>
          <w:tcPr>
            <w:tcW w:w="0" w:type="auto"/>
            <w:vAlign w:val="center"/>
            <w:hideMark/>
          </w:tcPr>
          <w:p w14:paraId="77DEBA8A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−10.80</w:t>
            </w:r>
          </w:p>
        </w:tc>
      </w:tr>
      <w:tr w:rsidR="008F7016" w:rsidRPr="008F7016" w14:paraId="4899ED17" w14:textId="77777777" w:rsidTr="001437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C98718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YDR438W_E1</w:t>
            </w:r>
          </w:p>
        </w:tc>
        <w:tc>
          <w:tcPr>
            <w:tcW w:w="0" w:type="auto"/>
            <w:vAlign w:val="center"/>
            <w:hideMark/>
          </w:tcPr>
          <w:p w14:paraId="19508594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5′ donor</w:t>
            </w:r>
          </w:p>
        </w:tc>
        <w:tc>
          <w:tcPr>
            <w:tcW w:w="0" w:type="auto"/>
            <w:vAlign w:val="center"/>
            <w:hideMark/>
          </w:tcPr>
          <w:p w14:paraId="41213AC9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GAATGAATC</w:t>
            </w:r>
          </w:p>
        </w:tc>
        <w:tc>
          <w:tcPr>
            <w:tcW w:w="0" w:type="auto"/>
            <w:vAlign w:val="center"/>
            <w:hideMark/>
          </w:tcPr>
          <w:p w14:paraId="32D8F774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−15.91</w:t>
            </w:r>
          </w:p>
        </w:tc>
      </w:tr>
      <w:tr w:rsidR="008F7016" w:rsidRPr="008F7016" w14:paraId="6A256FB9" w14:textId="77777777" w:rsidTr="001437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4295DED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YDL246C_E1</w:t>
            </w:r>
          </w:p>
        </w:tc>
        <w:tc>
          <w:tcPr>
            <w:tcW w:w="0" w:type="auto"/>
            <w:vAlign w:val="center"/>
            <w:hideMark/>
          </w:tcPr>
          <w:p w14:paraId="52052D61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3′ acceptor</w:t>
            </w:r>
          </w:p>
        </w:tc>
        <w:tc>
          <w:tcPr>
            <w:tcW w:w="0" w:type="auto"/>
            <w:vAlign w:val="center"/>
            <w:hideMark/>
          </w:tcPr>
          <w:p w14:paraId="2BAACBBD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AATATGTCTCAAAATAGTAACCC</w:t>
            </w:r>
          </w:p>
        </w:tc>
        <w:tc>
          <w:tcPr>
            <w:tcW w:w="0" w:type="auto"/>
            <w:vAlign w:val="center"/>
            <w:hideMark/>
          </w:tcPr>
          <w:p w14:paraId="5256E1E8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−9.07</w:t>
            </w:r>
          </w:p>
        </w:tc>
      </w:tr>
      <w:tr w:rsidR="008F7016" w:rsidRPr="008F7016" w14:paraId="24C7F3FA" w14:textId="77777777" w:rsidTr="001437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93C025F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YDL243C_E1</w:t>
            </w:r>
          </w:p>
        </w:tc>
        <w:tc>
          <w:tcPr>
            <w:tcW w:w="0" w:type="auto"/>
            <w:vAlign w:val="center"/>
            <w:hideMark/>
          </w:tcPr>
          <w:p w14:paraId="4E33BB25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3′ acceptor</w:t>
            </w:r>
          </w:p>
        </w:tc>
        <w:tc>
          <w:tcPr>
            <w:tcW w:w="0" w:type="auto"/>
            <w:vAlign w:val="center"/>
            <w:hideMark/>
          </w:tcPr>
          <w:p w14:paraId="319F62F8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TTTATGGGCTCTATGAATAAGGA</w:t>
            </w:r>
          </w:p>
        </w:tc>
        <w:tc>
          <w:tcPr>
            <w:tcW w:w="0" w:type="auto"/>
            <w:vAlign w:val="center"/>
            <w:hideMark/>
          </w:tcPr>
          <w:p w14:paraId="4AA4867B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−3.17</w:t>
            </w:r>
          </w:p>
        </w:tc>
      </w:tr>
      <w:tr w:rsidR="008F7016" w:rsidRPr="008F7016" w14:paraId="3B04B43E" w14:textId="77777777" w:rsidTr="001437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E788C0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YDR387C_E1</w:t>
            </w:r>
          </w:p>
        </w:tc>
        <w:tc>
          <w:tcPr>
            <w:tcW w:w="0" w:type="auto"/>
            <w:vAlign w:val="center"/>
            <w:hideMark/>
          </w:tcPr>
          <w:p w14:paraId="3E75F9CD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3′ acceptor</w:t>
            </w:r>
          </w:p>
        </w:tc>
        <w:tc>
          <w:tcPr>
            <w:tcW w:w="0" w:type="auto"/>
            <w:vAlign w:val="center"/>
            <w:hideMark/>
          </w:tcPr>
          <w:p w14:paraId="4EFD1553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GGTATGTCTACAGATGAAAGTGA</w:t>
            </w:r>
          </w:p>
        </w:tc>
        <w:tc>
          <w:tcPr>
            <w:tcW w:w="0" w:type="auto"/>
            <w:vAlign w:val="center"/>
            <w:hideMark/>
          </w:tcPr>
          <w:p w14:paraId="5E27E18D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−12.01</w:t>
            </w:r>
          </w:p>
        </w:tc>
      </w:tr>
      <w:tr w:rsidR="008F7016" w:rsidRPr="008F7016" w14:paraId="3666C797" w14:textId="77777777" w:rsidTr="001437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E837615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YDL094C_E1</w:t>
            </w:r>
          </w:p>
        </w:tc>
        <w:tc>
          <w:tcPr>
            <w:tcW w:w="0" w:type="auto"/>
            <w:vAlign w:val="center"/>
            <w:hideMark/>
          </w:tcPr>
          <w:p w14:paraId="5455C903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3′ acceptor</w:t>
            </w:r>
          </w:p>
        </w:tc>
        <w:tc>
          <w:tcPr>
            <w:tcW w:w="0" w:type="auto"/>
            <w:vAlign w:val="center"/>
            <w:hideMark/>
          </w:tcPr>
          <w:p w14:paraId="7A0D5991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ACGATGGCAGTAAATATCAGCAA</w:t>
            </w:r>
          </w:p>
        </w:tc>
        <w:tc>
          <w:tcPr>
            <w:tcW w:w="0" w:type="auto"/>
            <w:vAlign w:val="center"/>
            <w:hideMark/>
          </w:tcPr>
          <w:p w14:paraId="6D321BF0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−6.42</w:t>
            </w:r>
          </w:p>
        </w:tc>
      </w:tr>
      <w:tr w:rsidR="008F7016" w:rsidRPr="008F7016" w14:paraId="7D301574" w14:textId="77777777" w:rsidTr="00143784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003BA02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YDR438W_E1</w:t>
            </w:r>
          </w:p>
        </w:tc>
        <w:tc>
          <w:tcPr>
            <w:tcW w:w="0" w:type="auto"/>
            <w:vAlign w:val="center"/>
            <w:hideMark/>
          </w:tcPr>
          <w:p w14:paraId="4A03A383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3′ acceptor</w:t>
            </w:r>
          </w:p>
        </w:tc>
        <w:tc>
          <w:tcPr>
            <w:tcW w:w="0" w:type="auto"/>
            <w:vAlign w:val="center"/>
            <w:hideMark/>
          </w:tcPr>
          <w:p w14:paraId="08A4A8B1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GACCTATCTTGGATGCCTAACGT</w:t>
            </w:r>
          </w:p>
        </w:tc>
        <w:tc>
          <w:tcPr>
            <w:tcW w:w="0" w:type="auto"/>
            <w:vAlign w:val="center"/>
            <w:hideMark/>
          </w:tcPr>
          <w:p w14:paraId="2FE84872" w14:textId="77777777" w:rsidR="008F7016" w:rsidRPr="008F7016" w:rsidRDefault="008F7016" w:rsidP="008F701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F7016">
              <w:rPr>
                <w:rFonts w:ascii="Times New Roman" w:eastAsia="Times New Roman" w:hAnsi="Times New Roman" w:cs="Times New Roman"/>
                <w:sz w:val="24"/>
                <w:szCs w:val="24"/>
              </w:rPr>
              <w:t>−6.73</w:t>
            </w:r>
          </w:p>
        </w:tc>
      </w:tr>
    </w:tbl>
    <w:p w14:paraId="38B3ED64" w14:textId="77777777" w:rsidR="008F7016" w:rsidRPr="008F7016" w:rsidRDefault="008F7016" w:rsidP="008F7016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F7016">
        <w:rPr>
          <w:rFonts w:ascii="Times New Roman" w:eastAsia="Times New Roman" w:hAnsi="Times New Roman" w:cs="Times New Roman"/>
          <w:b/>
          <w:bCs/>
          <w:sz w:val="24"/>
          <w:szCs w:val="24"/>
        </w:rPr>
        <w:t>Supplementary Table S1.</w:t>
      </w:r>
      <w:r w:rsidRPr="008F7016">
        <w:rPr>
          <w:rFonts w:ascii="Times New Roman" w:eastAsia="Times New Roman" w:hAnsi="Times New Roman" w:cs="Times New Roman"/>
          <w:sz w:val="24"/>
          <w:szCs w:val="24"/>
        </w:rPr>
        <w:t xml:space="preserve"> Splice site motif sequences and </w:t>
      </w:r>
      <w:proofErr w:type="spellStart"/>
      <w:r w:rsidRPr="008F7016">
        <w:rPr>
          <w:rFonts w:ascii="Times New Roman" w:eastAsia="Times New Roman" w:hAnsi="Times New Roman" w:cs="Times New Roman"/>
          <w:sz w:val="24"/>
          <w:szCs w:val="24"/>
        </w:rPr>
        <w:t>MaxEntScan</w:t>
      </w:r>
      <w:proofErr w:type="spellEnd"/>
      <w:r w:rsidRPr="008F7016">
        <w:rPr>
          <w:rFonts w:ascii="Times New Roman" w:eastAsia="Times New Roman" w:hAnsi="Times New Roman" w:cs="Times New Roman"/>
          <w:sz w:val="24"/>
          <w:szCs w:val="24"/>
        </w:rPr>
        <w:t xml:space="preserve"> scores for Hub1-regulated exons. Splice site sequences (9 bp for 5′ donor, 23 bp for 3′ acceptor) were extracted from the </w:t>
      </w:r>
      <w:r w:rsidRPr="008F7016">
        <w:rPr>
          <w:rFonts w:ascii="Times New Roman" w:eastAsia="Times New Roman" w:hAnsi="Times New Roman" w:cs="Times New Roman"/>
          <w:i/>
          <w:iCs/>
          <w:sz w:val="24"/>
          <w:szCs w:val="24"/>
        </w:rPr>
        <w:t>Saccharomyces cerevisiae</w:t>
      </w:r>
      <w:r w:rsidRPr="008F7016">
        <w:rPr>
          <w:rFonts w:ascii="Times New Roman" w:eastAsia="Times New Roman" w:hAnsi="Times New Roman" w:cs="Times New Roman"/>
          <w:sz w:val="24"/>
          <w:szCs w:val="24"/>
        </w:rPr>
        <w:t xml:space="preserve"> genome and evaluated using </w:t>
      </w:r>
      <w:proofErr w:type="spellStart"/>
      <w:r w:rsidRPr="008F7016">
        <w:rPr>
          <w:rFonts w:ascii="Times New Roman" w:eastAsia="Times New Roman" w:hAnsi="Times New Roman" w:cs="Times New Roman"/>
          <w:sz w:val="24"/>
          <w:szCs w:val="24"/>
        </w:rPr>
        <w:t>MaxEntScan</w:t>
      </w:r>
      <w:proofErr w:type="spellEnd"/>
      <w:r w:rsidRPr="008F7016">
        <w:rPr>
          <w:rFonts w:ascii="Times New Roman" w:eastAsia="Times New Roman" w:hAnsi="Times New Roman" w:cs="Times New Roman"/>
          <w:sz w:val="24"/>
          <w:szCs w:val="24"/>
        </w:rPr>
        <w:t xml:space="preserve"> scoring models. Lower scores indicate weaker splice sites. The DYN2 exon shows significantly weak 5′ donor site (score = −18.32, p = 0.03 compared to canonical sites) and moderately weak 3′ acceptor site (score = −5.52), consistent with Hub1's role in facilitating recognition of non-consensus splice sites.</w:t>
      </w:r>
    </w:p>
    <w:p w14:paraId="69A6DEAE" w14:textId="3DC867BC" w:rsidR="008F7016" w:rsidRPr="008F7016" w:rsidRDefault="008F7016" w:rsidP="008F701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513D378" w14:textId="77777777" w:rsidR="00F269C1" w:rsidRPr="008F7016" w:rsidRDefault="00F269C1" w:rsidP="008F701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F269C1" w:rsidRPr="008F70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7016"/>
    <w:rsid w:val="00143784"/>
    <w:rsid w:val="008F7016"/>
    <w:rsid w:val="00B8300B"/>
    <w:rsid w:val="00F26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0CAB8F"/>
  <w15:chartTrackingRefBased/>
  <w15:docId w15:val="{B3F8B399-F41A-435B-87C3-EE70731BA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55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431</Words>
  <Characters>2459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Billah, NMAsif</dc:creator>
  <cp:keywords/>
  <dc:description/>
  <cp:lastModifiedBy>Billah, NMAsif</cp:lastModifiedBy>
  <cp:revision>1</cp:revision>
  <dcterms:created xsi:type="dcterms:W3CDTF">2025-07-24T01:51:00Z</dcterms:created>
  <dcterms:modified xsi:type="dcterms:W3CDTF">2025-07-24T02:04:00Z</dcterms:modified>
</cp:coreProperties>
</file>