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A1828" w14:textId="3F69C69E" w:rsidR="00782E65" w:rsidRDefault="00782E65" w:rsidP="00782E65">
      <w:pPr>
        <w:spacing w:line="480" w:lineRule="auto"/>
        <w:rPr>
          <w:rFonts w:ascii="Times New Roman" w:hAnsi="Times New Roman" w:cs="Times New Roman"/>
        </w:rPr>
      </w:pPr>
      <w:r w:rsidRPr="00A21A1F">
        <w:rPr>
          <w:rFonts w:ascii="Times New Roman" w:hAnsi="Times New Roman" w:cs="Times New Roman"/>
          <w:b/>
          <w:bCs/>
          <w:u w:val="single"/>
        </w:rPr>
        <w:t xml:space="preserve">Supplementary </w:t>
      </w:r>
      <w:r>
        <w:rPr>
          <w:rFonts w:ascii="Times New Roman" w:hAnsi="Times New Roman" w:cs="Times New Roman"/>
          <w:b/>
          <w:bCs/>
          <w:u w:val="single"/>
        </w:rPr>
        <w:t>T</w:t>
      </w:r>
      <w:r w:rsidRPr="00A21A1F">
        <w:rPr>
          <w:rFonts w:ascii="Times New Roman" w:hAnsi="Times New Roman" w:cs="Times New Roman"/>
          <w:b/>
          <w:bCs/>
          <w:u w:val="single"/>
        </w:rPr>
        <w:t>able 1</w:t>
      </w:r>
      <w:r w:rsidRPr="00A21A1F">
        <w:rPr>
          <w:rFonts w:ascii="Times New Roman" w:hAnsi="Times New Roman" w:cs="Times New Roman"/>
          <w:u w:val="single"/>
        </w:rPr>
        <w:t>:</w:t>
      </w:r>
      <w:r w:rsidRPr="00364392">
        <w:rPr>
          <w:rFonts w:ascii="Times New Roman" w:hAnsi="Times New Roman" w:cs="Times New Roman"/>
        </w:rPr>
        <w:t xml:space="preserve"> </w:t>
      </w:r>
      <w:r w:rsidRPr="002C61F0">
        <w:rPr>
          <w:rFonts w:ascii="Times New Roman" w:hAnsi="Times New Roman" w:cs="Times New Roman"/>
          <w:b/>
          <w:bCs/>
        </w:rPr>
        <w:t>DEGs shared between each comparison.</w:t>
      </w:r>
      <w:r>
        <w:rPr>
          <w:rFonts w:ascii="Times New Roman" w:hAnsi="Times New Roman" w:cs="Times New Roman"/>
        </w:rPr>
        <w:t xml:space="preserve"> </w:t>
      </w:r>
      <w:r w:rsidRPr="000668C3">
        <w:rPr>
          <w:rFonts w:ascii="Times New Roman" w:hAnsi="Times New Roman" w:cs="Times New Roman"/>
        </w:rPr>
        <w:t>Genes were identified as up-regulated (</w:t>
      </w:r>
      <w:r w:rsidRPr="000668C3">
        <w:rPr>
          <w:rFonts w:ascii="Times New Roman" w:hAnsi="Times New Roman" w:cs="Times New Roman"/>
        </w:rPr>
        <w:sym w:font="Symbol" w:char="F0AD"/>
      </w:r>
      <w:r w:rsidRPr="000668C3">
        <w:rPr>
          <w:rFonts w:ascii="Times New Roman" w:hAnsi="Times New Roman" w:cs="Times New Roman"/>
        </w:rPr>
        <w:t>), down-regulated (</w:t>
      </w:r>
      <w:r w:rsidRPr="000668C3">
        <w:rPr>
          <w:rFonts w:ascii="Times New Roman" w:hAnsi="Times New Roman" w:cs="Times New Roman"/>
        </w:rPr>
        <w:sym w:font="Symbol" w:char="F0AF"/>
      </w:r>
      <w:r w:rsidRPr="000668C3">
        <w:rPr>
          <w:rFonts w:ascii="Times New Roman" w:hAnsi="Times New Roman" w:cs="Times New Roman"/>
        </w:rPr>
        <w:t>), or not differentially expressed (</w:t>
      </w:r>
      <w:r w:rsidRPr="000668C3">
        <w:rPr>
          <w:rFonts w:ascii="Times New Roman" w:hAnsi="Times New Roman" w:cs="Times New Roman"/>
        </w:rPr>
        <w:sym w:font="Symbol" w:char="F043"/>
      </w:r>
      <w:r w:rsidRPr="000668C3">
        <w:rPr>
          <w:rFonts w:ascii="Times New Roman" w:hAnsi="Times New Roman" w:cs="Times New Roman"/>
        </w:rPr>
        <w:t xml:space="preserve">) in each comparison (FDR &lt; 0.05; FC &gt; 2 [upregulated] or &lt;-2 [downregulated]). </w:t>
      </w:r>
    </w:p>
    <w:p w14:paraId="5E3BB35F" w14:textId="77777777" w:rsidR="00044B27" w:rsidRDefault="00044B27" w:rsidP="00782E65">
      <w:pPr>
        <w:spacing w:line="480" w:lineRule="auto"/>
        <w:rPr>
          <w:rFonts w:ascii="Times New Roman" w:hAnsi="Times New Roman" w:cs="Times New Roman"/>
        </w:rPr>
      </w:pPr>
    </w:p>
    <w:p w14:paraId="57F58439" w14:textId="293B2D0A" w:rsidR="00044B27" w:rsidRDefault="00044B27" w:rsidP="00782E65">
      <w:pPr>
        <w:spacing w:line="480" w:lineRule="auto"/>
        <w:rPr>
          <w:rFonts w:ascii="Times New Roman" w:hAnsi="Times New Roman" w:cs="Times New Roman"/>
        </w:rPr>
      </w:pPr>
      <w:r w:rsidRPr="00044B27">
        <w:rPr>
          <w:rFonts w:ascii="Times New Roman" w:hAnsi="Times New Roman" w:cs="Times New Roman"/>
          <w:b/>
          <w:bCs/>
          <w:u w:val="single"/>
        </w:rPr>
        <w:t>Supplementary Table 2</w:t>
      </w:r>
      <w:r>
        <w:rPr>
          <w:rFonts w:ascii="Times New Roman" w:hAnsi="Times New Roman" w:cs="Times New Roman"/>
        </w:rPr>
        <w:t xml:space="preserve">: FDR and Fold Enrichment Values for GO Biological Process analysis of inversely expressed DEGs. </w:t>
      </w:r>
    </w:p>
    <w:p w14:paraId="457DA08E" w14:textId="77777777" w:rsidR="00782E65" w:rsidRPr="00FF7BEA" w:rsidRDefault="00782E65" w:rsidP="00782E65">
      <w:pPr>
        <w:spacing w:line="480" w:lineRule="auto"/>
        <w:rPr>
          <w:rFonts w:ascii="Times New Roman" w:hAnsi="Times New Roman" w:cs="Times New Roman"/>
        </w:rPr>
      </w:pPr>
    </w:p>
    <w:p w14:paraId="7F854252" w14:textId="50A6752E" w:rsidR="00782E65" w:rsidRDefault="00782E65" w:rsidP="00782E65">
      <w:pPr>
        <w:spacing w:line="480" w:lineRule="auto"/>
        <w:rPr>
          <w:rFonts w:ascii="Times New Roman" w:hAnsi="Times New Roman" w:cs="Times New Roman"/>
        </w:rPr>
      </w:pPr>
      <w:r w:rsidRPr="00A21A1F">
        <w:rPr>
          <w:rFonts w:ascii="Times New Roman" w:hAnsi="Times New Roman" w:cs="Times New Roman"/>
          <w:b/>
          <w:bCs/>
          <w:color w:val="000000" w:themeColor="text1"/>
          <w:kern w:val="24"/>
          <w:u w:val="single"/>
        </w:rPr>
        <w:t xml:space="preserve">Supplementary Table </w:t>
      </w:r>
      <w:r w:rsidR="00044B27">
        <w:rPr>
          <w:rFonts w:ascii="Times New Roman" w:hAnsi="Times New Roman" w:cs="Times New Roman"/>
          <w:b/>
          <w:bCs/>
          <w:color w:val="000000" w:themeColor="text1"/>
          <w:kern w:val="24"/>
          <w:u w:val="single"/>
        </w:rPr>
        <w:t>3</w:t>
      </w:r>
      <w:r w:rsidRPr="00A21A1F">
        <w:rPr>
          <w:rFonts w:ascii="Times New Roman" w:hAnsi="Times New Roman" w:cs="Times New Roman"/>
          <w:b/>
          <w:bCs/>
          <w:color w:val="000000" w:themeColor="text1"/>
          <w:kern w:val="24"/>
          <w:u w:val="single"/>
        </w:rPr>
        <w:t>:</w:t>
      </w:r>
      <w:r w:rsidRPr="00A21A1F">
        <w:rPr>
          <w:rFonts w:ascii="Times New Roman" w:hAnsi="Times New Roman" w:cs="Times New Roman"/>
          <w:color w:val="000000" w:themeColor="text1"/>
          <w:kern w:val="24"/>
        </w:rPr>
        <w:t xml:space="preserve"> </w:t>
      </w:r>
      <w:r w:rsidRPr="002C61F0">
        <w:rPr>
          <w:rFonts w:ascii="Times New Roman" w:hAnsi="Times New Roman" w:cs="Times New Roman"/>
          <w:b/>
          <w:bCs/>
        </w:rPr>
        <w:t>KEGG pathways selected from pathway analysis</w:t>
      </w:r>
      <w:r w:rsidRPr="00A21A1F">
        <w:rPr>
          <w:rFonts w:ascii="Times New Roman" w:hAnsi="Times New Roman" w:cs="Times New Roman"/>
        </w:rPr>
        <w:t xml:space="preserve">. These pathways were selected on the basis of their </w:t>
      </w:r>
      <w:r>
        <w:rPr>
          <w:rFonts w:ascii="Times New Roman" w:hAnsi="Times New Roman" w:cs="Times New Roman"/>
        </w:rPr>
        <w:t>involvement in ECM function and slow-twitch muscle contraction</w:t>
      </w:r>
      <w:r w:rsidRPr="00A21A1F">
        <w:rPr>
          <w:rFonts w:ascii="Times New Roman" w:hAnsi="Times New Roman" w:cs="Times New Roman"/>
        </w:rPr>
        <w:t>. Genes listed are those present in the KEGG pathway</w:t>
      </w:r>
      <w:r>
        <w:rPr>
          <w:rFonts w:ascii="Times New Roman" w:hAnsi="Times New Roman" w:cs="Times New Roman"/>
        </w:rPr>
        <w:t>s in red boxes from Figure 3</w:t>
      </w:r>
      <w:r w:rsidRPr="00A21A1F">
        <w:rPr>
          <w:rFonts w:ascii="Times New Roman" w:hAnsi="Times New Roman" w:cs="Times New Roman"/>
        </w:rPr>
        <w:t>. Genes were identified as up-regulated (</w:t>
      </w:r>
      <w:r w:rsidRPr="00A21A1F">
        <w:rPr>
          <w:rFonts w:ascii="Times New Roman" w:hAnsi="Times New Roman" w:cs="Times New Roman"/>
        </w:rPr>
        <w:sym w:font="Symbol" w:char="F0AD"/>
      </w:r>
      <w:r w:rsidRPr="00A21A1F">
        <w:rPr>
          <w:rFonts w:ascii="Times New Roman" w:hAnsi="Times New Roman" w:cs="Times New Roman"/>
        </w:rPr>
        <w:t>), down-regulated (</w:t>
      </w:r>
      <w:r w:rsidRPr="00A21A1F">
        <w:rPr>
          <w:rFonts w:ascii="Times New Roman" w:hAnsi="Times New Roman" w:cs="Times New Roman"/>
        </w:rPr>
        <w:sym w:font="Symbol" w:char="F0AF"/>
      </w:r>
      <w:r w:rsidRPr="00A21A1F">
        <w:rPr>
          <w:rFonts w:ascii="Times New Roman" w:hAnsi="Times New Roman" w:cs="Times New Roman"/>
        </w:rPr>
        <w:t>), or not differentially expressed (</w:t>
      </w:r>
      <w:r w:rsidRPr="00A21A1F">
        <w:rPr>
          <w:rFonts w:ascii="Times New Roman" w:hAnsi="Times New Roman" w:cs="Times New Roman"/>
        </w:rPr>
        <w:sym w:font="Symbol" w:char="F043"/>
      </w:r>
      <w:r w:rsidRPr="00A21A1F">
        <w:rPr>
          <w:rFonts w:ascii="Times New Roman" w:hAnsi="Times New Roman" w:cs="Times New Roman"/>
        </w:rPr>
        <w:t xml:space="preserve">) in each comparison (FDR &lt; 0.05; FC &gt; 2 [upregulated] or &lt;-2 [downregulated]). </w:t>
      </w:r>
    </w:p>
    <w:p w14:paraId="4EFE3B34" w14:textId="77777777" w:rsidR="004E665E" w:rsidRDefault="004E665E" w:rsidP="004E665E">
      <w:pPr>
        <w:spacing w:line="480" w:lineRule="auto"/>
        <w:rPr>
          <w:rFonts w:ascii="Times New Roman" w:hAnsi="Times New Roman" w:cs="Times New Roman"/>
        </w:rPr>
      </w:pPr>
    </w:p>
    <w:p w14:paraId="418D978D" w14:textId="7C5E76BD" w:rsidR="004E665E" w:rsidRDefault="004E665E" w:rsidP="004E665E">
      <w:pPr>
        <w:spacing w:line="480" w:lineRule="auto"/>
        <w:rPr>
          <w:rFonts w:ascii="Times New Roman" w:hAnsi="Times New Roman" w:cs="Times New Roman"/>
        </w:rPr>
      </w:pPr>
      <w:r w:rsidRPr="004E665E">
        <w:rPr>
          <w:rFonts w:ascii="Times New Roman" w:hAnsi="Times New Roman" w:cs="Times New Roman"/>
          <w:b/>
          <w:bCs/>
          <w:u w:val="single"/>
        </w:rPr>
        <w:t>Supplementary Table 4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FDR and Fold Enrichment Values for </w:t>
      </w:r>
      <w:r>
        <w:rPr>
          <w:rFonts w:ascii="Times New Roman" w:hAnsi="Times New Roman" w:cs="Times New Roman"/>
        </w:rPr>
        <w:t>KEGG Pathway</w:t>
      </w:r>
      <w:r>
        <w:rPr>
          <w:rFonts w:ascii="Times New Roman" w:hAnsi="Times New Roman" w:cs="Times New Roman"/>
        </w:rPr>
        <w:t xml:space="preserve"> analysis of </w:t>
      </w:r>
      <w:r>
        <w:rPr>
          <w:rFonts w:ascii="Times New Roman" w:hAnsi="Times New Roman" w:cs="Times New Roman"/>
        </w:rPr>
        <w:t>YOvYL, ALvYL, AOvYL, AOvAL, and AOvYO comparisons.</w:t>
      </w:r>
    </w:p>
    <w:p w14:paraId="1CEA4C5D" w14:textId="6FFBC62D" w:rsidR="004E665E" w:rsidRPr="00A21A1F" w:rsidRDefault="004E665E" w:rsidP="00782E65">
      <w:pPr>
        <w:spacing w:line="480" w:lineRule="auto"/>
        <w:rPr>
          <w:rFonts w:ascii="Times New Roman" w:hAnsi="Times New Roman" w:cs="Times New Roman"/>
        </w:rPr>
      </w:pPr>
    </w:p>
    <w:p w14:paraId="07EB52F1" w14:textId="1677224A" w:rsidR="003C5FEC" w:rsidRDefault="00000000"/>
    <w:sectPr w:rsidR="003C5F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65"/>
    <w:rsid w:val="00013443"/>
    <w:rsid w:val="00025441"/>
    <w:rsid w:val="00025C23"/>
    <w:rsid w:val="0003384B"/>
    <w:rsid w:val="00044B27"/>
    <w:rsid w:val="00044D05"/>
    <w:rsid w:val="00081888"/>
    <w:rsid w:val="00092F3C"/>
    <w:rsid w:val="000B5313"/>
    <w:rsid w:val="000C1E35"/>
    <w:rsid w:val="000C4548"/>
    <w:rsid w:val="0012780D"/>
    <w:rsid w:val="00136024"/>
    <w:rsid w:val="0016487B"/>
    <w:rsid w:val="001901D5"/>
    <w:rsid w:val="001A3C55"/>
    <w:rsid w:val="0020204C"/>
    <w:rsid w:val="00210400"/>
    <w:rsid w:val="00221DBD"/>
    <w:rsid w:val="00232F8A"/>
    <w:rsid w:val="00237F21"/>
    <w:rsid w:val="00266240"/>
    <w:rsid w:val="002B3F4D"/>
    <w:rsid w:val="00313124"/>
    <w:rsid w:val="00323A89"/>
    <w:rsid w:val="00325D57"/>
    <w:rsid w:val="00352B78"/>
    <w:rsid w:val="00364A94"/>
    <w:rsid w:val="00374A5F"/>
    <w:rsid w:val="003768B5"/>
    <w:rsid w:val="0038310C"/>
    <w:rsid w:val="003A581F"/>
    <w:rsid w:val="003B402C"/>
    <w:rsid w:val="00404214"/>
    <w:rsid w:val="00457C9D"/>
    <w:rsid w:val="00492750"/>
    <w:rsid w:val="004B15ED"/>
    <w:rsid w:val="004B5DF8"/>
    <w:rsid w:val="004C571A"/>
    <w:rsid w:val="004D5DB8"/>
    <w:rsid w:val="004E665E"/>
    <w:rsid w:val="00500F9D"/>
    <w:rsid w:val="00515FB4"/>
    <w:rsid w:val="005435C0"/>
    <w:rsid w:val="00556932"/>
    <w:rsid w:val="0056765F"/>
    <w:rsid w:val="00585FD8"/>
    <w:rsid w:val="005A0110"/>
    <w:rsid w:val="005B0463"/>
    <w:rsid w:val="005E2DA6"/>
    <w:rsid w:val="005F1F8D"/>
    <w:rsid w:val="00631C89"/>
    <w:rsid w:val="006845DB"/>
    <w:rsid w:val="00691BB8"/>
    <w:rsid w:val="00692254"/>
    <w:rsid w:val="006B3068"/>
    <w:rsid w:val="006B51FF"/>
    <w:rsid w:val="006D17B4"/>
    <w:rsid w:val="006D68E4"/>
    <w:rsid w:val="006D78AF"/>
    <w:rsid w:val="006F5D29"/>
    <w:rsid w:val="0070633F"/>
    <w:rsid w:val="00720E57"/>
    <w:rsid w:val="007611C7"/>
    <w:rsid w:val="0077404B"/>
    <w:rsid w:val="00782E65"/>
    <w:rsid w:val="007A36F3"/>
    <w:rsid w:val="007A6C67"/>
    <w:rsid w:val="007B1032"/>
    <w:rsid w:val="007B2D30"/>
    <w:rsid w:val="00800414"/>
    <w:rsid w:val="0082303F"/>
    <w:rsid w:val="00834314"/>
    <w:rsid w:val="0084797A"/>
    <w:rsid w:val="00850113"/>
    <w:rsid w:val="00850FEC"/>
    <w:rsid w:val="00852456"/>
    <w:rsid w:val="0085371C"/>
    <w:rsid w:val="00864B8C"/>
    <w:rsid w:val="00871FC9"/>
    <w:rsid w:val="00875100"/>
    <w:rsid w:val="00884287"/>
    <w:rsid w:val="008C4F7B"/>
    <w:rsid w:val="008D2B49"/>
    <w:rsid w:val="008E4C06"/>
    <w:rsid w:val="008E5FC6"/>
    <w:rsid w:val="008F1898"/>
    <w:rsid w:val="00926C69"/>
    <w:rsid w:val="0092745B"/>
    <w:rsid w:val="0093480C"/>
    <w:rsid w:val="00943FB9"/>
    <w:rsid w:val="009B16D5"/>
    <w:rsid w:val="009D1FC9"/>
    <w:rsid w:val="009D2907"/>
    <w:rsid w:val="009D637B"/>
    <w:rsid w:val="009E4848"/>
    <w:rsid w:val="009F06DA"/>
    <w:rsid w:val="00A16D08"/>
    <w:rsid w:val="00A17AFD"/>
    <w:rsid w:val="00A27494"/>
    <w:rsid w:val="00A55001"/>
    <w:rsid w:val="00A57134"/>
    <w:rsid w:val="00A764D0"/>
    <w:rsid w:val="00AD242E"/>
    <w:rsid w:val="00AF641C"/>
    <w:rsid w:val="00B00123"/>
    <w:rsid w:val="00B11DBB"/>
    <w:rsid w:val="00B428E8"/>
    <w:rsid w:val="00B57DD2"/>
    <w:rsid w:val="00BD2111"/>
    <w:rsid w:val="00C05093"/>
    <w:rsid w:val="00C10240"/>
    <w:rsid w:val="00C36FD2"/>
    <w:rsid w:val="00C54059"/>
    <w:rsid w:val="00C5621F"/>
    <w:rsid w:val="00CD600B"/>
    <w:rsid w:val="00D13AB6"/>
    <w:rsid w:val="00D24320"/>
    <w:rsid w:val="00D258B0"/>
    <w:rsid w:val="00D502C7"/>
    <w:rsid w:val="00D62074"/>
    <w:rsid w:val="00D93A20"/>
    <w:rsid w:val="00DB0E14"/>
    <w:rsid w:val="00DB291D"/>
    <w:rsid w:val="00DB7CD1"/>
    <w:rsid w:val="00DD00B1"/>
    <w:rsid w:val="00E1213F"/>
    <w:rsid w:val="00E202F5"/>
    <w:rsid w:val="00E3577D"/>
    <w:rsid w:val="00E71CDC"/>
    <w:rsid w:val="00E83363"/>
    <w:rsid w:val="00E91E87"/>
    <w:rsid w:val="00E97D69"/>
    <w:rsid w:val="00EA48C3"/>
    <w:rsid w:val="00EA793C"/>
    <w:rsid w:val="00ED4BCC"/>
    <w:rsid w:val="00EE3A9F"/>
    <w:rsid w:val="00F21943"/>
    <w:rsid w:val="00F37291"/>
    <w:rsid w:val="00F37BE5"/>
    <w:rsid w:val="00F63189"/>
    <w:rsid w:val="00F87390"/>
    <w:rsid w:val="00F9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5093DE"/>
  <w15:chartTrackingRefBased/>
  <w15:docId w15:val="{E98CC522-9ADD-6545-8258-9B5EE89D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E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Schrems</dc:creator>
  <cp:keywords/>
  <dc:description/>
  <cp:lastModifiedBy>Eleanor Schrems</cp:lastModifiedBy>
  <cp:revision>2</cp:revision>
  <dcterms:created xsi:type="dcterms:W3CDTF">2025-02-19T20:40:00Z</dcterms:created>
  <dcterms:modified xsi:type="dcterms:W3CDTF">2025-06-09T14:14:00Z</dcterms:modified>
</cp:coreProperties>
</file>