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57606" w14:textId="77777777" w:rsidR="00AC2CA7" w:rsidRPr="00D0312C" w:rsidRDefault="00AC2CA7" w:rsidP="00AC2CA7">
      <w:pPr>
        <w:spacing w:before="240" w:after="240" w:line="480" w:lineRule="auto"/>
        <w:jc w:val="center"/>
        <w:rPr>
          <w:rFonts w:ascii="Arial" w:eastAsia="Times New Roman" w:hAnsi="Arial" w:cs="Arial"/>
          <w:color w:val="000000"/>
          <w:sz w:val="32"/>
          <w:szCs w:val="32"/>
          <w:lang w:val="en-GB" w:eastAsia="fr-FR"/>
        </w:rPr>
      </w:pPr>
      <w:bookmarkStart w:id="0" w:name="_Hlk210679182"/>
      <w:bookmarkEnd w:id="0"/>
      <w:r w:rsidRPr="00D0312C">
        <w:rPr>
          <w:rFonts w:ascii="Arial" w:eastAsia="Times New Roman" w:hAnsi="Arial" w:cs="Arial"/>
          <w:color w:val="000000"/>
          <w:sz w:val="32"/>
          <w:szCs w:val="32"/>
          <w:lang w:val="en-GB" w:eastAsia="fr-FR"/>
        </w:rPr>
        <w:t>Supplemental Information</w:t>
      </w:r>
    </w:p>
    <w:p w14:paraId="597DBC5D" w14:textId="77777777" w:rsidR="00AC2CA7" w:rsidRPr="002E0842" w:rsidRDefault="00AC2CA7" w:rsidP="00AC2CA7">
      <w:pPr>
        <w:spacing w:before="240" w:after="240" w:line="480" w:lineRule="auto"/>
        <w:jc w:val="center"/>
        <w:rPr>
          <w:rFonts w:ascii="Times New Roman" w:eastAsia="Times New Roman" w:hAnsi="Times New Roman" w:cs="Times New Roman"/>
          <w:sz w:val="24"/>
          <w:szCs w:val="24"/>
          <w:lang w:val="en-US" w:eastAsia="fr-FR"/>
        </w:rPr>
      </w:pPr>
      <w:r w:rsidRPr="00D0312C">
        <w:rPr>
          <w:rFonts w:ascii="Arial" w:eastAsia="Times New Roman" w:hAnsi="Arial" w:cs="Arial"/>
          <w:color w:val="000000"/>
          <w:sz w:val="32"/>
          <w:szCs w:val="32"/>
          <w:lang w:val="en-GB" w:eastAsia="fr-FR"/>
        </w:rPr>
        <w:t xml:space="preserve">Global characterization of </w:t>
      </w:r>
      <w:r w:rsidRPr="00D0312C">
        <w:rPr>
          <w:rFonts w:ascii="Arial" w:eastAsia="Times New Roman" w:hAnsi="Arial" w:cs="Arial"/>
          <w:i/>
          <w:iCs/>
          <w:color w:val="000000"/>
          <w:sz w:val="32"/>
          <w:szCs w:val="32"/>
          <w:lang w:val="en-GB" w:eastAsia="fr-FR"/>
        </w:rPr>
        <w:t>Dictyostelium discoideum</w:t>
      </w:r>
      <w:r w:rsidRPr="00D0312C">
        <w:rPr>
          <w:rFonts w:ascii="Arial" w:eastAsia="Times New Roman" w:hAnsi="Arial" w:cs="Arial"/>
          <w:color w:val="000000"/>
          <w:sz w:val="32"/>
          <w:szCs w:val="32"/>
          <w:lang w:val="en-GB" w:eastAsia="fr-FR"/>
        </w:rPr>
        <w:t xml:space="preserve"> gene and protein expression changes under hypoxic conditions</w:t>
      </w:r>
    </w:p>
    <w:p w14:paraId="47B0231C" w14:textId="77777777" w:rsidR="00AC2CA7" w:rsidRDefault="00AC2CA7" w:rsidP="00AC2CA7">
      <w:pPr>
        <w:spacing w:before="240" w:after="240" w:line="480" w:lineRule="auto"/>
        <w:jc w:val="center"/>
        <w:rPr>
          <w:rFonts w:ascii="Arial" w:eastAsia="Times New Roman" w:hAnsi="Arial" w:cs="Arial"/>
          <w:color w:val="000000"/>
          <w:lang w:val="en-US" w:eastAsia="fr-FR"/>
        </w:rPr>
      </w:pPr>
      <w:r w:rsidRPr="00435788">
        <w:rPr>
          <w:rFonts w:ascii="Arial" w:eastAsia="Times New Roman" w:hAnsi="Arial" w:cs="Arial"/>
          <w:color w:val="000000"/>
          <w:lang w:val="en-US" w:eastAsia="fr-FR"/>
        </w:rPr>
        <w:t>Julie Hesnard</w:t>
      </w:r>
      <w:r w:rsidRPr="00435788">
        <w:rPr>
          <w:rFonts w:ascii="Arial" w:eastAsia="Times New Roman" w:hAnsi="Arial" w:cs="Arial"/>
          <w:color w:val="000000"/>
          <w:vertAlign w:val="superscript"/>
          <w:lang w:val="en-US" w:eastAsia="fr-FR"/>
        </w:rPr>
        <w:t>1</w:t>
      </w:r>
      <w:r w:rsidRPr="00435788">
        <w:rPr>
          <w:rFonts w:ascii="Arial" w:eastAsia="Times New Roman" w:hAnsi="Arial" w:cs="Arial"/>
          <w:color w:val="000000"/>
          <w:lang w:val="en-US" w:eastAsia="fr-FR"/>
        </w:rPr>
        <w:t>,</w:t>
      </w:r>
      <w:r>
        <w:rPr>
          <w:rFonts w:ascii="Arial" w:eastAsia="Times New Roman" w:hAnsi="Arial" w:cs="Arial"/>
          <w:color w:val="000000"/>
          <w:lang w:val="en-US" w:eastAsia="fr-FR"/>
        </w:rPr>
        <w:t xml:space="preserve"> </w:t>
      </w:r>
      <w:proofErr w:type="spellStart"/>
      <w:r w:rsidRPr="00435788">
        <w:rPr>
          <w:rFonts w:ascii="Arial" w:eastAsia="Times New Roman" w:hAnsi="Arial" w:cs="Arial"/>
          <w:color w:val="000000"/>
          <w:lang w:val="en-US" w:eastAsia="fr-FR"/>
        </w:rPr>
        <w:t>Elisabet</w:t>
      </w:r>
      <w:proofErr w:type="spellEnd"/>
      <w:r w:rsidRPr="00435788">
        <w:rPr>
          <w:rFonts w:ascii="Arial" w:eastAsia="Times New Roman" w:hAnsi="Arial" w:cs="Arial"/>
          <w:color w:val="000000"/>
          <w:lang w:val="en-US" w:eastAsia="fr-FR"/>
        </w:rPr>
        <w:t xml:space="preserve"> Gas-Pascual</w:t>
      </w:r>
      <w:r w:rsidRPr="00435788">
        <w:rPr>
          <w:rFonts w:ascii="Arial" w:eastAsia="Times New Roman" w:hAnsi="Arial" w:cs="Arial"/>
          <w:color w:val="000000"/>
          <w:vertAlign w:val="superscript"/>
          <w:lang w:val="en-US" w:eastAsia="fr-FR"/>
        </w:rPr>
        <w:t>2</w:t>
      </w:r>
      <w:r>
        <w:rPr>
          <w:rFonts w:ascii="Arial" w:eastAsia="Times New Roman" w:hAnsi="Arial" w:cs="Arial"/>
          <w:color w:val="000000"/>
          <w:lang w:val="en-US" w:eastAsia="fr-FR"/>
        </w:rPr>
        <w:t xml:space="preserve">, </w:t>
      </w:r>
      <w:r w:rsidRPr="00435788">
        <w:rPr>
          <w:rFonts w:ascii="Arial" w:eastAsia="Times New Roman" w:hAnsi="Arial" w:cs="Arial"/>
          <w:color w:val="000000"/>
          <w:lang w:val="en-US" w:eastAsia="fr-FR"/>
        </w:rPr>
        <w:t>Hanke van der Wel</w:t>
      </w:r>
      <w:r w:rsidRPr="00435788">
        <w:rPr>
          <w:rFonts w:ascii="Arial" w:eastAsia="Times New Roman" w:hAnsi="Arial" w:cs="Arial"/>
          <w:color w:val="000000"/>
          <w:vertAlign w:val="superscript"/>
          <w:lang w:val="en-US" w:eastAsia="fr-FR"/>
        </w:rPr>
        <w:t>2</w:t>
      </w:r>
      <w:r w:rsidRPr="00435788">
        <w:rPr>
          <w:rFonts w:ascii="Arial" w:eastAsia="Times New Roman" w:hAnsi="Arial" w:cs="Arial"/>
          <w:color w:val="000000"/>
          <w:lang w:val="en-US" w:eastAsia="fr-FR"/>
        </w:rPr>
        <w:t>, Olivier Cochet-Escartin</w:t>
      </w:r>
      <w:r w:rsidRPr="00435788">
        <w:rPr>
          <w:rFonts w:ascii="Arial" w:eastAsia="Times New Roman" w:hAnsi="Arial" w:cs="Arial"/>
          <w:color w:val="000000"/>
          <w:vertAlign w:val="superscript"/>
          <w:lang w:val="en-US" w:eastAsia="fr-FR"/>
        </w:rPr>
        <w:t>1</w:t>
      </w:r>
      <w:r w:rsidRPr="00435788">
        <w:rPr>
          <w:rFonts w:ascii="Arial" w:eastAsia="Times New Roman" w:hAnsi="Arial" w:cs="Arial"/>
          <w:color w:val="000000"/>
          <w:lang w:val="en-US" w:eastAsia="fr-FR"/>
        </w:rPr>
        <w:t>, Stephane Joly</w:t>
      </w:r>
      <w:r w:rsidRPr="00435788">
        <w:rPr>
          <w:rFonts w:ascii="Arial" w:eastAsia="Times New Roman" w:hAnsi="Arial" w:cs="Arial"/>
          <w:color w:val="000000"/>
          <w:vertAlign w:val="superscript"/>
          <w:lang w:val="en-US" w:eastAsia="fr-FR"/>
        </w:rPr>
        <w:t>1</w:t>
      </w:r>
      <w:r w:rsidRPr="00435788">
        <w:rPr>
          <w:rFonts w:ascii="Arial" w:eastAsia="Times New Roman" w:hAnsi="Arial" w:cs="Arial"/>
          <w:color w:val="000000"/>
          <w:lang w:val="en-US" w:eastAsia="fr-FR"/>
        </w:rPr>
        <w:t>, Jean-Paul Rieu</w:t>
      </w:r>
      <w:r w:rsidRPr="00435788">
        <w:rPr>
          <w:rFonts w:ascii="Arial" w:eastAsia="Times New Roman" w:hAnsi="Arial" w:cs="Arial"/>
          <w:color w:val="000000"/>
          <w:vertAlign w:val="superscript"/>
          <w:lang w:val="en-US" w:eastAsia="fr-FR"/>
        </w:rPr>
        <w:t>1</w:t>
      </w:r>
      <w:r w:rsidRPr="00435788">
        <w:rPr>
          <w:rFonts w:ascii="Arial" w:eastAsia="Times New Roman" w:hAnsi="Arial" w:cs="Arial"/>
          <w:color w:val="000000"/>
          <w:lang w:val="en-US" w:eastAsia="fr-FR"/>
        </w:rPr>
        <w:t>, Christopher M</w:t>
      </w:r>
      <w:r>
        <w:rPr>
          <w:rFonts w:ascii="Arial" w:eastAsia="Times New Roman" w:hAnsi="Arial" w:cs="Arial"/>
          <w:color w:val="000000"/>
          <w:lang w:val="en-US" w:eastAsia="fr-FR"/>
        </w:rPr>
        <w:t>.</w:t>
      </w:r>
      <w:r w:rsidRPr="00435788">
        <w:rPr>
          <w:rFonts w:ascii="Arial" w:eastAsia="Times New Roman" w:hAnsi="Arial" w:cs="Arial"/>
          <w:color w:val="000000"/>
          <w:lang w:val="en-US" w:eastAsia="fr-FR"/>
        </w:rPr>
        <w:t xml:space="preserve"> West</w:t>
      </w:r>
      <w:r w:rsidRPr="00435788">
        <w:rPr>
          <w:rFonts w:ascii="Arial" w:eastAsia="Times New Roman" w:hAnsi="Arial" w:cs="Arial"/>
          <w:color w:val="000000"/>
          <w:vertAlign w:val="superscript"/>
          <w:lang w:val="en-US" w:eastAsia="fr-FR"/>
        </w:rPr>
        <w:t>2</w:t>
      </w:r>
      <w:r w:rsidRPr="00435788">
        <w:rPr>
          <w:rFonts w:ascii="Arial" w:eastAsia="Times New Roman" w:hAnsi="Arial" w:cs="Arial"/>
          <w:color w:val="000000"/>
          <w:lang w:val="en-US" w:eastAsia="fr-FR"/>
        </w:rPr>
        <w:t xml:space="preserve"> and Christophe Anjard</w:t>
      </w:r>
      <w:r w:rsidRPr="00435788">
        <w:rPr>
          <w:rFonts w:ascii="Arial" w:eastAsia="Times New Roman" w:hAnsi="Arial" w:cs="Arial"/>
          <w:color w:val="000000"/>
          <w:vertAlign w:val="superscript"/>
          <w:lang w:val="en-US" w:eastAsia="fr-FR"/>
        </w:rPr>
        <w:t>1</w:t>
      </w:r>
      <w:r w:rsidRPr="00435788">
        <w:rPr>
          <w:rFonts w:ascii="Arial" w:eastAsia="Times New Roman" w:hAnsi="Arial" w:cs="Arial"/>
          <w:color w:val="000000"/>
          <w:lang w:val="en-US" w:eastAsia="fr-FR"/>
        </w:rPr>
        <w:t> </w:t>
      </w:r>
    </w:p>
    <w:p w14:paraId="4B3FD585" w14:textId="77777777" w:rsidR="00AC2CA7" w:rsidRDefault="00AC2CA7" w:rsidP="00AC2CA7">
      <w:pPr>
        <w:jc w:val="both"/>
        <w:rPr>
          <w:b/>
          <w:bCs/>
          <w:lang w:val="en-GB"/>
        </w:rPr>
      </w:pPr>
    </w:p>
    <w:p w14:paraId="6AEF1BD1" w14:textId="77777777" w:rsidR="00AC2CA7" w:rsidRPr="00D0312C" w:rsidRDefault="00AC2CA7" w:rsidP="00AC2CA7">
      <w:pPr>
        <w:jc w:val="both"/>
        <w:rPr>
          <w:lang w:val="en-GB"/>
        </w:rPr>
      </w:pPr>
      <w:r w:rsidRPr="00D0312C">
        <w:rPr>
          <w:lang w:val="en-GB"/>
        </w:rPr>
        <w:t xml:space="preserve">Table S1: Transcriptomic data across the time course. </w:t>
      </w:r>
      <w:r w:rsidRPr="002E0842">
        <w:rPr>
          <w:lang w:val="en-GB"/>
        </w:rPr>
        <w:t>AX3 cells were placed in shaking flasks that were continuously and serially purged with a humidified atmosphere of 1% O</w:t>
      </w:r>
      <w:r w:rsidRPr="002E0842">
        <w:rPr>
          <w:vertAlign w:val="subscript"/>
          <w:lang w:val="en-GB"/>
        </w:rPr>
        <w:t>2</w:t>
      </w:r>
      <w:r w:rsidRPr="002E0842">
        <w:rPr>
          <w:lang w:val="en-GB"/>
        </w:rPr>
        <w:t xml:space="preserve"> in N</w:t>
      </w:r>
      <w:r w:rsidRPr="002E0842">
        <w:rPr>
          <w:vertAlign w:val="subscript"/>
          <w:lang w:val="en-GB"/>
        </w:rPr>
        <w:t>2</w:t>
      </w:r>
      <w:r w:rsidRPr="002E0842">
        <w:rPr>
          <w:lang w:val="en-GB"/>
        </w:rPr>
        <w:t xml:space="preserve"> for 24 h and then reoxygenated with 20% O</w:t>
      </w:r>
      <w:r w:rsidRPr="002E0842">
        <w:rPr>
          <w:vertAlign w:val="subscript"/>
          <w:lang w:val="en-GB"/>
        </w:rPr>
        <w:t>2</w:t>
      </w:r>
      <w:r w:rsidRPr="002E0842">
        <w:rPr>
          <w:lang w:val="en-GB"/>
        </w:rPr>
        <w:t xml:space="preserve"> for 5 h. A flask was removed to collect cells at 1 h, 5 h, and 24 h under hypoxia, and at 1 h and 5 h during reoxygenation. The standard t0 was collected from the culture tube. </w:t>
      </w:r>
      <w:r w:rsidRPr="002E0842">
        <w:rPr>
          <w:lang w:val="en-US"/>
        </w:rPr>
        <w:t>At each time point, transcripts were extracted and sequenced using MACE-seq (</w:t>
      </w:r>
      <w:proofErr w:type="spellStart"/>
      <w:r w:rsidRPr="002E0842">
        <w:rPr>
          <w:lang w:val="en-US"/>
        </w:rPr>
        <w:t>GenXpro</w:t>
      </w:r>
      <w:proofErr w:type="spellEnd"/>
      <w:r w:rsidRPr="002E0842">
        <w:rPr>
          <w:lang w:val="en-US"/>
        </w:rPr>
        <w:t>)</w:t>
      </w:r>
    </w:p>
    <w:p w14:paraId="720B0C38" w14:textId="77777777" w:rsidR="00AC2CA7" w:rsidRPr="002E0842" w:rsidRDefault="00AC2CA7" w:rsidP="00AC2CA7">
      <w:pPr>
        <w:jc w:val="both"/>
        <w:rPr>
          <w:lang w:val="en-GB"/>
        </w:rPr>
      </w:pPr>
      <w:r w:rsidRPr="00D0312C">
        <w:rPr>
          <w:lang w:val="en-GB"/>
        </w:rPr>
        <w:t>A:</w:t>
      </w:r>
      <w:r w:rsidRPr="002E0842">
        <w:rPr>
          <w:lang w:val="en-GB"/>
        </w:rPr>
        <w:t xml:space="preserve"> Total transcripts per million (TPM). The TPM values were provided by the sequencing company </w:t>
      </w:r>
      <w:proofErr w:type="spellStart"/>
      <w:r w:rsidRPr="002E0842">
        <w:rPr>
          <w:lang w:val="en-GB"/>
        </w:rPr>
        <w:t>GenXpro</w:t>
      </w:r>
      <w:proofErr w:type="spellEnd"/>
      <w:r w:rsidRPr="002E0842">
        <w:rPr>
          <w:lang w:val="en-GB"/>
        </w:rPr>
        <w:t>. For each detected transcript, TPM values related to each replicate are indicated (n=3), such as the mean of the triplicate for each time point. These TPM values were used to calculate the turnover rate (Fig. 1C).</w:t>
      </w:r>
    </w:p>
    <w:p w14:paraId="2CE0C4BE" w14:textId="77777777" w:rsidR="00AC2CA7" w:rsidRPr="002E0842" w:rsidRDefault="00AC2CA7" w:rsidP="00AC2CA7">
      <w:pPr>
        <w:jc w:val="both"/>
        <w:rPr>
          <w:lang w:val="en-GB"/>
        </w:rPr>
      </w:pPr>
      <w:r w:rsidRPr="00D0312C">
        <w:rPr>
          <w:lang w:val="en-GB"/>
        </w:rPr>
        <w:t>B:</w:t>
      </w:r>
      <w:r w:rsidRPr="002E0842">
        <w:rPr>
          <w:lang w:val="en-GB"/>
        </w:rPr>
        <w:t xml:space="preserve"> Coding RNA transcriptomic data. For each transcript, the expression level compared to the standard condition (t0, 21% O</w:t>
      </w:r>
      <w:r w:rsidRPr="002E0842">
        <w:rPr>
          <w:vertAlign w:val="subscript"/>
          <w:lang w:val="en-GB"/>
        </w:rPr>
        <w:t>2</w:t>
      </w:r>
      <w:r w:rsidRPr="002E0842">
        <w:rPr>
          <w:lang w:val="en-GB"/>
        </w:rPr>
        <w:t xml:space="preserve">) is expressed in log2FC, with a corresponding FDR (provided by </w:t>
      </w:r>
      <w:proofErr w:type="spellStart"/>
      <w:r w:rsidRPr="002E0842">
        <w:rPr>
          <w:lang w:val="en-GB"/>
        </w:rPr>
        <w:t>GenXpro</w:t>
      </w:r>
      <w:proofErr w:type="spellEnd"/>
      <w:r w:rsidRPr="002E0842">
        <w:rPr>
          <w:lang w:val="en-GB"/>
        </w:rPr>
        <w:t>). Only coding RNA are represented, since tRNA and transposable elements were manually removed. Those data were used to determine correlation between transcripts at each time point of the time course (Fig.  1E), and to compare with protein abundance (Fig. 2D and E)</w:t>
      </w:r>
    </w:p>
    <w:p w14:paraId="45E8855D" w14:textId="77777777" w:rsidR="00AC2CA7" w:rsidRPr="002E0842" w:rsidRDefault="00AC2CA7" w:rsidP="00AC2CA7">
      <w:pPr>
        <w:jc w:val="both"/>
        <w:rPr>
          <w:lang w:val="en-GB"/>
        </w:rPr>
      </w:pPr>
      <w:r w:rsidRPr="00D0312C">
        <w:rPr>
          <w:lang w:val="en-GB"/>
        </w:rPr>
        <w:t>C:</w:t>
      </w:r>
      <w:r w:rsidRPr="002E0842">
        <w:rPr>
          <w:lang w:val="en-GB"/>
        </w:rPr>
        <w:t xml:space="preserve"> Actin-related transcripts. Differentially regulated transcripts (log2≥1 or log2FC≤-1; FDR&lt;0.05) related to actin polymerisation were summarized. </w:t>
      </w:r>
    </w:p>
    <w:p w14:paraId="0451208C" w14:textId="77777777" w:rsidR="00AC2CA7" w:rsidRPr="002E0842" w:rsidRDefault="00AC2CA7" w:rsidP="00AC2CA7">
      <w:pPr>
        <w:jc w:val="both"/>
        <w:rPr>
          <w:lang w:val="en-GB"/>
        </w:rPr>
      </w:pPr>
      <w:r w:rsidRPr="00D0312C">
        <w:rPr>
          <w:lang w:val="en-GB"/>
        </w:rPr>
        <w:t>D:</w:t>
      </w:r>
      <w:r w:rsidRPr="002E0842">
        <w:rPr>
          <w:lang w:val="en-GB"/>
        </w:rPr>
        <w:t xml:space="preserve"> Calcium-associated transcripts. Differentially regulated transcripts (log2≥1 or log2FC≤-1; FDR&lt;0.05) encoding calcium-binding or calcium-dependant proteins were summarized.</w:t>
      </w:r>
    </w:p>
    <w:p w14:paraId="375A5395" w14:textId="77777777" w:rsidR="00AC2CA7" w:rsidRPr="002E0842" w:rsidRDefault="00AC2CA7" w:rsidP="00AC2CA7">
      <w:pPr>
        <w:jc w:val="both"/>
        <w:rPr>
          <w:lang w:val="en-GB"/>
        </w:rPr>
      </w:pPr>
      <w:r w:rsidRPr="00D0312C">
        <w:rPr>
          <w:lang w:val="en-GB"/>
        </w:rPr>
        <w:t>E:</w:t>
      </w:r>
      <w:r w:rsidRPr="002E0842">
        <w:rPr>
          <w:lang w:val="en-GB"/>
        </w:rPr>
        <w:t xml:space="preserve"> cAMP pathway-associated transcripts. Differentially regulated transcripts (log2≥1 or log2FC≤-1; FDR&lt;0.05) associated with cAMP production, reception and degradation were summarized. Those data support Fig.7A-E. </w:t>
      </w:r>
    </w:p>
    <w:p w14:paraId="1F4541DD" w14:textId="77777777" w:rsidR="00AC2CA7" w:rsidRPr="002E0842" w:rsidRDefault="00AC2CA7" w:rsidP="00AC2CA7">
      <w:pPr>
        <w:jc w:val="both"/>
        <w:rPr>
          <w:lang w:val="en-GB"/>
        </w:rPr>
      </w:pPr>
      <w:r w:rsidRPr="00D0312C">
        <w:rPr>
          <w:lang w:val="en-GB"/>
        </w:rPr>
        <w:t>F:</w:t>
      </w:r>
      <w:r w:rsidRPr="002E0842">
        <w:rPr>
          <w:lang w:val="en-GB"/>
        </w:rPr>
        <w:t xml:space="preserve"> Cell adhesion-associated transcripts. Differentially regulated transcripts (log2≥1 or log2FC≤-1; FDR&lt;0.05) were summarized.</w:t>
      </w:r>
    </w:p>
    <w:p w14:paraId="3EFC80BE" w14:textId="77777777" w:rsidR="00AC2CA7" w:rsidRPr="002E0842" w:rsidRDefault="00AC2CA7" w:rsidP="00AC2CA7">
      <w:pPr>
        <w:jc w:val="both"/>
        <w:rPr>
          <w:lang w:val="en-GB"/>
        </w:rPr>
      </w:pPr>
    </w:p>
    <w:p w14:paraId="77E3E178" w14:textId="77777777" w:rsidR="00AC2CA7" w:rsidRPr="00D0312C" w:rsidRDefault="00AC2CA7" w:rsidP="00AC2CA7">
      <w:pPr>
        <w:rPr>
          <w:lang w:val="en-GB"/>
        </w:rPr>
      </w:pPr>
      <w:r w:rsidRPr="00D0312C">
        <w:rPr>
          <w:lang w:val="en-GB"/>
        </w:rPr>
        <w:t>Table S2: Differentially expressed proteins at 5 h of low O</w:t>
      </w:r>
      <w:r w:rsidRPr="00D0312C">
        <w:rPr>
          <w:vertAlign w:val="subscript"/>
          <w:lang w:val="en-GB"/>
        </w:rPr>
        <w:t>2</w:t>
      </w:r>
      <w:r w:rsidRPr="00D0312C">
        <w:rPr>
          <w:lang w:val="en-GB"/>
        </w:rPr>
        <w:t xml:space="preserve">. </w:t>
      </w:r>
    </w:p>
    <w:p w14:paraId="7C4DC0BC" w14:textId="77777777" w:rsidR="00AC2CA7" w:rsidRPr="002E0842" w:rsidRDefault="00AC2CA7" w:rsidP="00AC2CA7">
      <w:pPr>
        <w:jc w:val="both"/>
        <w:rPr>
          <w:lang w:val="en-GB"/>
        </w:rPr>
      </w:pPr>
      <w:r w:rsidRPr="00D0312C">
        <w:rPr>
          <w:lang w:val="en-GB"/>
        </w:rPr>
        <w:t>Proteins were identified with an FDR ≤ 0.05, from ≥2 peptides each identified with an FDR &lt; 0.01, and quantified based on spectral counting of the peptides</w:t>
      </w:r>
      <w:r w:rsidRPr="002E0842">
        <w:rPr>
          <w:lang w:val="en-GB"/>
        </w:rPr>
        <w:t xml:space="preserve">. Data from 6 independent 5 h 1D trials from </w:t>
      </w:r>
      <w:r w:rsidRPr="002E0842">
        <w:rPr>
          <w:lang w:val="en-GB"/>
        </w:rPr>
        <w:lastRenderedPageBreak/>
        <w:t xml:space="preserve">Series 1 and Series 2, each with 3 technical replicates (18 total analyses), were </w:t>
      </w:r>
      <w:proofErr w:type="spellStart"/>
      <w:r w:rsidRPr="002E0842">
        <w:rPr>
          <w:lang w:val="en-GB"/>
        </w:rPr>
        <w:t>analyzed</w:t>
      </w:r>
      <w:proofErr w:type="spellEnd"/>
      <w:r w:rsidRPr="002E0842">
        <w:rPr>
          <w:lang w:val="en-GB"/>
        </w:rPr>
        <w:t xml:space="preserve"> together using Proteome Discoverer 2.5. Single samples from each series were </w:t>
      </w:r>
      <w:proofErr w:type="spellStart"/>
      <w:r w:rsidRPr="002E0842">
        <w:rPr>
          <w:lang w:val="en-GB"/>
        </w:rPr>
        <w:t>analyzed</w:t>
      </w:r>
      <w:proofErr w:type="spellEnd"/>
      <w:r w:rsidRPr="002E0842">
        <w:rPr>
          <w:lang w:val="en-GB"/>
        </w:rPr>
        <w:t xml:space="preserve"> using the 2D method, each with 3 technical replicates, and </w:t>
      </w:r>
      <w:proofErr w:type="spellStart"/>
      <w:r w:rsidRPr="002E0842">
        <w:rPr>
          <w:lang w:val="en-GB"/>
        </w:rPr>
        <w:t>analyzed</w:t>
      </w:r>
      <w:proofErr w:type="spellEnd"/>
      <w:r w:rsidRPr="002E0842">
        <w:rPr>
          <w:lang w:val="en-GB"/>
        </w:rPr>
        <w:t xml:space="preserve"> separately. Protein abundances from samples maintained at 1% O</w:t>
      </w:r>
      <w:r w:rsidRPr="002E0842">
        <w:rPr>
          <w:vertAlign w:val="subscript"/>
          <w:lang w:val="en-GB"/>
        </w:rPr>
        <w:t>2</w:t>
      </w:r>
      <w:r w:rsidRPr="002E0842">
        <w:rPr>
          <w:lang w:val="en-GB"/>
        </w:rPr>
        <w:t xml:space="preserve"> were ratioed to abundances from samples maintained at 21% for 5 h. These data derive from Table S4 and support Fig. 4. Proteins that were significantly up-regulated according to criteria described in Methods are reported. Proteins were classified into functional categories based on annotations at dictyBase.org and sequence similarities based on </w:t>
      </w:r>
      <w:proofErr w:type="spellStart"/>
      <w:r w:rsidRPr="002E0842">
        <w:rPr>
          <w:lang w:val="en-GB"/>
        </w:rPr>
        <w:t>pBLAST</w:t>
      </w:r>
      <w:proofErr w:type="spellEnd"/>
      <w:r w:rsidRPr="002E0842">
        <w:rPr>
          <w:lang w:val="en-GB"/>
        </w:rPr>
        <w:t xml:space="preserve"> searches.</w:t>
      </w:r>
    </w:p>
    <w:p w14:paraId="4DE7EE26" w14:textId="77777777" w:rsidR="00AC2CA7" w:rsidRPr="002E0842" w:rsidRDefault="00AC2CA7" w:rsidP="00AC2CA7">
      <w:pPr>
        <w:jc w:val="both"/>
        <w:rPr>
          <w:lang w:val="en-GB"/>
        </w:rPr>
      </w:pPr>
      <w:r w:rsidRPr="00D0312C">
        <w:rPr>
          <w:lang w:val="en-GB"/>
        </w:rPr>
        <w:t>A</w:t>
      </w:r>
      <w:r w:rsidRPr="002E0842">
        <w:rPr>
          <w:lang w:val="en-GB"/>
        </w:rPr>
        <w:t>: Up-regulated proteins at 5h at 1% O</w:t>
      </w:r>
      <w:r w:rsidRPr="002E0842">
        <w:rPr>
          <w:vertAlign w:val="subscript"/>
          <w:lang w:val="en-GB"/>
        </w:rPr>
        <w:t>2</w:t>
      </w:r>
      <w:r w:rsidRPr="002E0842">
        <w:rPr>
          <w:lang w:val="en-GB"/>
        </w:rPr>
        <w:t xml:space="preserve">.  </w:t>
      </w:r>
    </w:p>
    <w:p w14:paraId="55A7F967" w14:textId="77777777" w:rsidR="00AC2CA7" w:rsidRPr="002E0842" w:rsidRDefault="00AC2CA7" w:rsidP="00AC2CA7">
      <w:pPr>
        <w:jc w:val="both"/>
        <w:rPr>
          <w:lang w:val="en-GB"/>
        </w:rPr>
      </w:pPr>
      <w:r w:rsidRPr="00D0312C">
        <w:rPr>
          <w:lang w:val="en-GB"/>
        </w:rPr>
        <w:t>B:</w:t>
      </w:r>
      <w:r w:rsidRPr="002E0842">
        <w:rPr>
          <w:lang w:val="en-GB"/>
        </w:rPr>
        <w:t xml:space="preserve"> Down-regulated proteins at 5h at 1% O</w:t>
      </w:r>
      <w:r w:rsidRPr="002E0842">
        <w:rPr>
          <w:vertAlign w:val="subscript"/>
          <w:lang w:val="en-GB"/>
        </w:rPr>
        <w:t>2</w:t>
      </w:r>
      <w:r w:rsidRPr="002E0842">
        <w:rPr>
          <w:lang w:val="en-GB"/>
        </w:rPr>
        <w:t xml:space="preserve">. </w:t>
      </w:r>
    </w:p>
    <w:p w14:paraId="2817B6D7" w14:textId="77777777" w:rsidR="00AC2CA7" w:rsidRPr="002E0842" w:rsidRDefault="00AC2CA7" w:rsidP="00AC2CA7">
      <w:pPr>
        <w:jc w:val="both"/>
        <w:rPr>
          <w:lang w:val="en-GB"/>
        </w:rPr>
      </w:pPr>
    </w:p>
    <w:p w14:paraId="30CE2874" w14:textId="77777777" w:rsidR="00AC2CA7" w:rsidRPr="002E0842" w:rsidRDefault="00AC2CA7" w:rsidP="00AC2CA7">
      <w:pPr>
        <w:jc w:val="both"/>
        <w:rPr>
          <w:lang w:val="en-GB"/>
        </w:rPr>
      </w:pPr>
    </w:p>
    <w:p w14:paraId="6FF2B584" w14:textId="77777777" w:rsidR="00AC2CA7" w:rsidRPr="002E0842" w:rsidRDefault="00AC2CA7" w:rsidP="00AC2CA7">
      <w:pPr>
        <w:jc w:val="both"/>
        <w:rPr>
          <w:lang w:val="en-GB"/>
        </w:rPr>
      </w:pPr>
      <w:r w:rsidRPr="00D0312C">
        <w:rPr>
          <w:lang w:val="en-GB"/>
        </w:rPr>
        <w:t>Table S3. Differentially expressed proteins at 24 h of low O</w:t>
      </w:r>
      <w:r w:rsidRPr="00D0312C">
        <w:rPr>
          <w:vertAlign w:val="subscript"/>
          <w:lang w:val="en-GB"/>
        </w:rPr>
        <w:t>2</w:t>
      </w:r>
      <w:r w:rsidRPr="002E0842">
        <w:rPr>
          <w:lang w:val="en-GB"/>
        </w:rPr>
        <w:t xml:space="preserve">. </w:t>
      </w:r>
    </w:p>
    <w:p w14:paraId="4D2A7ED1" w14:textId="77777777" w:rsidR="00AC2CA7" w:rsidRPr="002E0842" w:rsidRDefault="00AC2CA7" w:rsidP="00AC2CA7">
      <w:pPr>
        <w:jc w:val="both"/>
        <w:rPr>
          <w:lang w:val="en-GB"/>
        </w:rPr>
      </w:pPr>
      <w:r w:rsidRPr="002E0842">
        <w:rPr>
          <w:lang w:val="en-GB"/>
        </w:rPr>
        <w:t xml:space="preserve">Proteins were identified with an FDR≤0.05 from ≥2 peptides identified with an FDR&lt;0.01, and quantified based on spectral counting. Data from 3 independent 1D trials from Series 2, each with 3 technical replicates (9 total analyses), were </w:t>
      </w:r>
      <w:proofErr w:type="spellStart"/>
      <w:r w:rsidRPr="002E0842">
        <w:rPr>
          <w:lang w:val="en-GB"/>
        </w:rPr>
        <w:t>analyzed</w:t>
      </w:r>
      <w:proofErr w:type="spellEnd"/>
      <w:r w:rsidRPr="002E0842">
        <w:rPr>
          <w:lang w:val="en-GB"/>
        </w:rPr>
        <w:t xml:space="preserve"> together using Proteome Discoverer 2.5. Protein abundances from samples maintained at 1% O</w:t>
      </w:r>
      <w:r w:rsidRPr="00D0312C">
        <w:rPr>
          <w:vertAlign w:val="subscript"/>
          <w:lang w:val="en-GB"/>
        </w:rPr>
        <w:t>2</w:t>
      </w:r>
      <w:r w:rsidRPr="002E0842">
        <w:rPr>
          <w:lang w:val="en-GB"/>
        </w:rPr>
        <w:t xml:space="preserve"> for 24 h were ratioed to abundances at 0 h (21%). These data support Figs. </w:t>
      </w:r>
      <w:r w:rsidRPr="002E0842">
        <w:rPr>
          <w:color w:val="000000" w:themeColor="text1"/>
          <w:lang w:val="en-GB"/>
        </w:rPr>
        <w:t xml:space="preserve">5D and E, Fig. 6C, Fig. S4. </w:t>
      </w:r>
      <w:r w:rsidRPr="002E0842">
        <w:rPr>
          <w:lang w:val="en-GB"/>
        </w:rPr>
        <w:t>NA indicates data not assigned.</w:t>
      </w:r>
    </w:p>
    <w:p w14:paraId="724FE71F" w14:textId="77777777" w:rsidR="00AC2CA7" w:rsidRPr="002E0842" w:rsidRDefault="00AC2CA7" w:rsidP="00AC2CA7">
      <w:pPr>
        <w:jc w:val="both"/>
        <w:rPr>
          <w:lang w:val="en-GB"/>
        </w:rPr>
      </w:pPr>
      <w:r w:rsidRPr="00D0312C">
        <w:rPr>
          <w:lang w:val="en-GB"/>
        </w:rPr>
        <w:t xml:space="preserve">A:  </w:t>
      </w:r>
      <w:r w:rsidRPr="002E0842">
        <w:rPr>
          <w:lang w:val="en-GB"/>
        </w:rPr>
        <w:t>Proteins whose ratios were statistically different from 1 (p&lt;0.05) at 24 h are considered DEPs, and are sorted according to FC from high to low. Adjacent columns show p-values and FDR-adjusted p-values. For each protein, relative abundances and corresponding statistical significance from the 5 h (1% O</w:t>
      </w:r>
      <w:r w:rsidRPr="002E0842">
        <w:rPr>
          <w:vertAlign w:val="subscript"/>
          <w:lang w:val="en-GB"/>
        </w:rPr>
        <w:t>2</w:t>
      </w:r>
      <w:r w:rsidRPr="002E0842">
        <w:rPr>
          <w:lang w:val="en-GB"/>
        </w:rPr>
        <w:t>), and 1 h and 5 h reoxygenation (21% O</w:t>
      </w:r>
      <w:r w:rsidRPr="002E0842">
        <w:rPr>
          <w:vertAlign w:val="subscript"/>
          <w:lang w:val="en-GB"/>
        </w:rPr>
        <w:t>2</w:t>
      </w:r>
      <w:r w:rsidRPr="002E0842">
        <w:rPr>
          <w:lang w:val="en-GB"/>
        </w:rPr>
        <w:t xml:space="preserve">) trials from Series 2 are also included for comparison and highlighted in dark green. In addition, the </w:t>
      </w:r>
      <w:proofErr w:type="spellStart"/>
      <w:r w:rsidRPr="002E0842">
        <w:rPr>
          <w:lang w:val="en-GB"/>
        </w:rPr>
        <w:t>Sequest</w:t>
      </w:r>
      <w:proofErr w:type="spellEnd"/>
      <w:r w:rsidRPr="002E0842">
        <w:rPr>
          <w:lang w:val="en-GB"/>
        </w:rPr>
        <w:t xml:space="preserve"> score and protein false discovery rate (FDR) data (high, FDR&lt;0.01; medium, FDR&lt;0.05) that formed the basis for protein identification, and the number of unique peptides that formed the basis for quantifying abundance are shown. The data derive from Table S4. Finally, corresponding RNAseq data, also ratioed to abundance at 0 h, are also shown. In individual tabs, proteins are grouped according to inferred roles, and sub-grouped according to up- or down-regulation. </w:t>
      </w:r>
    </w:p>
    <w:p w14:paraId="7E62903C" w14:textId="77777777" w:rsidR="00AC2CA7" w:rsidRPr="002E0842" w:rsidRDefault="00AC2CA7" w:rsidP="00AC2CA7">
      <w:pPr>
        <w:jc w:val="both"/>
        <w:rPr>
          <w:color w:val="000000" w:themeColor="text1"/>
          <w:lang w:val="en-GB"/>
        </w:rPr>
      </w:pPr>
      <w:r w:rsidRPr="00D0312C">
        <w:rPr>
          <w:color w:val="000000" w:themeColor="text1"/>
          <w:lang w:val="en-GB"/>
        </w:rPr>
        <w:t>B:</w:t>
      </w:r>
      <w:r w:rsidRPr="002E0842">
        <w:rPr>
          <w:color w:val="000000" w:themeColor="text1"/>
          <w:lang w:val="en-GB"/>
        </w:rPr>
        <w:t xml:space="preserve"> The subset of entries in A that were associated with the redox proteins. </w:t>
      </w:r>
    </w:p>
    <w:p w14:paraId="2644574B" w14:textId="77777777" w:rsidR="00AC2CA7" w:rsidRPr="002E0842" w:rsidRDefault="00AC2CA7" w:rsidP="00AC2CA7">
      <w:pPr>
        <w:jc w:val="both"/>
        <w:rPr>
          <w:lang w:val="en-GB"/>
        </w:rPr>
      </w:pPr>
      <w:r w:rsidRPr="00D0312C">
        <w:rPr>
          <w:lang w:val="en-GB"/>
        </w:rPr>
        <w:t>C:</w:t>
      </w:r>
      <w:r w:rsidRPr="002E0842">
        <w:rPr>
          <w:lang w:val="en-GB"/>
        </w:rPr>
        <w:t xml:space="preserve"> The subset of entries in A that were associated with Central carbon metabolism. </w:t>
      </w:r>
    </w:p>
    <w:p w14:paraId="26D597B6" w14:textId="77777777" w:rsidR="00AC2CA7" w:rsidRPr="002E0842" w:rsidRDefault="00AC2CA7" w:rsidP="00AC2CA7">
      <w:pPr>
        <w:jc w:val="both"/>
        <w:rPr>
          <w:lang w:val="en-GB"/>
        </w:rPr>
      </w:pPr>
      <w:r w:rsidRPr="00D0312C">
        <w:rPr>
          <w:lang w:val="en-GB"/>
        </w:rPr>
        <w:t xml:space="preserve">D:  </w:t>
      </w:r>
      <w:r w:rsidRPr="002E0842">
        <w:rPr>
          <w:lang w:val="en-GB"/>
        </w:rPr>
        <w:t xml:space="preserve">The subset of entries in A that were associated with macromolecular synthesis (RNA, protein). Lipidation proteins and </w:t>
      </w:r>
      <w:proofErr w:type="spellStart"/>
      <w:r w:rsidRPr="002E0842">
        <w:rPr>
          <w:lang w:val="en-GB"/>
        </w:rPr>
        <w:t>discoidins</w:t>
      </w:r>
      <w:proofErr w:type="spellEnd"/>
      <w:r w:rsidRPr="002E0842">
        <w:rPr>
          <w:lang w:val="en-GB"/>
        </w:rPr>
        <w:t xml:space="preserve"> are also included. </w:t>
      </w:r>
    </w:p>
    <w:p w14:paraId="6B29F52F" w14:textId="77777777" w:rsidR="00AC2CA7" w:rsidRPr="002E0842" w:rsidRDefault="00AC2CA7" w:rsidP="00AC2CA7">
      <w:pPr>
        <w:jc w:val="both"/>
        <w:rPr>
          <w:lang w:val="en-GB"/>
        </w:rPr>
      </w:pPr>
      <w:r w:rsidRPr="00D0312C">
        <w:rPr>
          <w:lang w:val="en-GB"/>
        </w:rPr>
        <w:t xml:space="preserve">E: </w:t>
      </w:r>
      <w:r w:rsidRPr="002E0842">
        <w:rPr>
          <w:lang w:val="en-GB"/>
        </w:rPr>
        <w:t xml:space="preserve">The subset of entries in A that were associated with ubiquitin, proteasomes, and autophagy. </w:t>
      </w:r>
    </w:p>
    <w:p w14:paraId="43B004A2" w14:textId="77777777" w:rsidR="00AC2CA7" w:rsidRPr="002E0842" w:rsidRDefault="00AC2CA7" w:rsidP="00AC2CA7">
      <w:pPr>
        <w:jc w:val="both"/>
        <w:rPr>
          <w:lang w:val="en-GB"/>
        </w:rPr>
      </w:pPr>
      <w:r w:rsidRPr="00D0312C">
        <w:rPr>
          <w:lang w:val="en-GB"/>
        </w:rPr>
        <w:t>F:</w:t>
      </w:r>
      <w:r w:rsidRPr="002E0842">
        <w:rPr>
          <w:lang w:val="en-GB"/>
        </w:rPr>
        <w:t xml:space="preserve"> The subset of entries in A that were associated with the protein transport via vesicles.</w:t>
      </w:r>
    </w:p>
    <w:p w14:paraId="52AE9EBB" w14:textId="77777777" w:rsidR="00AC2CA7" w:rsidRPr="002E0842" w:rsidRDefault="00AC2CA7" w:rsidP="00AC2CA7">
      <w:pPr>
        <w:jc w:val="both"/>
        <w:rPr>
          <w:lang w:val="en-GB"/>
        </w:rPr>
      </w:pPr>
      <w:r w:rsidRPr="00D0312C">
        <w:rPr>
          <w:lang w:val="en-GB"/>
        </w:rPr>
        <w:t>G:</w:t>
      </w:r>
      <w:r w:rsidRPr="002E0842">
        <w:rPr>
          <w:lang w:val="en-GB"/>
        </w:rPr>
        <w:t xml:space="preserve"> The subset of entries in A that were associated with organelles (mitochondria, lysosomes, peroxisomes).</w:t>
      </w:r>
    </w:p>
    <w:p w14:paraId="100C4AA5" w14:textId="77777777" w:rsidR="00AC2CA7" w:rsidRPr="002E0842" w:rsidRDefault="00AC2CA7" w:rsidP="00AC2CA7">
      <w:pPr>
        <w:jc w:val="both"/>
        <w:rPr>
          <w:lang w:val="en-GB"/>
        </w:rPr>
      </w:pPr>
      <w:r w:rsidRPr="00D0312C">
        <w:rPr>
          <w:lang w:val="en-GB"/>
        </w:rPr>
        <w:t>H:</w:t>
      </w:r>
      <w:r w:rsidRPr="002E0842">
        <w:rPr>
          <w:lang w:val="en-GB"/>
        </w:rPr>
        <w:t xml:space="preserve"> The subset of entries in A that were associated with the histones. </w:t>
      </w:r>
    </w:p>
    <w:p w14:paraId="42986632" w14:textId="77777777" w:rsidR="00AC2CA7" w:rsidRPr="002E0842" w:rsidRDefault="00AC2CA7" w:rsidP="00AC2CA7">
      <w:pPr>
        <w:jc w:val="both"/>
        <w:rPr>
          <w:lang w:val="en-GB"/>
        </w:rPr>
      </w:pPr>
      <w:r w:rsidRPr="00D0312C">
        <w:rPr>
          <w:lang w:val="en-GB"/>
        </w:rPr>
        <w:t>I:</w:t>
      </w:r>
      <w:r w:rsidRPr="002E0842">
        <w:rPr>
          <w:lang w:val="en-GB"/>
        </w:rPr>
        <w:t xml:space="preserve"> The subset of entries in A that were associated with tRNA synthetases. </w:t>
      </w:r>
    </w:p>
    <w:p w14:paraId="6B95663A" w14:textId="77777777" w:rsidR="00AC2CA7" w:rsidRPr="002E0842" w:rsidRDefault="00AC2CA7" w:rsidP="00AC2CA7">
      <w:pPr>
        <w:jc w:val="both"/>
        <w:rPr>
          <w:lang w:val="en-GB"/>
        </w:rPr>
      </w:pPr>
      <w:r w:rsidRPr="00D0312C">
        <w:rPr>
          <w:lang w:val="en-GB"/>
        </w:rPr>
        <w:t>J:</w:t>
      </w:r>
      <w:r w:rsidRPr="002E0842">
        <w:rPr>
          <w:lang w:val="en-GB"/>
        </w:rPr>
        <w:t xml:space="preserve"> The subset of entries in A that were associated with the cytoskeleton.</w:t>
      </w:r>
    </w:p>
    <w:p w14:paraId="5D7FA5A5" w14:textId="77777777" w:rsidR="00AC2CA7" w:rsidRPr="002E0842" w:rsidRDefault="00AC2CA7" w:rsidP="00AC2CA7">
      <w:pPr>
        <w:jc w:val="both"/>
        <w:rPr>
          <w:lang w:val="en-GB"/>
        </w:rPr>
      </w:pPr>
      <w:r w:rsidRPr="00D0312C">
        <w:rPr>
          <w:lang w:val="en-GB"/>
        </w:rPr>
        <w:lastRenderedPageBreak/>
        <w:t>K:</w:t>
      </w:r>
      <w:r w:rsidRPr="002E0842">
        <w:rPr>
          <w:lang w:val="en-GB"/>
        </w:rPr>
        <w:t xml:space="preserve"> The subset of entries in A that were associated with signalling, including G-proteins, calcium, cell cycle, and adhesion.</w:t>
      </w:r>
    </w:p>
    <w:p w14:paraId="05029E69" w14:textId="77777777" w:rsidR="00AC2CA7" w:rsidRPr="002E0842" w:rsidRDefault="00AC2CA7" w:rsidP="00AC2CA7">
      <w:pPr>
        <w:jc w:val="both"/>
        <w:rPr>
          <w:lang w:val="en-GB"/>
        </w:rPr>
      </w:pPr>
    </w:p>
    <w:p w14:paraId="5083D219" w14:textId="77777777" w:rsidR="00AC2CA7" w:rsidRPr="002E0842" w:rsidRDefault="00AC2CA7" w:rsidP="00AC2CA7">
      <w:pPr>
        <w:jc w:val="both"/>
        <w:rPr>
          <w:lang w:val="en-GB"/>
        </w:rPr>
      </w:pPr>
      <w:r w:rsidRPr="00D0312C">
        <w:rPr>
          <w:lang w:val="en-GB"/>
        </w:rPr>
        <w:t>Table S4</w:t>
      </w:r>
      <w:r w:rsidRPr="002E0842">
        <w:rPr>
          <w:lang w:val="en-GB"/>
        </w:rPr>
        <w:t xml:space="preserve">: </w:t>
      </w:r>
      <w:r w:rsidRPr="00D0312C">
        <w:rPr>
          <w:lang w:val="en-GB"/>
        </w:rPr>
        <w:t xml:space="preserve">Merged total transcriptomic and proteomic data across the time course. </w:t>
      </w:r>
      <w:r w:rsidRPr="002E0842">
        <w:rPr>
          <w:lang w:val="en-GB"/>
        </w:rPr>
        <w:t xml:space="preserve">In this inclusive list, all proteins detected in at least one trial with ≥2 peptides and a protein FDR of ≤0.05 are shown, together with the number of peptides, the FDR for protein identification, and p-values and FDR-corrected p-values for significance of being up- or down-regulated. Series 1 (4 biological replicates) consisting of 1D experiments at 1 and 5 h of low oxygen are reported as 1% 5h/21% 0h.  Series 2 (3 biological replicates) consisting of 1D experiments at 5, 24, 25 (1 h reoxygenation) and 29 (5 h </w:t>
      </w:r>
      <w:proofErr w:type="spellStart"/>
      <w:r w:rsidRPr="002E0842">
        <w:rPr>
          <w:lang w:val="en-GB"/>
        </w:rPr>
        <w:t>reoxgenation</w:t>
      </w:r>
      <w:proofErr w:type="spellEnd"/>
      <w:r w:rsidRPr="002E0842">
        <w:rPr>
          <w:lang w:val="en-GB"/>
        </w:rPr>
        <w:t xml:space="preserve">) h of low oxygen are reported as 1% 5h/21% 0h). The two 5-h 2D analyses (reported as 1% 5h/21% 5h) are also included, as well as the reprocessed analyses from all six 5-h 1D analyses, separating results reported as 1% 5h/21% 5h or 1% 5h/21% 0h. All corresponding detected coding RNAs are aligned with their corresponding detected proteins. Transcriptomic data are expressed in log2 fold change (log2FC) along with their associated false discovery rate (FDR). Proteomic data are shown with both fold change (FC) and log2 fold change (log2FC), along with their respective p-values and FDR-corrected p-values. NA indicates data not assigned. These data support Tables S2 and S3. </w:t>
      </w:r>
    </w:p>
    <w:p w14:paraId="6C1FEC82" w14:textId="77777777" w:rsidR="00AC2CA7" w:rsidRPr="002E0842" w:rsidRDefault="00AC2CA7" w:rsidP="00AC2CA7">
      <w:pPr>
        <w:jc w:val="both"/>
        <w:rPr>
          <w:lang w:val="en-GB"/>
        </w:rPr>
      </w:pPr>
      <w:r w:rsidRPr="00D0312C">
        <w:rPr>
          <w:lang w:val="en-GB"/>
        </w:rPr>
        <w:t>Table S5: Gene Ontology annotation for transcripts regulated across the time course.</w:t>
      </w:r>
      <w:r w:rsidRPr="002E0842">
        <w:rPr>
          <w:lang w:val="en-GB"/>
        </w:rPr>
        <w:br/>
        <w:t xml:space="preserve">Transcripts that were differentially regulated (log2≥1 or log2FC≤-1; FDR&lt;0.05) at 1 h, 1 h and 5 h, 24 h, and 24 h reoxygenation were </w:t>
      </w:r>
      <w:proofErr w:type="spellStart"/>
      <w:r w:rsidRPr="002E0842">
        <w:rPr>
          <w:lang w:val="en-GB"/>
        </w:rPr>
        <w:t>analyzed</w:t>
      </w:r>
      <w:proofErr w:type="spellEnd"/>
      <w:r w:rsidRPr="002E0842">
        <w:rPr>
          <w:lang w:val="en-GB"/>
        </w:rPr>
        <w:t xml:space="preserve"> with DAVID, using </w:t>
      </w:r>
      <w:proofErr w:type="spellStart"/>
      <w:r w:rsidRPr="002E0842">
        <w:rPr>
          <w:color w:val="000000" w:themeColor="text1"/>
          <w:lang w:val="en-GB"/>
        </w:rPr>
        <w:t>dictyBase_IDs</w:t>
      </w:r>
      <w:proofErr w:type="spellEnd"/>
      <w:r w:rsidRPr="002E0842">
        <w:rPr>
          <w:color w:val="000000" w:themeColor="text1"/>
          <w:lang w:val="en-GB"/>
        </w:rPr>
        <w:t xml:space="preserve">. </w:t>
      </w:r>
      <w:r w:rsidRPr="002E0842">
        <w:rPr>
          <w:lang w:val="en-GB"/>
        </w:rPr>
        <w:t xml:space="preserve">The direct GO terms associated with the biological functions are listed in this table. For each function, the number of genes in the provided list (count), as well as the relative percentage (%) compared to the total number of transcripts in the list (list total), are annotated. The IDs of the associated transcripts (gene) are also provided. Additionally, the fold enrichment was calculated using the 7519 genes annotated with </w:t>
      </w:r>
      <w:proofErr w:type="spellStart"/>
      <w:r w:rsidRPr="002E0842">
        <w:rPr>
          <w:lang w:val="en-GB"/>
        </w:rPr>
        <w:t>dictyBase_IDs</w:t>
      </w:r>
      <w:proofErr w:type="spellEnd"/>
      <w:r w:rsidRPr="002E0842">
        <w:rPr>
          <w:lang w:val="en-GB"/>
        </w:rPr>
        <w:t>. Three statistical tests are provided (</w:t>
      </w:r>
      <w:proofErr w:type="spellStart"/>
      <w:r w:rsidRPr="002E0842">
        <w:rPr>
          <w:lang w:val="en-GB"/>
        </w:rPr>
        <w:t>Benjamini</w:t>
      </w:r>
      <w:proofErr w:type="spellEnd"/>
      <w:r w:rsidRPr="002E0842">
        <w:rPr>
          <w:lang w:val="en-GB"/>
        </w:rPr>
        <w:t xml:space="preserve">, Bonferroni, and FDR) to determine if the fold enrichment is statistically different from what is expected under controlled conditions. In this study, only fold enrichments with FDR&lt;0.05 were </w:t>
      </w:r>
      <w:proofErr w:type="spellStart"/>
      <w:r w:rsidRPr="002E0842">
        <w:rPr>
          <w:lang w:val="en-GB"/>
        </w:rPr>
        <w:t>analyzed</w:t>
      </w:r>
      <w:proofErr w:type="spellEnd"/>
      <w:r w:rsidRPr="002E0842">
        <w:rPr>
          <w:lang w:val="en-GB"/>
        </w:rPr>
        <w:t xml:space="preserve">. These data support Figs. </w:t>
      </w:r>
      <w:r w:rsidRPr="002E0842">
        <w:rPr>
          <w:color w:val="000000" w:themeColor="text1"/>
          <w:lang w:val="en-GB"/>
        </w:rPr>
        <w:t>3B, Fig. 5B and C, Fig. 6B.</w:t>
      </w:r>
    </w:p>
    <w:p w14:paraId="1FC138DB" w14:textId="77777777" w:rsidR="00AC2CA7" w:rsidRPr="002E0842" w:rsidRDefault="00AC2CA7" w:rsidP="00AC2CA7">
      <w:pPr>
        <w:jc w:val="both"/>
        <w:rPr>
          <w:lang w:val="en-GB"/>
        </w:rPr>
      </w:pPr>
      <w:r w:rsidRPr="00D0312C">
        <w:rPr>
          <w:lang w:val="en-GB"/>
        </w:rPr>
        <w:t>A:</w:t>
      </w:r>
      <w:r w:rsidRPr="002E0842">
        <w:rPr>
          <w:lang w:val="en-GB"/>
        </w:rPr>
        <w:t xml:space="preserve"> Biological functions associated with transcripts regulated after 1 h in hypoxia. </w:t>
      </w:r>
    </w:p>
    <w:p w14:paraId="52AEE653" w14:textId="77777777" w:rsidR="00AC2CA7" w:rsidRPr="00D0312C" w:rsidRDefault="00AC2CA7" w:rsidP="00AC2CA7">
      <w:pPr>
        <w:jc w:val="both"/>
        <w:rPr>
          <w:lang w:val="en-GB"/>
        </w:rPr>
      </w:pPr>
      <w:r w:rsidRPr="00D0312C">
        <w:rPr>
          <w:lang w:val="en-GB"/>
        </w:rPr>
        <w:t>B:</w:t>
      </w:r>
      <w:r w:rsidRPr="002E0842">
        <w:rPr>
          <w:lang w:val="en-GB"/>
        </w:rPr>
        <w:t xml:space="preserve"> Biological function associated with transcripts regulated at 1h and 5 h hypoxia. </w:t>
      </w:r>
    </w:p>
    <w:p w14:paraId="1AC6E3E8" w14:textId="77777777" w:rsidR="00AC2CA7" w:rsidRPr="002E0842" w:rsidRDefault="00AC2CA7" w:rsidP="00AC2CA7">
      <w:pPr>
        <w:jc w:val="both"/>
        <w:rPr>
          <w:lang w:val="en-GB"/>
        </w:rPr>
      </w:pPr>
      <w:r w:rsidRPr="00D0312C">
        <w:rPr>
          <w:lang w:val="en-GB"/>
        </w:rPr>
        <w:t>C:</w:t>
      </w:r>
      <w:r w:rsidRPr="002E0842">
        <w:rPr>
          <w:lang w:val="en-GB"/>
        </w:rPr>
        <w:t xml:space="preserve"> Biological functions associated with transcripts regulated during chronic hypoxia (24 h) and reoxygenation. </w:t>
      </w:r>
    </w:p>
    <w:p w14:paraId="5B220862" w14:textId="77777777" w:rsidR="00AC2CA7" w:rsidRPr="002E0842" w:rsidRDefault="00AC2CA7" w:rsidP="00AC2CA7">
      <w:pPr>
        <w:jc w:val="both"/>
        <w:rPr>
          <w:lang w:val="en-GB"/>
        </w:rPr>
      </w:pPr>
      <w:r w:rsidRPr="00D0312C">
        <w:rPr>
          <w:lang w:val="en-GB"/>
        </w:rPr>
        <w:t>D:</w:t>
      </w:r>
      <w:r w:rsidRPr="002E0842">
        <w:rPr>
          <w:lang w:val="en-GB"/>
        </w:rPr>
        <w:t xml:space="preserve"> Biological functions associated with transcripts regulated at 24 h.  </w:t>
      </w:r>
    </w:p>
    <w:p w14:paraId="43A86DEB" w14:textId="77777777" w:rsidR="00AC2CA7" w:rsidRPr="002E0842" w:rsidRDefault="00AC2CA7" w:rsidP="00AC2CA7">
      <w:pPr>
        <w:jc w:val="both"/>
        <w:rPr>
          <w:lang w:val="en-GB"/>
        </w:rPr>
      </w:pPr>
    </w:p>
    <w:tbl>
      <w:tblPr>
        <w:tblW w:w="7780" w:type="dxa"/>
        <w:jc w:val="center"/>
        <w:tblCellMar>
          <w:left w:w="0" w:type="dxa"/>
          <w:right w:w="0" w:type="dxa"/>
        </w:tblCellMar>
        <w:tblLook w:val="0600" w:firstRow="0" w:lastRow="0" w:firstColumn="0" w:lastColumn="0" w:noHBand="1" w:noVBand="1"/>
      </w:tblPr>
      <w:tblGrid>
        <w:gridCol w:w="2395"/>
        <w:gridCol w:w="1376"/>
        <w:gridCol w:w="1376"/>
        <w:gridCol w:w="1257"/>
        <w:gridCol w:w="1376"/>
      </w:tblGrid>
      <w:tr w:rsidR="00AC2CA7" w:rsidRPr="009F3BA5" w14:paraId="0657A506" w14:textId="77777777" w:rsidTr="00D0312C">
        <w:trPr>
          <w:trHeight w:val="480"/>
          <w:jc w:val="center"/>
        </w:trPr>
        <w:tc>
          <w:tcPr>
            <w:tcW w:w="2400" w:type="dxa"/>
            <w:tcBorders>
              <w:top w:val="single" w:sz="8" w:space="0" w:color="000000"/>
              <w:left w:val="single" w:sz="8" w:space="0" w:color="000000"/>
              <w:bottom w:val="single" w:sz="8" w:space="0" w:color="000000"/>
              <w:right w:val="nil"/>
            </w:tcBorders>
            <w:shd w:val="clear" w:color="auto" w:fill="auto"/>
            <w:tcMar>
              <w:top w:w="11" w:type="dxa"/>
              <w:left w:w="11" w:type="dxa"/>
              <w:bottom w:w="0" w:type="dxa"/>
              <w:right w:w="11" w:type="dxa"/>
            </w:tcMar>
            <w:vAlign w:val="bottom"/>
            <w:hideMark/>
          </w:tcPr>
          <w:p w14:paraId="2F8DB3CD" w14:textId="77777777" w:rsidR="00AC2CA7" w:rsidRPr="00973632" w:rsidRDefault="00AC2CA7" w:rsidP="00D0312C">
            <w:pPr>
              <w:jc w:val="center"/>
              <w:rPr>
                <w:rFonts w:ascii="Arial" w:hAnsi="Arial" w:cs="Arial"/>
                <w:sz w:val="18"/>
                <w:szCs w:val="18"/>
                <w:lang w:val="en-GB"/>
              </w:rPr>
            </w:pPr>
            <w:r w:rsidRPr="00973632">
              <w:rPr>
                <w:rFonts w:ascii="Arial" w:hAnsi="Arial" w:cs="Arial"/>
                <w:sz w:val="18"/>
                <w:szCs w:val="18"/>
                <w:lang w:val="en-GB"/>
              </w:rPr>
              <w:t xml:space="preserve">Percentage of induction </w:t>
            </w:r>
          </w:p>
        </w:tc>
        <w:tc>
          <w:tcPr>
            <w:tcW w:w="1380"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bottom"/>
            <w:hideMark/>
          </w:tcPr>
          <w:p w14:paraId="6A379ABC" w14:textId="77777777" w:rsidR="00AC2CA7" w:rsidRPr="00973632" w:rsidRDefault="00AC2CA7" w:rsidP="00D0312C">
            <w:pPr>
              <w:jc w:val="center"/>
              <w:rPr>
                <w:rFonts w:ascii="Arial" w:hAnsi="Arial" w:cs="Arial"/>
                <w:sz w:val="18"/>
                <w:szCs w:val="18"/>
              </w:rPr>
            </w:pPr>
            <w:proofErr w:type="spellStart"/>
            <w:proofErr w:type="gramStart"/>
            <w:r w:rsidRPr="00973632">
              <w:rPr>
                <w:rFonts w:ascii="Arial" w:hAnsi="Arial" w:cs="Arial"/>
                <w:i/>
                <w:iCs/>
                <w:sz w:val="18"/>
                <w:szCs w:val="18"/>
              </w:rPr>
              <w:t>srsA</w:t>
            </w:r>
            <w:proofErr w:type="spellEnd"/>
            <w:proofErr w:type="gramEnd"/>
          </w:p>
        </w:tc>
        <w:tc>
          <w:tcPr>
            <w:tcW w:w="1380"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bottom"/>
            <w:hideMark/>
          </w:tcPr>
          <w:p w14:paraId="72380146" w14:textId="77777777" w:rsidR="00AC2CA7" w:rsidRPr="00973632" w:rsidRDefault="00AC2CA7" w:rsidP="00D0312C">
            <w:pPr>
              <w:jc w:val="center"/>
              <w:rPr>
                <w:rFonts w:ascii="Arial" w:hAnsi="Arial" w:cs="Arial"/>
                <w:sz w:val="18"/>
                <w:szCs w:val="18"/>
              </w:rPr>
            </w:pPr>
            <w:proofErr w:type="spellStart"/>
            <w:proofErr w:type="gramStart"/>
            <w:r w:rsidRPr="00973632">
              <w:rPr>
                <w:rFonts w:ascii="Arial" w:hAnsi="Arial" w:cs="Arial"/>
                <w:i/>
                <w:iCs/>
                <w:sz w:val="18"/>
                <w:szCs w:val="18"/>
              </w:rPr>
              <w:t>fhbB</w:t>
            </w:r>
            <w:proofErr w:type="spellEnd"/>
            <w:proofErr w:type="gramEnd"/>
          </w:p>
        </w:tc>
        <w:tc>
          <w:tcPr>
            <w:tcW w:w="1260"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bottom"/>
            <w:hideMark/>
          </w:tcPr>
          <w:p w14:paraId="6995D89B" w14:textId="77777777" w:rsidR="00AC2CA7" w:rsidRPr="00973632" w:rsidRDefault="00AC2CA7" w:rsidP="00D0312C">
            <w:pPr>
              <w:jc w:val="center"/>
              <w:rPr>
                <w:rFonts w:ascii="Arial" w:hAnsi="Arial" w:cs="Arial"/>
                <w:sz w:val="18"/>
                <w:szCs w:val="18"/>
              </w:rPr>
            </w:pPr>
            <w:proofErr w:type="spellStart"/>
            <w:proofErr w:type="gramStart"/>
            <w:r w:rsidRPr="00973632">
              <w:rPr>
                <w:rFonts w:ascii="Arial" w:hAnsi="Arial" w:cs="Arial"/>
                <w:i/>
                <w:iCs/>
                <w:sz w:val="18"/>
                <w:szCs w:val="18"/>
              </w:rPr>
              <w:t>rabR</w:t>
            </w:r>
            <w:proofErr w:type="spellEnd"/>
            <w:proofErr w:type="gramEnd"/>
          </w:p>
        </w:tc>
        <w:tc>
          <w:tcPr>
            <w:tcW w:w="1380" w:type="dxa"/>
            <w:tcBorders>
              <w:top w:val="single" w:sz="8" w:space="0" w:color="000000"/>
              <w:left w:val="nil"/>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4A3AE04" w14:textId="77777777" w:rsidR="00AC2CA7" w:rsidRPr="00973632" w:rsidRDefault="00AC2CA7" w:rsidP="00D0312C">
            <w:pPr>
              <w:jc w:val="center"/>
              <w:rPr>
                <w:rFonts w:ascii="Arial" w:hAnsi="Arial" w:cs="Arial"/>
                <w:sz w:val="18"/>
                <w:szCs w:val="18"/>
              </w:rPr>
            </w:pPr>
            <w:proofErr w:type="spellStart"/>
            <w:proofErr w:type="gramStart"/>
            <w:r w:rsidRPr="00973632">
              <w:rPr>
                <w:rFonts w:ascii="Arial" w:hAnsi="Arial" w:cs="Arial"/>
                <w:i/>
                <w:iCs/>
                <w:sz w:val="18"/>
                <w:szCs w:val="18"/>
              </w:rPr>
              <w:t>cxgS</w:t>
            </w:r>
            <w:proofErr w:type="spellEnd"/>
            <w:proofErr w:type="gramEnd"/>
          </w:p>
        </w:tc>
      </w:tr>
      <w:tr w:rsidR="00AC2CA7" w:rsidRPr="009F3BA5" w14:paraId="5447B7D7" w14:textId="77777777" w:rsidTr="00D0312C">
        <w:trPr>
          <w:trHeight w:val="542"/>
          <w:jc w:val="center"/>
        </w:trPr>
        <w:tc>
          <w:tcPr>
            <w:tcW w:w="2400" w:type="dxa"/>
            <w:tcBorders>
              <w:top w:val="single" w:sz="8" w:space="0" w:color="000000"/>
              <w:left w:val="single" w:sz="8" w:space="0" w:color="000000"/>
              <w:bottom w:val="single" w:sz="8" w:space="0" w:color="000000"/>
              <w:right w:val="single" w:sz="8" w:space="0" w:color="FFFFFF"/>
            </w:tcBorders>
            <w:shd w:val="clear" w:color="auto" w:fill="FFFFFF"/>
            <w:tcMar>
              <w:top w:w="11" w:type="dxa"/>
              <w:left w:w="11" w:type="dxa"/>
              <w:bottom w:w="0" w:type="dxa"/>
              <w:right w:w="11" w:type="dxa"/>
            </w:tcMar>
            <w:vAlign w:val="bottom"/>
            <w:hideMark/>
          </w:tcPr>
          <w:p w14:paraId="6B629B4A" w14:textId="77777777" w:rsidR="00AC2CA7" w:rsidRPr="009F3BA5" w:rsidRDefault="00AC2CA7" w:rsidP="00D0312C">
            <w:pPr>
              <w:jc w:val="center"/>
              <w:rPr>
                <w:rFonts w:ascii="Arial" w:hAnsi="Arial" w:cs="Arial"/>
                <w:sz w:val="18"/>
                <w:szCs w:val="18"/>
              </w:rPr>
            </w:pPr>
            <w:r w:rsidRPr="009F3BA5">
              <w:rPr>
                <w:rFonts w:ascii="Arial" w:hAnsi="Arial" w:cs="Arial"/>
                <w:sz w:val="18"/>
                <w:szCs w:val="18"/>
              </w:rPr>
              <w:t>DMOG</w:t>
            </w:r>
          </w:p>
        </w:tc>
        <w:tc>
          <w:tcPr>
            <w:tcW w:w="1380" w:type="dxa"/>
            <w:tcBorders>
              <w:top w:val="single" w:sz="8" w:space="0" w:color="000000"/>
              <w:left w:val="single" w:sz="8" w:space="0" w:color="FFFFFF"/>
              <w:bottom w:val="single" w:sz="8" w:space="0" w:color="000000"/>
              <w:right w:val="single" w:sz="8" w:space="0" w:color="FFFFFF"/>
            </w:tcBorders>
            <w:shd w:val="clear" w:color="auto" w:fill="FFFFFF"/>
            <w:tcMar>
              <w:top w:w="11" w:type="dxa"/>
              <w:left w:w="11" w:type="dxa"/>
              <w:bottom w:w="0" w:type="dxa"/>
              <w:right w:w="11" w:type="dxa"/>
            </w:tcMar>
            <w:vAlign w:val="bottom"/>
            <w:hideMark/>
          </w:tcPr>
          <w:p w14:paraId="40EC43FE" w14:textId="77777777" w:rsidR="00AC2CA7" w:rsidRPr="009F3BA5" w:rsidRDefault="00AC2CA7" w:rsidP="00D0312C">
            <w:pPr>
              <w:jc w:val="center"/>
              <w:rPr>
                <w:rFonts w:ascii="Arial" w:hAnsi="Arial" w:cs="Arial"/>
                <w:sz w:val="18"/>
                <w:szCs w:val="18"/>
              </w:rPr>
            </w:pPr>
            <w:r w:rsidRPr="009F3BA5">
              <w:rPr>
                <w:rFonts w:ascii="Arial" w:hAnsi="Arial" w:cs="Arial"/>
                <w:sz w:val="18"/>
                <w:szCs w:val="18"/>
              </w:rPr>
              <w:t>0,3 ± 0,3</w:t>
            </w:r>
          </w:p>
        </w:tc>
        <w:tc>
          <w:tcPr>
            <w:tcW w:w="1380" w:type="dxa"/>
            <w:tcBorders>
              <w:top w:val="single" w:sz="8" w:space="0" w:color="000000"/>
              <w:left w:val="single" w:sz="8" w:space="0" w:color="FFFFFF"/>
              <w:bottom w:val="single" w:sz="8" w:space="0" w:color="000000"/>
              <w:right w:val="single" w:sz="8" w:space="0" w:color="FFFFFF"/>
            </w:tcBorders>
            <w:shd w:val="clear" w:color="auto" w:fill="FFFFFF"/>
            <w:tcMar>
              <w:top w:w="11" w:type="dxa"/>
              <w:left w:w="11" w:type="dxa"/>
              <w:bottom w:w="0" w:type="dxa"/>
              <w:right w:w="11" w:type="dxa"/>
            </w:tcMar>
            <w:vAlign w:val="bottom"/>
            <w:hideMark/>
          </w:tcPr>
          <w:p w14:paraId="42F94682" w14:textId="77777777" w:rsidR="00AC2CA7" w:rsidRPr="009F3BA5" w:rsidRDefault="00AC2CA7" w:rsidP="00D0312C">
            <w:pPr>
              <w:jc w:val="center"/>
              <w:rPr>
                <w:rFonts w:ascii="Arial" w:hAnsi="Arial" w:cs="Arial"/>
                <w:sz w:val="18"/>
                <w:szCs w:val="18"/>
              </w:rPr>
            </w:pPr>
            <w:r w:rsidRPr="009F3BA5">
              <w:rPr>
                <w:rFonts w:ascii="Arial" w:hAnsi="Arial" w:cs="Arial"/>
                <w:sz w:val="18"/>
                <w:szCs w:val="18"/>
              </w:rPr>
              <w:t>2 ± 0,4</w:t>
            </w:r>
          </w:p>
        </w:tc>
        <w:tc>
          <w:tcPr>
            <w:tcW w:w="1260" w:type="dxa"/>
            <w:tcBorders>
              <w:top w:val="single" w:sz="8" w:space="0" w:color="000000"/>
              <w:left w:val="single" w:sz="8" w:space="0" w:color="FFFFFF"/>
              <w:bottom w:val="single" w:sz="8" w:space="0" w:color="000000"/>
              <w:right w:val="single" w:sz="8" w:space="0" w:color="FFFFFF"/>
            </w:tcBorders>
            <w:shd w:val="clear" w:color="auto" w:fill="FFFFFF"/>
            <w:tcMar>
              <w:top w:w="11" w:type="dxa"/>
              <w:left w:w="11" w:type="dxa"/>
              <w:bottom w:w="0" w:type="dxa"/>
              <w:right w:w="11" w:type="dxa"/>
            </w:tcMar>
            <w:vAlign w:val="bottom"/>
            <w:hideMark/>
          </w:tcPr>
          <w:p w14:paraId="7012BDE5" w14:textId="77777777" w:rsidR="00AC2CA7" w:rsidRPr="009F3BA5" w:rsidRDefault="00AC2CA7" w:rsidP="00D0312C">
            <w:pPr>
              <w:jc w:val="center"/>
              <w:rPr>
                <w:rFonts w:ascii="Arial" w:hAnsi="Arial" w:cs="Arial"/>
                <w:sz w:val="18"/>
                <w:szCs w:val="18"/>
              </w:rPr>
            </w:pPr>
            <w:r w:rsidRPr="009F3BA5">
              <w:rPr>
                <w:rFonts w:ascii="Arial" w:hAnsi="Arial" w:cs="Arial"/>
                <w:sz w:val="18"/>
                <w:szCs w:val="18"/>
              </w:rPr>
              <w:t>0,10 ± 0,04</w:t>
            </w:r>
          </w:p>
        </w:tc>
        <w:tc>
          <w:tcPr>
            <w:tcW w:w="1380" w:type="dxa"/>
            <w:tcBorders>
              <w:top w:val="single" w:sz="8" w:space="0" w:color="000000"/>
              <w:left w:val="single" w:sz="8" w:space="0" w:color="FFFFFF"/>
              <w:bottom w:val="single" w:sz="8" w:space="0" w:color="000000"/>
              <w:right w:val="single" w:sz="8" w:space="0" w:color="000000"/>
            </w:tcBorders>
            <w:shd w:val="clear" w:color="auto" w:fill="FFFFFF"/>
            <w:tcMar>
              <w:top w:w="11" w:type="dxa"/>
              <w:left w:w="11" w:type="dxa"/>
              <w:bottom w:w="0" w:type="dxa"/>
              <w:right w:w="11" w:type="dxa"/>
            </w:tcMar>
            <w:vAlign w:val="bottom"/>
            <w:hideMark/>
          </w:tcPr>
          <w:p w14:paraId="1A0BDDC6" w14:textId="77777777" w:rsidR="00AC2CA7" w:rsidRPr="009F3BA5" w:rsidRDefault="00AC2CA7" w:rsidP="00D0312C">
            <w:pPr>
              <w:jc w:val="center"/>
              <w:rPr>
                <w:rFonts w:ascii="Arial" w:hAnsi="Arial" w:cs="Arial"/>
                <w:sz w:val="18"/>
                <w:szCs w:val="18"/>
              </w:rPr>
            </w:pPr>
            <w:r w:rsidRPr="009F3BA5">
              <w:rPr>
                <w:rFonts w:ascii="Arial" w:hAnsi="Arial" w:cs="Arial"/>
                <w:sz w:val="18"/>
                <w:szCs w:val="18"/>
              </w:rPr>
              <w:t>1 ± 0,5</w:t>
            </w:r>
          </w:p>
        </w:tc>
      </w:tr>
      <w:tr w:rsidR="00AC2CA7" w:rsidRPr="009F3BA5" w14:paraId="08619A39" w14:textId="77777777" w:rsidTr="00D0312C">
        <w:trPr>
          <w:trHeight w:val="531"/>
          <w:jc w:val="center"/>
        </w:trPr>
        <w:tc>
          <w:tcPr>
            <w:tcW w:w="2400" w:type="dxa"/>
            <w:tcBorders>
              <w:top w:val="single" w:sz="8" w:space="0" w:color="000000"/>
              <w:left w:val="single" w:sz="8" w:space="0" w:color="000000"/>
              <w:bottom w:val="single" w:sz="8" w:space="0" w:color="000000"/>
              <w:right w:val="single" w:sz="8" w:space="0" w:color="FFFFFF"/>
            </w:tcBorders>
            <w:shd w:val="clear" w:color="auto" w:fill="FFFFFF"/>
            <w:tcMar>
              <w:top w:w="11" w:type="dxa"/>
              <w:left w:w="11" w:type="dxa"/>
              <w:bottom w:w="0" w:type="dxa"/>
              <w:right w:w="11" w:type="dxa"/>
            </w:tcMar>
            <w:vAlign w:val="bottom"/>
            <w:hideMark/>
          </w:tcPr>
          <w:p w14:paraId="5E6494CF" w14:textId="77777777" w:rsidR="00AC2CA7" w:rsidRPr="009F3BA5" w:rsidRDefault="00AC2CA7" w:rsidP="00D0312C">
            <w:pPr>
              <w:jc w:val="center"/>
              <w:rPr>
                <w:rFonts w:ascii="Arial" w:hAnsi="Arial" w:cs="Arial"/>
                <w:sz w:val="18"/>
                <w:szCs w:val="18"/>
              </w:rPr>
            </w:pPr>
            <w:r w:rsidRPr="009F3BA5">
              <w:rPr>
                <w:rFonts w:ascii="Arial" w:hAnsi="Arial" w:cs="Arial"/>
                <w:sz w:val="18"/>
                <w:szCs w:val="18"/>
              </w:rPr>
              <w:t>C</w:t>
            </w:r>
            <w:r>
              <w:rPr>
                <w:rFonts w:ascii="Arial" w:hAnsi="Arial" w:cs="Arial"/>
                <w:sz w:val="18"/>
                <w:szCs w:val="18"/>
              </w:rPr>
              <w:t>o</w:t>
            </w:r>
            <w:r w:rsidRPr="009F3BA5">
              <w:rPr>
                <w:rFonts w:ascii="Arial" w:hAnsi="Arial" w:cs="Arial"/>
                <w:sz w:val="18"/>
                <w:szCs w:val="18"/>
              </w:rPr>
              <w:t>Cl</w:t>
            </w:r>
            <w:r w:rsidRPr="009F3BA5">
              <w:rPr>
                <w:rFonts w:ascii="Arial" w:hAnsi="Arial" w:cs="Arial"/>
                <w:sz w:val="18"/>
                <w:szCs w:val="18"/>
                <w:vertAlign w:val="subscript"/>
              </w:rPr>
              <w:t>2</w:t>
            </w:r>
          </w:p>
        </w:tc>
        <w:tc>
          <w:tcPr>
            <w:tcW w:w="1380" w:type="dxa"/>
            <w:tcBorders>
              <w:top w:val="single" w:sz="8" w:space="0" w:color="000000"/>
              <w:left w:val="single" w:sz="8" w:space="0" w:color="FFFFFF"/>
              <w:bottom w:val="single" w:sz="8" w:space="0" w:color="000000"/>
              <w:right w:val="single" w:sz="8" w:space="0" w:color="FFFFFF"/>
            </w:tcBorders>
            <w:shd w:val="clear" w:color="auto" w:fill="FFFFFF"/>
            <w:tcMar>
              <w:top w:w="11" w:type="dxa"/>
              <w:left w:w="11" w:type="dxa"/>
              <w:bottom w:w="0" w:type="dxa"/>
              <w:right w:w="11" w:type="dxa"/>
            </w:tcMar>
            <w:vAlign w:val="bottom"/>
            <w:hideMark/>
          </w:tcPr>
          <w:p w14:paraId="53ADC401" w14:textId="77777777" w:rsidR="00AC2CA7" w:rsidRPr="009F3BA5" w:rsidRDefault="00AC2CA7" w:rsidP="00D0312C">
            <w:pPr>
              <w:jc w:val="center"/>
              <w:rPr>
                <w:rFonts w:ascii="Arial" w:hAnsi="Arial" w:cs="Arial"/>
                <w:sz w:val="18"/>
                <w:szCs w:val="18"/>
              </w:rPr>
            </w:pPr>
            <w:r w:rsidRPr="009F3BA5">
              <w:rPr>
                <w:rFonts w:ascii="Arial" w:hAnsi="Arial" w:cs="Arial"/>
                <w:sz w:val="18"/>
                <w:szCs w:val="18"/>
              </w:rPr>
              <w:t>0,03 ± 0,02</w:t>
            </w:r>
          </w:p>
        </w:tc>
        <w:tc>
          <w:tcPr>
            <w:tcW w:w="1380" w:type="dxa"/>
            <w:tcBorders>
              <w:top w:val="single" w:sz="8" w:space="0" w:color="000000"/>
              <w:left w:val="single" w:sz="8" w:space="0" w:color="FFFFFF"/>
              <w:bottom w:val="single" w:sz="8" w:space="0" w:color="000000"/>
              <w:right w:val="single" w:sz="8" w:space="0" w:color="FFFFFF"/>
            </w:tcBorders>
            <w:shd w:val="clear" w:color="auto" w:fill="FFFFFF"/>
            <w:tcMar>
              <w:top w:w="11" w:type="dxa"/>
              <w:left w:w="11" w:type="dxa"/>
              <w:bottom w:w="0" w:type="dxa"/>
              <w:right w:w="11" w:type="dxa"/>
            </w:tcMar>
            <w:vAlign w:val="bottom"/>
            <w:hideMark/>
          </w:tcPr>
          <w:p w14:paraId="4C454F67" w14:textId="77777777" w:rsidR="00AC2CA7" w:rsidRPr="009F3BA5" w:rsidRDefault="00AC2CA7" w:rsidP="00D0312C">
            <w:pPr>
              <w:jc w:val="center"/>
              <w:rPr>
                <w:rFonts w:ascii="Arial" w:hAnsi="Arial" w:cs="Arial"/>
                <w:sz w:val="18"/>
                <w:szCs w:val="18"/>
              </w:rPr>
            </w:pPr>
            <w:r w:rsidRPr="009F3BA5">
              <w:rPr>
                <w:rFonts w:ascii="Arial" w:hAnsi="Arial" w:cs="Arial"/>
                <w:sz w:val="18"/>
                <w:szCs w:val="18"/>
              </w:rPr>
              <w:t>2 ± 0,4</w:t>
            </w:r>
          </w:p>
        </w:tc>
        <w:tc>
          <w:tcPr>
            <w:tcW w:w="1260" w:type="dxa"/>
            <w:tcBorders>
              <w:top w:val="single" w:sz="8" w:space="0" w:color="000000"/>
              <w:left w:val="single" w:sz="8" w:space="0" w:color="FFFFFF"/>
              <w:bottom w:val="single" w:sz="8" w:space="0" w:color="000000"/>
              <w:right w:val="single" w:sz="8" w:space="0" w:color="FFFFFF"/>
            </w:tcBorders>
            <w:shd w:val="clear" w:color="auto" w:fill="FFFFFF"/>
            <w:tcMar>
              <w:top w:w="11" w:type="dxa"/>
              <w:left w:w="11" w:type="dxa"/>
              <w:bottom w:w="0" w:type="dxa"/>
              <w:right w:w="11" w:type="dxa"/>
            </w:tcMar>
            <w:vAlign w:val="bottom"/>
            <w:hideMark/>
          </w:tcPr>
          <w:p w14:paraId="1A03F19F" w14:textId="77777777" w:rsidR="00AC2CA7" w:rsidRPr="009F3BA5" w:rsidRDefault="00AC2CA7" w:rsidP="00D0312C">
            <w:pPr>
              <w:jc w:val="center"/>
              <w:rPr>
                <w:rFonts w:ascii="Arial" w:hAnsi="Arial" w:cs="Arial"/>
                <w:sz w:val="18"/>
                <w:szCs w:val="18"/>
              </w:rPr>
            </w:pPr>
            <w:r w:rsidRPr="009F3BA5">
              <w:rPr>
                <w:rFonts w:ascii="Arial" w:hAnsi="Arial" w:cs="Arial"/>
                <w:sz w:val="18"/>
                <w:szCs w:val="18"/>
              </w:rPr>
              <w:t>0,1 ± 0,04</w:t>
            </w:r>
          </w:p>
        </w:tc>
        <w:tc>
          <w:tcPr>
            <w:tcW w:w="1380" w:type="dxa"/>
            <w:tcBorders>
              <w:top w:val="single" w:sz="8" w:space="0" w:color="000000"/>
              <w:left w:val="single" w:sz="8" w:space="0" w:color="FFFFFF"/>
              <w:bottom w:val="single" w:sz="8" w:space="0" w:color="000000"/>
              <w:right w:val="single" w:sz="8" w:space="0" w:color="000000"/>
            </w:tcBorders>
            <w:shd w:val="clear" w:color="auto" w:fill="FFFFFF"/>
            <w:tcMar>
              <w:top w:w="11" w:type="dxa"/>
              <w:left w:w="11" w:type="dxa"/>
              <w:bottom w:w="0" w:type="dxa"/>
              <w:right w:w="11" w:type="dxa"/>
            </w:tcMar>
            <w:vAlign w:val="bottom"/>
            <w:hideMark/>
          </w:tcPr>
          <w:p w14:paraId="24591404" w14:textId="77777777" w:rsidR="00AC2CA7" w:rsidRPr="009F3BA5" w:rsidRDefault="00AC2CA7" w:rsidP="00D0312C">
            <w:pPr>
              <w:jc w:val="center"/>
              <w:rPr>
                <w:rFonts w:ascii="Arial" w:hAnsi="Arial" w:cs="Arial"/>
                <w:sz w:val="18"/>
                <w:szCs w:val="18"/>
              </w:rPr>
            </w:pPr>
            <w:r w:rsidRPr="009F3BA5">
              <w:rPr>
                <w:rFonts w:ascii="Arial" w:hAnsi="Arial" w:cs="Arial"/>
                <w:sz w:val="18"/>
                <w:szCs w:val="18"/>
              </w:rPr>
              <w:t>1 ± 0,2</w:t>
            </w:r>
          </w:p>
        </w:tc>
      </w:tr>
      <w:tr w:rsidR="00AC2CA7" w:rsidRPr="009F3BA5" w14:paraId="54D18283" w14:textId="77777777" w:rsidTr="00D0312C">
        <w:trPr>
          <w:trHeight w:val="424"/>
          <w:jc w:val="center"/>
        </w:trPr>
        <w:tc>
          <w:tcPr>
            <w:tcW w:w="2400" w:type="dxa"/>
            <w:tcBorders>
              <w:top w:val="single" w:sz="8" w:space="0" w:color="000000"/>
              <w:left w:val="single" w:sz="8" w:space="0" w:color="000000"/>
              <w:bottom w:val="single" w:sz="8" w:space="0" w:color="000000"/>
              <w:right w:val="single" w:sz="8" w:space="0" w:color="FFFFFF"/>
            </w:tcBorders>
            <w:shd w:val="clear" w:color="auto" w:fill="FFFFFF"/>
            <w:tcMar>
              <w:top w:w="11" w:type="dxa"/>
              <w:left w:w="11" w:type="dxa"/>
              <w:bottom w:w="0" w:type="dxa"/>
              <w:right w:w="11" w:type="dxa"/>
            </w:tcMar>
            <w:vAlign w:val="bottom"/>
            <w:hideMark/>
          </w:tcPr>
          <w:p w14:paraId="23663C19" w14:textId="77777777" w:rsidR="00AC2CA7" w:rsidRPr="009F3BA5" w:rsidRDefault="00AC2CA7" w:rsidP="00D0312C">
            <w:pPr>
              <w:jc w:val="center"/>
              <w:rPr>
                <w:rFonts w:ascii="Arial" w:hAnsi="Arial" w:cs="Arial"/>
                <w:sz w:val="18"/>
                <w:szCs w:val="18"/>
              </w:rPr>
            </w:pPr>
            <w:proofErr w:type="spellStart"/>
            <w:r w:rsidRPr="009F3BA5">
              <w:rPr>
                <w:rFonts w:ascii="Arial" w:hAnsi="Arial" w:cs="Arial"/>
                <w:sz w:val="18"/>
                <w:szCs w:val="18"/>
              </w:rPr>
              <w:t>Deferoxamine</w:t>
            </w:r>
            <w:proofErr w:type="spellEnd"/>
          </w:p>
        </w:tc>
        <w:tc>
          <w:tcPr>
            <w:tcW w:w="1380" w:type="dxa"/>
            <w:tcBorders>
              <w:top w:val="single" w:sz="8" w:space="0" w:color="000000"/>
              <w:left w:val="single" w:sz="8" w:space="0" w:color="FFFFFF"/>
              <w:bottom w:val="single" w:sz="8" w:space="0" w:color="000000"/>
              <w:right w:val="single" w:sz="8" w:space="0" w:color="FFFFFF"/>
            </w:tcBorders>
            <w:shd w:val="clear" w:color="auto" w:fill="FFFFFF"/>
            <w:tcMar>
              <w:top w:w="11" w:type="dxa"/>
              <w:left w:w="11" w:type="dxa"/>
              <w:bottom w:w="0" w:type="dxa"/>
              <w:right w:w="11" w:type="dxa"/>
            </w:tcMar>
            <w:vAlign w:val="bottom"/>
            <w:hideMark/>
          </w:tcPr>
          <w:p w14:paraId="241C582F" w14:textId="77777777" w:rsidR="00AC2CA7" w:rsidRPr="009F3BA5" w:rsidRDefault="00AC2CA7" w:rsidP="00D0312C">
            <w:pPr>
              <w:jc w:val="center"/>
              <w:rPr>
                <w:rFonts w:ascii="Arial" w:hAnsi="Arial" w:cs="Arial"/>
                <w:sz w:val="18"/>
                <w:szCs w:val="18"/>
              </w:rPr>
            </w:pPr>
            <w:r w:rsidRPr="009F3BA5">
              <w:rPr>
                <w:rFonts w:ascii="Arial" w:hAnsi="Arial" w:cs="Arial"/>
                <w:sz w:val="18"/>
                <w:szCs w:val="18"/>
              </w:rPr>
              <w:t>0,04 ± 0,04</w:t>
            </w:r>
          </w:p>
        </w:tc>
        <w:tc>
          <w:tcPr>
            <w:tcW w:w="1380" w:type="dxa"/>
            <w:tcBorders>
              <w:top w:val="single" w:sz="8" w:space="0" w:color="000000"/>
              <w:left w:val="single" w:sz="8" w:space="0" w:color="FFFFFF"/>
              <w:bottom w:val="single" w:sz="8" w:space="0" w:color="000000"/>
              <w:right w:val="single" w:sz="8" w:space="0" w:color="FFFFFF"/>
            </w:tcBorders>
            <w:shd w:val="clear" w:color="auto" w:fill="FFFFFF"/>
            <w:tcMar>
              <w:top w:w="11" w:type="dxa"/>
              <w:left w:w="11" w:type="dxa"/>
              <w:bottom w:w="0" w:type="dxa"/>
              <w:right w:w="11" w:type="dxa"/>
            </w:tcMar>
            <w:vAlign w:val="bottom"/>
            <w:hideMark/>
          </w:tcPr>
          <w:p w14:paraId="6E6FD964" w14:textId="77777777" w:rsidR="00AC2CA7" w:rsidRPr="009F3BA5" w:rsidRDefault="00AC2CA7" w:rsidP="00D0312C">
            <w:pPr>
              <w:jc w:val="center"/>
              <w:rPr>
                <w:rFonts w:ascii="Arial" w:hAnsi="Arial" w:cs="Arial"/>
                <w:sz w:val="18"/>
                <w:szCs w:val="18"/>
              </w:rPr>
            </w:pPr>
            <w:r w:rsidRPr="009F3BA5">
              <w:rPr>
                <w:rFonts w:ascii="Arial" w:hAnsi="Arial" w:cs="Arial"/>
                <w:sz w:val="18"/>
                <w:szCs w:val="18"/>
              </w:rPr>
              <w:t>2 ± 0,1</w:t>
            </w:r>
          </w:p>
        </w:tc>
        <w:tc>
          <w:tcPr>
            <w:tcW w:w="1260" w:type="dxa"/>
            <w:tcBorders>
              <w:top w:val="single" w:sz="8" w:space="0" w:color="000000"/>
              <w:left w:val="single" w:sz="8" w:space="0" w:color="FFFFFF"/>
              <w:bottom w:val="single" w:sz="8" w:space="0" w:color="000000"/>
              <w:right w:val="single" w:sz="8" w:space="0" w:color="FFFFFF"/>
            </w:tcBorders>
            <w:shd w:val="clear" w:color="auto" w:fill="FFFFFF"/>
            <w:tcMar>
              <w:top w:w="11" w:type="dxa"/>
              <w:left w:w="11" w:type="dxa"/>
              <w:bottom w:w="0" w:type="dxa"/>
              <w:right w:w="11" w:type="dxa"/>
            </w:tcMar>
            <w:vAlign w:val="bottom"/>
            <w:hideMark/>
          </w:tcPr>
          <w:p w14:paraId="53F3B4C2" w14:textId="77777777" w:rsidR="00AC2CA7" w:rsidRPr="009F3BA5" w:rsidRDefault="00AC2CA7" w:rsidP="00D0312C">
            <w:pPr>
              <w:jc w:val="center"/>
              <w:rPr>
                <w:rFonts w:ascii="Arial" w:hAnsi="Arial" w:cs="Arial"/>
                <w:sz w:val="18"/>
                <w:szCs w:val="18"/>
              </w:rPr>
            </w:pPr>
            <w:r w:rsidRPr="009F3BA5">
              <w:rPr>
                <w:rFonts w:ascii="Arial" w:hAnsi="Arial" w:cs="Arial"/>
                <w:sz w:val="18"/>
                <w:szCs w:val="18"/>
              </w:rPr>
              <w:t>0,10 ± 0,04</w:t>
            </w:r>
          </w:p>
        </w:tc>
        <w:tc>
          <w:tcPr>
            <w:tcW w:w="1380" w:type="dxa"/>
            <w:tcBorders>
              <w:top w:val="single" w:sz="8" w:space="0" w:color="000000"/>
              <w:left w:val="single" w:sz="8" w:space="0" w:color="FFFFFF"/>
              <w:bottom w:val="single" w:sz="8" w:space="0" w:color="000000"/>
              <w:right w:val="single" w:sz="8" w:space="0" w:color="000000"/>
            </w:tcBorders>
            <w:shd w:val="clear" w:color="auto" w:fill="FFFFFF"/>
            <w:tcMar>
              <w:top w:w="11" w:type="dxa"/>
              <w:left w:w="11" w:type="dxa"/>
              <w:bottom w:w="0" w:type="dxa"/>
              <w:right w:w="11" w:type="dxa"/>
            </w:tcMar>
            <w:vAlign w:val="bottom"/>
            <w:hideMark/>
          </w:tcPr>
          <w:p w14:paraId="476A51D0" w14:textId="77777777" w:rsidR="00AC2CA7" w:rsidRPr="009F3BA5" w:rsidRDefault="00AC2CA7" w:rsidP="00D0312C">
            <w:pPr>
              <w:jc w:val="center"/>
              <w:rPr>
                <w:rFonts w:ascii="Arial" w:hAnsi="Arial" w:cs="Arial"/>
                <w:sz w:val="18"/>
                <w:szCs w:val="18"/>
              </w:rPr>
            </w:pPr>
            <w:r w:rsidRPr="009F3BA5">
              <w:rPr>
                <w:rFonts w:ascii="Arial" w:hAnsi="Arial" w:cs="Arial"/>
                <w:sz w:val="18"/>
                <w:szCs w:val="18"/>
              </w:rPr>
              <w:t>0,80 ± 0,1</w:t>
            </w:r>
          </w:p>
        </w:tc>
      </w:tr>
    </w:tbl>
    <w:p w14:paraId="0488AF4A" w14:textId="77777777" w:rsidR="00AC2CA7" w:rsidRPr="004358B0" w:rsidRDefault="00AC2CA7" w:rsidP="00AC2CA7">
      <w:pPr>
        <w:jc w:val="both"/>
        <w:rPr>
          <w:lang w:val="en-GB"/>
        </w:rPr>
      </w:pPr>
    </w:p>
    <w:p w14:paraId="0AB9593E" w14:textId="77777777" w:rsidR="00AC2CA7" w:rsidRPr="002E0842" w:rsidRDefault="00AC2CA7" w:rsidP="00AC2CA7">
      <w:pPr>
        <w:jc w:val="both"/>
        <w:rPr>
          <w:rFonts w:cs="Arial"/>
          <w:color w:val="000000"/>
          <w:lang w:val="en-GB"/>
        </w:rPr>
      </w:pPr>
      <w:r w:rsidRPr="00D0312C">
        <w:rPr>
          <w:lang w:val="en-GB"/>
        </w:rPr>
        <w:t xml:space="preserve">Table S6: Effects of drugs that mimic hypoxia in mammals on </w:t>
      </w:r>
      <w:r w:rsidRPr="00D0312C">
        <w:rPr>
          <w:i/>
          <w:iCs/>
          <w:lang w:val="en-GB"/>
        </w:rPr>
        <w:t>Dictyostelium</w:t>
      </w:r>
      <w:r w:rsidRPr="00D0312C">
        <w:rPr>
          <w:lang w:val="en-GB"/>
        </w:rPr>
        <w:t xml:space="preserve"> gene expression 21 % O</w:t>
      </w:r>
      <w:r w:rsidRPr="00D0312C">
        <w:rPr>
          <w:vertAlign w:val="subscript"/>
          <w:lang w:val="en-GB"/>
        </w:rPr>
        <w:t>2</w:t>
      </w:r>
      <w:r w:rsidRPr="00D0312C">
        <w:rPr>
          <w:lang w:val="en-GB"/>
        </w:rPr>
        <w:t xml:space="preserve"> (n=3). </w:t>
      </w:r>
      <w:bookmarkStart w:id="1" w:name="_Hlk192669217"/>
      <w:r w:rsidRPr="00450760">
        <w:rPr>
          <w:rFonts w:cs="Arial"/>
          <w:lang w:val="en-US"/>
        </w:rPr>
        <w:t xml:space="preserve">Cells were </w:t>
      </w:r>
      <w:r w:rsidRPr="00D0312C">
        <w:rPr>
          <w:rFonts w:cs="Arial"/>
          <w:lang w:val="en-US"/>
        </w:rPr>
        <w:t>incubated with the different chemicals for 1 hour at either 1% or 21% O</w:t>
      </w:r>
      <w:r w:rsidRPr="00D0312C">
        <w:rPr>
          <w:rFonts w:cs="Arial"/>
          <w:vertAlign w:val="subscript"/>
          <w:lang w:val="en-US"/>
        </w:rPr>
        <w:t>2</w:t>
      </w:r>
      <w:r w:rsidRPr="00D0312C">
        <w:rPr>
          <w:rFonts w:cs="Arial"/>
          <w:lang w:val="en-US"/>
        </w:rPr>
        <w:t xml:space="preserve">. For each </w:t>
      </w:r>
      <w:r w:rsidRPr="00D0312C">
        <w:rPr>
          <w:rFonts w:cs="Arial"/>
          <w:lang w:val="en-US"/>
        </w:rPr>
        <w:lastRenderedPageBreak/>
        <w:t xml:space="preserve">gene, relative expression was determined </w:t>
      </w:r>
      <w:r w:rsidRPr="002E0842">
        <w:rPr>
          <w:rFonts w:eastAsia="Times New Roman" w:cs="Arial"/>
          <w:color w:val="000000"/>
          <w:lang w:val="en-GB" w:eastAsia="fr-FR"/>
        </w:rPr>
        <w:t>using the 2</w:t>
      </w:r>
      <w:r w:rsidRPr="002E0842">
        <w:rPr>
          <w:rFonts w:eastAsia="Times New Roman" w:cs="Arial"/>
          <w:color w:val="000000"/>
          <w:vertAlign w:val="superscript"/>
          <w:lang w:val="en-GB" w:eastAsia="fr-FR"/>
        </w:rPr>
        <w:t>-</w:t>
      </w:r>
      <w:r w:rsidRPr="002E0842">
        <w:rPr>
          <w:rFonts w:eastAsia="Times New Roman" w:cs="Arial"/>
          <w:color w:val="000000"/>
          <w:vertAlign w:val="superscript"/>
          <w:lang w:eastAsia="fr-FR"/>
        </w:rPr>
        <w:t>ΔΔ</w:t>
      </w:r>
      <w:r w:rsidRPr="002E0842">
        <w:rPr>
          <w:rFonts w:eastAsia="Times New Roman" w:cs="Arial"/>
          <w:color w:val="000000"/>
          <w:vertAlign w:val="superscript"/>
          <w:lang w:val="en-GB" w:eastAsia="fr-FR"/>
        </w:rPr>
        <w:t>Ct</w:t>
      </w:r>
      <w:r w:rsidRPr="002E0842">
        <w:rPr>
          <w:rFonts w:eastAsia="Times New Roman" w:cs="Arial"/>
          <w:color w:val="000000"/>
          <w:lang w:val="en-GB" w:eastAsia="fr-FR"/>
        </w:rPr>
        <w:t xml:space="preserve"> method, using </w:t>
      </w:r>
      <w:proofErr w:type="spellStart"/>
      <w:r w:rsidRPr="002E0842">
        <w:rPr>
          <w:rFonts w:eastAsia="Times New Roman" w:cs="Arial"/>
          <w:i/>
          <w:iCs/>
          <w:color w:val="000000"/>
          <w:lang w:val="en-GB" w:eastAsia="fr-FR"/>
        </w:rPr>
        <w:t>rnlA</w:t>
      </w:r>
      <w:proofErr w:type="spellEnd"/>
      <w:r w:rsidRPr="002E0842">
        <w:rPr>
          <w:rFonts w:eastAsia="Times New Roman" w:cs="Arial"/>
          <w:color w:val="000000"/>
          <w:lang w:val="en-GB" w:eastAsia="fr-FR"/>
        </w:rPr>
        <w:t xml:space="preserve"> as a housekeeping gene</w:t>
      </w:r>
      <w:r w:rsidRPr="002E0842">
        <w:rPr>
          <w:rFonts w:cs="Arial"/>
          <w:color w:val="000000"/>
          <w:lang w:val="en-GB"/>
        </w:rPr>
        <w:t xml:space="preserve">. </w:t>
      </w:r>
      <w:r w:rsidRPr="002E0842">
        <w:rPr>
          <w:rFonts w:cs="Arial"/>
          <w:lang w:val="en-GB"/>
        </w:rPr>
        <w:t>For cells placed at 21% O</w:t>
      </w:r>
      <w:r w:rsidRPr="002E0842">
        <w:rPr>
          <w:rFonts w:cs="Arial"/>
          <w:vertAlign w:val="subscript"/>
          <w:lang w:val="en-GB"/>
        </w:rPr>
        <w:t>2</w:t>
      </w:r>
      <w:r w:rsidRPr="002E0842">
        <w:rPr>
          <w:rFonts w:cs="Arial"/>
          <w:lang w:val="en-GB"/>
        </w:rPr>
        <w:t xml:space="preserve">, the relative expression was calculated using the condition without chemical treatment as the standard. Finally, </w:t>
      </w:r>
      <w:bookmarkEnd w:id="1"/>
      <w:r w:rsidRPr="002E0842">
        <w:rPr>
          <w:rFonts w:cs="Arial"/>
          <w:lang w:val="en-GB"/>
        </w:rPr>
        <w:t>the percentage of induction at 21% O</w:t>
      </w:r>
      <w:r w:rsidRPr="002E0842">
        <w:rPr>
          <w:rFonts w:cs="Arial"/>
          <w:vertAlign w:val="subscript"/>
          <w:lang w:val="en-GB"/>
        </w:rPr>
        <w:t>2</w:t>
      </w:r>
      <w:r w:rsidRPr="002E0842">
        <w:rPr>
          <w:rFonts w:cs="Arial"/>
          <w:lang w:val="en-GB"/>
        </w:rPr>
        <w:t xml:space="preserve"> was calculated using the hypoxic expression level without the drug as the 100% expression (</w:t>
      </w:r>
      <w:r w:rsidRPr="002E0842">
        <w:rPr>
          <w:sz w:val="20"/>
          <w:szCs w:val="20"/>
          <w:lang w:val="en-GB"/>
        </w:rPr>
        <w:t>% of induction 21% = 100 * (relative expression at 21% O</w:t>
      </w:r>
      <w:r w:rsidRPr="002E0842">
        <w:rPr>
          <w:sz w:val="20"/>
          <w:szCs w:val="20"/>
          <w:vertAlign w:val="subscript"/>
          <w:lang w:val="en-GB"/>
        </w:rPr>
        <w:t>2</w:t>
      </w:r>
      <w:r w:rsidRPr="002E0842">
        <w:rPr>
          <w:sz w:val="20"/>
          <w:szCs w:val="20"/>
          <w:lang w:val="en-GB"/>
        </w:rPr>
        <w:t xml:space="preserve"> with drug </w:t>
      </w:r>
      <w:r w:rsidRPr="00D0312C">
        <w:rPr>
          <w:sz w:val="20"/>
          <w:szCs w:val="20"/>
          <w:lang w:val="en-GB"/>
        </w:rPr>
        <w:t>normalized to</w:t>
      </w:r>
      <w:r w:rsidRPr="002E0842">
        <w:rPr>
          <w:sz w:val="20"/>
          <w:szCs w:val="20"/>
          <w:lang w:val="en-GB"/>
        </w:rPr>
        <w:t xml:space="preserve"> the 21% condition without drug)/ (relative expression at 1% O</w:t>
      </w:r>
      <w:r w:rsidRPr="002E0842">
        <w:rPr>
          <w:sz w:val="20"/>
          <w:szCs w:val="20"/>
          <w:vertAlign w:val="subscript"/>
          <w:lang w:val="en-GB"/>
        </w:rPr>
        <w:t>2</w:t>
      </w:r>
      <w:r w:rsidRPr="002E0842">
        <w:rPr>
          <w:sz w:val="20"/>
          <w:szCs w:val="20"/>
          <w:lang w:val="en-GB"/>
        </w:rPr>
        <w:t xml:space="preserve"> no drug normalized to the conditions at 21% without drug)). </w:t>
      </w:r>
      <w:r w:rsidRPr="002E0842">
        <w:rPr>
          <w:rFonts w:cs="Arial"/>
          <w:lang w:val="en-GB"/>
        </w:rPr>
        <w:t xml:space="preserve"> </w:t>
      </w:r>
      <w:r w:rsidRPr="002E0842">
        <w:rPr>
          <w:rFonts w:cs="Arial"/>
          <w:color w:val="000000" w:themeColor="text1"/>
          <w:lang w:val="en-GB"/>
        </w:rPr>
        <w:t xml:space="preserve">Mean values are indicated with their associated standard deviations. </w:t>
      </w:r>
    </w:p>
    <w:p w14:paraId="03A14B36" w14:textId="77777777" w:rsidR="00AC2CA7" w:rsidRPr="002E0842" w:rsidRDefault="00AC2CA7" w:rsidP="00AC2CA7">
      <w:pPr>
        <w:jc w:val="both"/>
        <w:rPr>
          <w:lang w:val="en-GB"/>
        </w:rPr>
      </w:pPr>
      <w:r w:rsidRPr="002E0842">
        <w:rPr>
          <w:rFonts w:cs="Arial"/>
          <w:lang w:val="en-GB"/>
        </w:rPr>
        <w:t xml:space="preserve"> </w:t>
      </w:r>
    </w:p>
    <w:tbl>
      <w:tblPr>
        <w:tblW w:w="7880" w:type="dxa"/>
        <w:jc w:val="center"/>
        <w:tblCellMar>
          <w:left w:w="0" w:type="dxa"/>
          <w:right w:w="0" w:type="dxa"/>
        </w:tblCellMar>
        <w:tblLook w:val="0600" w:firstRow="0" w:lastRow="0" w:firstColumn="0" w:lastColumn="0" w:noHBand="1" w:noVBand="1"/>
      </w:tblPr>
      <w:tblGrid>
        <w:gridCol w:w="2435"/>
        <w:gridCol w:w="1396"/>
        <w:gridCol w:w="1396"/>
        <w:gridCol w:w="1257"/>
        <w:gridCol w:w="1396"/>
      </w:tblGrid>
      <w:tr w:rsidR="00AC2CA7" w:rsidRPr="002E0842" w14:paraId="38962A30" w14:textId="77777777" w:rsidTr="00D0312C">
        <w:trPr>
          <w:trHeight w:val="536"/>
          <w:jc w:val="center"/>
        </w:trPr>
        <w:tc>
          <w:tcPr>
            <w:tcW w:w="2440" w:type="dxa"/>
            <w:tcBorders>
              <w:top w:val="single" w:sz="8" w:space="0" w:color="000000"/>
              <w:left w:val="single" w:sz="8" w:space="0" w:color="000000"/>
              <w:bottom w:val="single" w:sz="8" w:space="0" w:color="000000"/>
              <w:right w:val="nil"/>
            </w:tcBorders>
            <w:shd w:val="clear" w:color="auto" w:fill="auto"/>
            <w:tcMar>
              <w:top w:w="11" w:type="dxa"/>
              <w:left w:w="11" w:type="dxa"/>
              <w:bottom w:w="0" w:type="dxa"/>
              <w:right w:w="11" w:type="dxa"/>
            </w:tcMar>
            <w:vAlign w:val="bottom"/>
            <w:hideMark/>
          </w:tcPr>
          <w:p w14:paraId="5DCF061F" w14:textId="77777777" w:rsidR="00AC2CA7" w:rsidRPr="002E0842" w:rsidRDefault="00AC2CA7" w:rsidP="00D0312C">
            <w:pPr>
              <w:jc w:val="center"/>
              <w:rPr>
                <w:rFonts w:ascii="Arial" w:hAnsi="Arial" w:cs="Arial"/>
                <w:sz w:val="18"/>
                <w:lang w:val="en-GB"/>
              </w:rPr>
            </w:pPr>
            <w:r w:rsidRPr="002E0842">
              <w:rPr>
                <w:rFonts w:ascii="Arial" w:hAnsi="Arial" w:cs="Arial"/>
                <w:sz w:val="18"/>
                <w:lang w:val="en-GB"/>
              </w:rPr>
              <w:t xml:space="preserve">Percentage of induction </w:t>
            </w:r>
          </w:p>
        </w:tc>
        <w:tc>
          <w:tcPr>
            <w:tcW w:w="1400"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bottom"/>
            <w:hideMark/>
          </w:tcPr>
          <w:p w14:paraId="6A2AB33E" w14:textId="77777777" w:rsidR="00AC2CA7" w:rsidRPr="002E0842" w:rsidRDefault="00AC2CA7" w:rsidP="00D0312C">
            <w:pPr>
              <w:jc w:val="center"/>
              <w:rPr>
                <w:rFonts w:ascii="Arial" w:hAnsi="Arial" w:cs="Arial"/>
                <w:sz w:val="18"/>
              </w:rPr>
            </w:pPr>
            <w:proofErr w:type="spellStart"/>
            <w:proofErr w:type="gramStart"/>
            <w:r w:rsidRPr="002E0842">
              <w:rPr>
                <w:rFonts w:ascii="Arial" w:hAnsi="Arial" w:cs="Arial"/>
                <w:i/>
                <w:iCs/>
                <w:sz w:val="18"/>
              </w:rPr>
              <w:t>srsA</w:t>
            </w:r>
            <w:proofErr w:type="spellEnd"/>
            <w:proofErr w:type="gramEnd"/>
          </w:p>
        </w:tc>
        <w:tc>
          <w:tcPr>
            <w:tcW w:w="1400"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bottom"/>
            <w:hideMark/>
          </w:tcPr>
          <w:p w14:paraId="032B4584" w14:textId="77777777" w:rsidR="00AC2CA7" w:rsidRPr="002E0842" w:rsidRDefault="00AC2CA7" w:rsidP="00D0312C">
            <w:pPr>
              <w:jc w:val="center"/>
              <w:rPr>
                <w:rFonts w:ascii="Arial" w:hAnsi="Arial" w:cs="Arial"/>
                <w:sz w:val="18"/>
              </w:rPr>
            </w:pPr>
            <w:proofErr w:type="spellStart"/>
            <w:proofErr w:type="gramStart"/>
            <w:r w:rsidRPr="002E0842">
              <w:rPr>
                <w:rFonts w:ascii="Arial" w:hAnsi="Arial" w:cs="Arial"/>
                <w:i/>
                <w:iCs/>
                <w:sz w:val="18"/>
              </w:rPr>
              <w:t>fhbB</w:t>
            </w:r>
            <w:proofErr w:type="spellEnd"/>
            <w:proofErr w:type="gramEnd"/>
          </w:p>
        </w:tc>
        <w:tc>
          <w:tcPr>
            <w:tcW w:w="1260"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bottom"/>
            <w:hideMark/>
          </w:tcPr>
          <w:p w14:paraId="2E169353" w14:textId="77777777" w:rsidR="00AC2CA7" w:rsidRPr="002E0842" w:rsidRDefault="00AC2CA7" w:rsidP="00D0312C">
            <w:pPr>
              <w:jc w:val="center"/>
              <w:rPr>
                <w:rFonts w:ascii="Arial" w:hAnsi="Arial" w:cs="Arial"/>
                <w:sz w:val="18"/>
              </w:rPr>
            </w:pPr>
            <w:proofErr w:type="spellStart"/>
            <w:proofErr w:type="gramStart"/>
            <w:r w:rsidRPr="002E0842">
              <w:rPr>
                <w:rFonts w:ascii="Arial" w:hAnsi="Arial" w:cs="Arial"/>
                <w:i/>
                <w:iCs/>
                <w:sz w:val="18"/>
              </w:rPr>
              <w:t>rabR</w:t>
            </w:r>
            <w:proofErr w:type="spellEnd"/>
            <w:proofErr w:type="gramEnd"/>
          </w:p>
        </w:tc>
        <w:tc>
          <w:tcPr>
            <w:tcW w:w="1400" w:type="dxa"/>
            <w:tcBorders>
              <w:top w:val="single" w:sz="8" w:space="0" w:color="000000"/>
              <w:left w:val="nil"/>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31E9DBD" w14:textId="77777777" w:rsidR="00AC2CA7" w:rsidRPr="002E0842" w:rsidRDefault="00AC2CA7" w:rsidP="00D0312C">
            <w:pPr>
              <w:jc w:val="center"/>
              <w:rPr>
                <w:rFonts w:ascii="Arial" w:hAnsi="Arial" w:cs="Arial"/>
                <w:sz w:val="18"/>
              </w:rPr>
            </w:pPr>
            <w:proofErr w:type="spellStart"/>
            <w:proofErr w:type="gramStart"/>
            <w:r w:rsidRPr="002E0842">
              <w:rPr>
                <w:rFonts w:ascii="Arial" w:hAnsi="Arial" w:cs="Arial"/>
                <w:i/>
                <w:iCs/>
                <w:sz w:val="18"/>
              </w:rPr>
              <w:t>cxgS</w:t>
            </w:r>
            <w:proofErr w:type="spellEnd"/>
            <w:proofErr w:type="gramEnd"/>
          </w:p>
        </w:tc>
      </w:tr>
      <w:tr w:rsidR="00AC2CA7" w:rsidRPr="002E0842" w14:paraId="76D74A91" w14:textId="77777777" w:rsidTr="00D0312C">
        <w:trPr>
          <w:trHeight w:val="536"/>
          <w:jc w:val="center"/>
        </w:trPr>
        <w:tc>
          <w:tcPr>
            <w:tcW w:w="2440" w:type="dxa"/>
            <w:tcBorders>
              <w:top w:val="single" w:sz="8" w:space="0" w:color="000000"/>
              <w:left w:val="single" w:sz="8" w:space="0" w:color="000000"/>
              <w:bottom w:val="single" w:sz="8" w:space="0" w:color="000000"/>
              <w:right w:val="nil"/>
            </w:tcBorders>
            <w:shd w:val="clear" w:color="auto" w:fill="FFFFFF"/>
            <w:tcMar>
              <w:top w:w="11" w:type="dxa"/>
              <w:left w:w="11" w:type="dxa"/>
              <w:bottom w:w="0" w:type="dxa"/>
              <w:right w:w="11" w:type="dxa"/>
            </w:tcMar>
            <w:vAlign w:val="bottom"/>
            <w:hideMark/>
          </w:tcPr>
          <w:p w14:paraId="73DD34B2" w14:textId="77777777" w:rsidR="00AC2CA7" w:rsidRPr="002E0842" w:rsidRDefault="00AC2CA7" w:rsidP="00D0312C">
            <w:pPr>
              <w:jc w:val="center"/>
              <w:rPr>
                <w:rFonts w:ascii="Arial" w:hAnsi="Arial" w:cs="Arial"/>
                <w:sz w:val="18"/>
              </w:rPr>
            </w:pPr>
            <w:r w:rsidRPr="002E0842">
              <w:rPr>
                <w:rFonts w:ascii="Arial" w:hAnsi="Arial" w:cs="Arial"/>
                <w:sz w:val="18"/>
              </w:rPr>
              <w:t>DMOG</w:t>
            </w:r>
          </w:p>
        </w:tc>
        <w:tc>
          <w:tcPr>
            <w:tcW w:w="1400" w:type="dxa"/>
            <w:tcBorders>
              <w:top w:val="single" w:sz="8" w:space="0" w:color="000000"/>
              <w:left w:val="nil"/>
              <w:bottom w:val="single" w:sz="8" w:space="0" w:color="000000"/>
              <w:right w:val="nil"/>
            </w:tcBorders>
            <w:shd w:val="clear" w:color="auto" w:fill="FFFFFF"/>
            <w:tcMar>
              <w:top w:w="11" w:type="dxa"/>
              <w:left w:w="11" w:type="dxa"/>
              <w:bottom w:w="0" w:type="dxa"/>
              <w:right w:w="11" w:type="dxa"/>
            </w:tcMar>
            <w:vAlign w:val="bottom"/>
            <w:hideMark/>
          </w:tcPr>
          <w:p w14:paraId="083B98E3" w14:textId="77777777" w:rsidR="00AC2CA7" w:rsidRPr="002E0842" w:rsidRDefault="00AC2CA7" w:rsidP="00D0312C">
            <w:pPr>
              <w:jc w:val="center"/>
              <w:rPr>
                <w:rFonts w:ascii="Arial" w:hAnsi="Arial" w:cs="Arial"/>
                <w:sz w:val="18"/>
              </w:rPr>
            </w:pPr>
            <w:r w:rsidRPr="00450760">
              <w:rPr>
                <w:rFonts w:ascii="Arial" w:hAnsi="Arial" w:cs="Arial"/>
                <w:sz w:val="18"/>
              </w:rPr>
              <w:t>36 ± 20</w:t>
            </w:r>
          </w:p>
        </w:tc>
        <w:tc>
          <w:tcPr>
            <w:tcW w:w="1400" w:type="dxa"/>
            <w:tcBorders>
              <w:top w:val="single" w:sz="8" w:space="0" w:color="000000"/>
              <w:left w:val="nil"/>
              <w:bottom w:val="single" w:sz="8" w:space="0" w:color="000000"/>
              <w:right w:val="nil"/>
            </w:tcBorders>
            <w:shd w:val="clear" w:color="auto" w:fill="FFFFFF"/>
            <w:tcMar>
              <w:top w:w="11" w:type="dxa"/>
              <w:left w:w="11" w:type="dxa"/>
              <w:bottom w:w="0" w:type="dxa"/>
              <w:right w:w="11" w:type="dxa"/>
            </w:tcMar>
            <w:vAlign w:val="bottom"/>
            <w:hideMark/>
          </w:tcPr>
          <w:p w14:paraId="7164F8A1" w14:textId="77777777" w:rsidR="00AC2CA7" w:rsidRPr="002E0842" w:rsidRDefault="00AC2CA7" w:rsidP="00D0312C">
            <w:pPr>
              <w:jc w:val="center"/>
              <w:rPr>
                <w:rFonts w:ascii="Arial" w:hAnsi="Arial" w:cs="Arial"/>
                <w:sz w:val="18"/>
              </w:rPr>
            </w:pPr>
            <w:r w:rsidRPr="002E0842">
              <w:rPr>
                <w:rFonts w:ascii="Arial" w:hAnsi="Arial" w:cs="Arial"/>
                <w:sz w:val="18"/>
              </w:rPr>
              <w:t>104 ± 30</w:t>
            </w:r>
          </w:p>
        </w:tc>
        <w:tc>
          <w:tcPr>
            <w:tcW w:w="1260" w:type="dxa"/>
            <w:tcBorders>
              <w:top w:val="single" w:sz="8" w:space="0" w:color="000000"/>
              <w:left w:val="nil"/>
              <w:bottom w:val="single" w:sz="8" w:space="0" w:color="000000"/>
              <w:right w:val="nil"/>
            </w:tcBorders>
            <w:shd w:val="clear" w:color="auto" w:fill="FFFFFF"/>
            <w:tcMar>
              <w:top w:w="11" w:type="dxa"/>
              <w:left w:w="11" w:type="dxa"/>
              <w:bottom w:w="0" w:type="dxa"/>
              <w:right w:w="11" w:type="dxa"/>
            </w:tcMar>
            <w:vAlign w:val="bottom"/>
            <w:hideMark/>
          </w:tcPr>
          <w:p w14:paraId="49A33338" w14:textId="77777777" w:rsidR="00AC2CA7" w:rsidRPr="002E0842" w:rsidRDefault="00AC2CA7" w:rsidP="00D0312C">
            <w:pPr>
              <w:jc w:val="center"/>
              <w:rPr>
                <w:rFonts w:ascii="Arial" w:hAnsi="Arial" w:cs="Arial"/>
                <w:sz w:val="18"/>
              </w:rPr>
            </w:pPr>
            <w:r w:rsidRPr="002E0842">
              <w:rPr>
                <w:rFonts w:ascii="Arial" w:hAnsi="Arial" w:cs="Arial"/>
                <w:sz w:val="18"/>
              </w:rPr>
              <w:t>134 ± 22</w:t>
            </w:r>
          </w:p>
        </w:tc>
        <w:tc>
          <w:tcPr>
            <w:tcW w:w="1400" w:type="dxa"/>
            <w:tcBorders>
              <w:top w:val="single" w:sz="8" w:space="0" w:color="000000"/>
              <w:left w:val="nil"/>
              <w:bottom w:val="single" w:sz="8" w:space="0" w:color="000000"/>
              <w:right w:val="single" w:sz="8" w:space="0" w:color="000000"/>
            </w:tcBorders>
            <w:shd w:val="clear" w:color="auto" w:fill="FFFFFF"/>
            <w:tcMar>
              <w:top w:w="11" w:type="dxa"/>
              <w:left w:w="11" w:type="dxa"/>
              <w:bottom w:w="0" w:type="dxa"/>
              <w:right w:w="11" w:type="dxa"/>
            </w:tcMar>
            <w:vAlign w:val="bottom"/>
            <w:hideMark/>
          </w:tcPr>
          <w:p w14:paraId="14F0D991" w14:textId="77777777" w:rsidR="00AC2CA7" w:rsidRPr="002E0842" w:rsidRDefault="00AC2CA7" w:rsidP="00D0312C">
            <w:pPr>
              <w:jc w:val="center"/>
              <w:rPr>
                <w:rFonts w:ascii="Arial" w:hAnsi="Arial" w:cs="Arial"/>
                <w:sz w:val="18"/>
              </w:rPr>
            </w:pPr>
            <w:r w:rsidRPr="00450760">
              <w:rPr>
                <w:rFonts w:ascii="Arial" w:hAnsi="Arial" w:cs="Arial"/>
                <w:sz w:val="18"/>
              </w:rPr>
              <w:t>34 ± 18</w:t>
            </w:r>
          </w:p>
        </w:tc>
      </w:tr>
      <w:tr w:rsidR="00AC2CA7" w:rsidRPr="002E0842" w14:paraId="44526DB7" w14:textId="77777777" w:rsidTr="00D0312C">
        <w:trPr>
          <w:trHeight w:val="536"/>
          <w:jc w:val="center"/>
        </w:trPr>
        <w:tc>
          <w:tcPr>
            <w:tcW w:w="2440" w:type="dxa"/>
            <w:tcBorders>
              <w:top w:val="single" w:sz="8" w:space="0" w:color="000000"/>
              <w:left w:val="single" w:sz="8" w:space="0" w:color="000000"/>
              <w:bottom w:val="single" w:sz="8" w:space="0" w:color="000000"/>
              <w:right w:val="nil"/>
            </w:tcBorders>
            <w:shd w:val="clear" w:color="auto" w:fill="FFFFFF"/>
            <w:tcMar>
              <w:top w:w="11" w:type="dxa"/>
              <w:left w:w="11" w:type="dxa"/>
              <w:bottom w:w="0" w:type="dxa"/>
              <w:right w:w="11" w:type="dxa"/>
            </w:tcMar>
            <w:vAlign w:val="bottom"/>
            <w:hideMark/>
          </w:tcPr>
          <w:p w14:paraId="3C549409" w14:textId="77777777" w:rsidR="00AC2CA7" w:rsidRPr="002E0842" w:rsidRDefault="00AC2CA7" w:rsidP="00D0312C">
            <w:pPr>
              <w:jc w:val="center"/>
              <w:rPr>
                <w:rFonts w:ascii="Arial" w:hAnsi="Arial" w:cs="Arial"/>
                <w:sz w:val="18"/>
              </w:rPr>
            </w:pPr>
            <w:r w:rsidRPr="002E0842">
              <w:rPr>
                <w:rFonts w:ascii="Arial" w:hAnsi="Arial" w:cs="Arial"/>
                <w:sz w:val="18"/>
              </w:rPr>
              <w:t>CoCl</w:t>
            </w:r>
            <w:r w:rsidRPr="002E0842">
              <w:rPr>
                <w:rFonts w:ascii="Arial" w:hAnsi="Arial" w:cs="Arial"/>
                <w:sz w:val="18"/>
                <w:vertAlign w:val="subscript"/>
              </w:rPr>
              <w:t>2</w:t>
            </w:r>
          </w:p>
        </w:tc>
        <w:tc>
          <w:tcPr>
            <w:tcW w:w="1400" w:type="dxa"/>
            <w:tcBorders>
              <w:top w:val="single" w:sz="8" w:space="0" w:color="000000"/>
              <w:left w:val="nil"/>
              <w:bottom w:val="single" w:sz="8" w:space="0" w:color="000000"/>
              <w:right w:val="nil"/>
            </w:tcBorders>
            <w:shd w:val="clear" w:color="auto" w:fill="FFFFFF"/>
            <w:tcMar>
              <w:top w:w="11" w:type="dxa"/>
              <w:left w:w="11" w:type="dxa"/>
              <w:bottom w:w="0" w:type="dxa"/>
              <w:right w:w="11" w:type="dxa"/>
            </w:tcMar>
            <w:vAlign w:val="bottom"/>
            <w:hideMark/>
          </w:tcPr>
          <w:p w14:paraId="13C004C0" w14:textId="77777777" w:rsidR="00AC2CA7" w:rsidRPr="002E0842" w:rsidRDefault="00AC2CA7" w:rsidP="00D0312C">
            <w:pPr>
              <w:jc w:val="center"/>
              <w:rPr>
                <w:rFonts w:ascii="Arial" w:hAnsi="Arial" w:cs="Arial"/>
                <w:sz w:val="18"/>
              </w:rPr>
            </w:pPr>
            <w:r w:rsidRPr="002E0842">
              <w:rPr>
                <w:rFonts w:ascii="Arial" w:hAnsi="Arial" w:cs="Arial"/>
                <w:sz w:val="18"/>
              </w:rPr>
              <w:t>214 ± 79</w:t>
            </w:r>
          </w:p>
        </w:tc>
        <w:tc>
          <w:tcPr>
            <w:tcW w:w="1400" w:type="dxa"/>
            <w:tcBorders>
              <w:top w:val="single" w:sz="8" w:space="0" w:color="000000"/>
              <w:left w:val="nil"/>
              <w:bottom w:val="single" w:sz="8" w:space="0" w:color="000000"/>
              <w:right w:val="nil"/>
            </w:tcBorders>
            <w:shd w:val="clear" w:color="auto" w:fill="FFFFFF"/>
            <w:tcMar>
              <w:top w:w="11" w:type="dxa"/>
              <w:left w:w="11" w:type="dxa"/>
              <w:bottom w:w="0" w:type="dxa"/>
              <w:right w:w="11" w:type="dxa"/>
            </w:tcMar>
            <w:vAlign w:val="bottom"/>
            <w:hideMark/>
          </w:tcPr>
          <w:p w14:paraId="4882E74E" w14:textId="77777777" w:rsidR="00AC2CA7" w:rsidRPr="002E0842" w:rsidRDefault="00AC2CA7" w:rsidP="00D0312C">
            <w:pPr>
              <w:jc w:val="center"/>
              <w:rPr>
                <w:rFonts w:ascii="Arial" w:hAnsi="Arial" w:cs="Arial"/>
                <w:sz w:val="18"/>
              </w:rPr>
            </w:pPr>
            <w:r w:rsidRPr="002E0842">
              <w:rPr>
                <w:rFonts w:ascii="Arial" w:hAnsi="Arial" w:cs="Arial"/>
                <w:sz w:val="18"/>
              </w:rPr>
              <w:t>94 ± 25</w:t>
            </w:r>
          </w:p>
        </w:tc>
        <w:tc>
          <w:tcPr>
            <w:tcW w:w="1260" w:type="dxa"/>
            <w:tcBorders>
              <w:top w:val="single" w:sz="8" w:space="0" w:color="000000"/>
              <w:left w:val="nil"/>
              <w:bottom w:val="single" w:sz="8" w:space="0" w:color="000000"/>
              <w:right w:val="nil"/>
            </w:tcBorders>
            <w:shd w:val="clear" w:color="auto" w:fill="FFFFFF"/>
            <w:tcMar>
              <w:top w:w="11" w:type="dxa"/>
              <w:left w:w="11" w:type="dxa"/>
              <w:bottom w:w="0" w:type="dxa"/>
              <w:right w:w="11" w:type="dxa"/>
            </w:tcMar>
            <w:vAlign w:val="bottom"/>
            <w:hideMark/>
          </w:tcPr>
          <w:p w14:paraId="60F085F5" w14:textId="77777777" w:rsidR="00AC2CA7" w:rsidRPr="002E0842" w:rsidRDefault="00AC2CA7" w:rsidP="00D0312C">
            <w:pPr>
              <w:jc w:val="center"/>
              <w:rPr>
                <w:rFonts w:ascii="Arial" w:hAnsi="Arial" w:cs="Arial"/>
                <w:sz w:val="18"/>
              </w:rPr>
            </w:pPr>
            <w:r w:rsidRPr="002E0842">
              <w:rPr>
                <w:rFonts w:ascii="Arial" w:hAnsi="Arial" w:cs="Arial"/>
                <w:sz w:val="18"/>
              </w:rPr>
              <w:t>224 ± 99</w:t>
            </w:r>
          </w:p>
        </w:tc>
        <w:tc>
          <w:tcPr>
            <w:tcW w:w="1400" w:type="dxa"/>
            <w:tcBorders>
              <w:top w:val="single" w:sz="8" w:space="0" w:color="000000"/>
              <w:left w:val="nil"/>
              <w:bottom w:val="single" w:sz="8" w:space="0" w:color="000000"/>
              <w:right w:val="single" w:sz="8" w:space="0" w:color="000000"/>
            </w:tcBorders>
            <w:shd w:val="clear" w:color="auto" w:fill="FFFFFF"/>
            <w:tcMar>
              <w:top w:w="11" w:type="dxa"/>
              <w:left w:w="11" w:type="dxa"/>
              <w:bottom w:w="0" w:type="dxa"/>
              <w:right w:w="11" w:type="dxa"/>
            </w:tcMar>
            <w:vAlign w:val="bottom"/>
            <w:hideMark/>
          </w:tcPr>
          <w:p w14:paraId="064FF40E" w14:textId="77777777" w:rsidR="00AC2CA7" w:rsidRPr="002E0842" w:rsidRDefault="00AC2CA7" w:rsidP="00D0312C">
            <w:pPr>
              <w:jc w:val="center"/>
              <w:rPr>
                <w:rFonts w:ascii="Arial" w:hAnsi="Arial" w:cs="Arial"/>
                <w:sz w:val="18"/>
              </w:rPr>
            </w:pPr>
            <w:r w:rsidRPr="002E0842">
              <w:rPr>
                <w:rFonts w:ascii="Arial" w:hAnsi="Arial" w:cs="Arial"/>
                <w:sz w:val="18"/>
              </w:rPr>
              <w:t>141 ± 182</w:t>
            </w:r>
          </w:p>
        </w:tc>
      </w:tr>
      <w:tr w:rsidR="00AC2CA7" w:rsidRPr="002E0842" w14:paraId="49108070" w14:textId="77777777" w:rsidTr="00D0312C">
        <w:trPr>
          <w:trHeight w:val="536"/>
          <w:jc w:val="center"/>
        </w:trPr>
        <w:tc>
          <w:tcPr>
            <w:tcW w:w="2440" w:type="dxa"/>
            <w:tcBorders>
              <w:top w:val="single" w:sz="8" w:space="0" w:color="000000"/>
              <w:left w:val="single" w:sz="8" w:space="0" w:color="000000"/>
              <w:bottom w:val="single" w:sz="8" w:space="0" w:color="000000"/>
              <w:right w:val="nil"/>
            </w:tcBorders>
            <w:shd w:val="clear" w:color="auto" w:fill="FFFFFF"/>
            <w:tcMar>
              <w:top w:w="11" w:type="dxa"/>
              <w:left w:w="11" w:type="dxa"/>
              <w:bottom w:w="0" w:type="dxa"/>
              <w:right w:w="11" w:type="dxa"/>
            </w:tcMar>
            <w:vAlign w:val="bottom"/>
            <w:hideMark/>
          </w:tcPr>
          <w:p w14:paraId="2947DAE7" w14:textId="77777777" w:rsidR="00AC2CA7" w:rsidRPr="002E0842" w:rsidRDefault="00AC2CA7" w:rsidP="00D0312C">
            <w:pPr>
              <w:jc w:val="center"/>
              <w:rPr>
                <w:rFonts w:ascii="Arial" w:hAnsi="Arial" w:cs="Arial"/>
                <w:sz w:val="18"/>
              </w:rPr>
            </w:pPr>
            <w:proofErr w:type="spellStart"/>
            <w:r w:rsidRPr="002E0842">
              <w:rPr>
                <w:rFonts w:ascii="Arial" w:hAnsi="Arial" w:cs="Arial"/>
                <w:sz w:val="18"/>
              </w:rPr>
              <w:t>Deferoxamine</w:t>
            </w:r>
            <w:proofErr w:type="spellEnd"/>
          </w:p>
        </w:tc>
        <w:tc>
          <w:tcPr>
            <w:tcW w:w="1400" w:type="dxa"/>
            <w:tcBorders>
              <w:top w:val="single" w:sz="8" w:space="0" w:color="000000"/>
              <w:left w:val="nil"/>
              <w:bottom w:val="single" w:sz="8" w:space="0" w:color="000000"/>
              <w:right w:val="nil"/>
            </w:tcBorders>
            <w:shd w:val="clear" w:color="auto" w:fill="FFFFFF"/>
            <w:tcMar>
              <w:top w:w="11" w:type="dxa"/>
              <w:left w:w="11" w:type="dxa"/>
              <w:bottom w:w="0" w:type="dxa"/>
              <w:right w:w="11" w:type="dxa"/>
            </w:tcMar>
            <w:vAlign w:val="bottom"/>
            <w:hideMark/>
          </w:tcPr>
          <w:p w14:paraId="44A58617" w14:textId="77777777" w:rsidR="00AC2CA7" w:rsidRPr="002E0842" w:rsidRDefault="00AC2CA7" w:rsidP="00D0312C">
            <w:pPr>
              <w:jc w:val="center"/>
              <w:rPr>
                <w:rFonts w:ascii="Arial" w:hAnsi="Arial" w:cs="Arial"/>
                <w:sz w:val="18"/>
              </w:rPr>
            </w:pPr>
            <w:r w:rsidRPr="002E0842">
              <w:rPr>
                <w:rFonts w:ascii="Arial" w:hAnsi="Arial" w:cs="Arial"/>
                <w:sz w:val="18"/>
              </w:rPr>
              <w:t>172 ± 133</w:t>
            </w:r>
          </w:p>
        </w:tc>
        <w:tc>
          <w:tcPr>
            <w:tcW w:w="1400" w:type="dxa"/>
            <w:tcBorders>
              <w:top w:val="single" w:sz="8" w:space="0" w:color="000000"/>
              <w:left w:val="nil"/>
              <w:bottom w:val="single" w:sz="8" w:space="0" w:color="000000"/>
              <w:right w:val="nil"/>
            </w:tcBorders>
            <w:shd w:val="clear" w:color="auto" w:fill="FFFFFF"/>
            <w:tcMar>
              <w:top w:w="11" w:type="dxa"/>
              <w:left w:w="11" w:type="dxa"/>
              <w:bottom w:w="0" w:type="dxa"/>
              <w:right w:w="11" w:type="dxa"/>
            </w:tcMar>
            <w:vAlign w:val="bottom"/>
            <w:hideMark/>
          </w:tcPr>
          <w:p w14:paraId="1D1606B6" w14:textId="77777777" w:rsidR="00AC2CA7" w:rsidRPr="002E0842" w:rsidRDefault="00AC2CA7" w:rsidP="00D0312C">
            <w:pPr>
              <w:jc w:val="center"/>
              <w:rPr>
                <w:rFonts w:ascii="Arial" w:hAnsi="Arial" w:cs="Arial"/>
                <w:sz w:val="18"/>
              </w:rPr>
            </w:pPr>
            <w:r w:rsidRPr="002E0842">
              <w:rPr>
                <w:rFonts w:ascii="Arial" w:hAnsi="Arial" w:cs="Arial"/>
                <w:sz w:val="18"/>
              </w:rPr>
              <w:t>84 ± 6</w:t>
            </w:r>
          </w:p>
        </w:tc>
        <w:tc>
          <w:tcPr>
            <w:tcW w:w="1260" w:type="dxa"/>
            <w:tcBorders>
              <w:top w:val="single" w:sz="8" w:space="0" w:color="000000"/>
              <w:left w:val="nil"/>
              <w:bottom w:val="single" w:sz="8" w:space="0" w:color="000000"/>
              <w:right w:val="nil"/>
            </w:tcBorders>
            <w:shd w:val="clear" w:color="auto" w:fill="FFFFFF"/>
            <w:tcMar>
              <w:top w:w="11" w:type="dxa"/>
              <w:left w:w="11" w:type="dxa"/>
              <w:bottom w:w="0" w:type="dxa"/>
              <w:right w:w="11" w:type="dxa"/>
            </w:tcMar>
            <w:vAlign w:val="bottom"/>
            <w:hideMark/>
          </w:tcPr>
          <w:p w14:paraId="710C2C3C" w14:textId="77777777" w:rsidR="00AC2CA7" w:rsidRPr="002E0842" w:rsidRDefault="00AC2CA7" w:rsidP="00D0312C">
            <w:pPr>
              <w:jc w:val="center"/>
              <w:rPr>
                <w:rFonts w:ascii="Arial" w:hAnsi="Arial" w:cs="Arial"/>
                <w:sz w:val="18"/>
              </w:rPr>
            </w:pPr>
            <w:r w:rsidRPr="002E0842">
              <w:rPr>
                <w:rFonts w:ascii="Arial" w:hAnsi="Arial" w:cs="Arial"/>
                <w:sz w:val="18"/>
              </w:rPr>
              <w:t>119 ± 54</w:t>
            </w:r>
          </w:p>
        </w:tc>
        <w:tc>
          <w:tcPr>
            <w:tcW w:w="1400" w:type="dxa"/>
            <w:tcBorders>
              <w:top w:val="single" w:sz="8" w:space="0" w:color="000000"/>
              <w:left w:val="nil"/>
              <w:bottom w:val="single" w:sz="8" w:space="0" w:color="000000"/>
              <w:right w:val="single" w:sz="8" w:space="0" w:color="000000"/>
            </w:tcBorders>
            <w:shd w:val="clear" w:color="auto" w:fill="FFFFFF"/>
            <w:tcMar>
              <w:top w:w="11" w:type="dxa"/>
              <w:left w:w="11" w:type="dxa"/>
              <w:bottom w:w="0" w:type="dxa"/>
              <w:right w:w="11" w:type="dxa"/>
            </w:tcMar>
            <w:vAlign w:val="bottom"/>
            <w:hideMark/>
          </w:tcPr>
          <w:p w14:paraId="7B09FBDE" w14:textId="77777777" w:rsidR="00AC2CA7" w:rsidRPr="002E0842" w:rsidRDefault="00AC2CA7" w:rsidP="00D0312C">
            <w:pPr>
              <w:jc w:val="center"/>
              <w:rPr>
                <w:rFonts w:ascii="Arial" w:hAnsi="Arial" w:cs="Arial"/>
                <w:sz w:val="18"/>
              </w:rPr>
            </w:pPr>
            <w:r w:rsidRPr="002E0842">
              <w:rPr>
                <w:rFonts w:ascii="Arial" w:hAnsi="Arial" w:cs="Arial"/>
                <w:sz w:val="18"/>
              </w:rPr>
              <w:t>107 ± 131</w:t>
            </w:r>
          </w:p>
        </w:tc>
      </w:tr>
    </w:tbl>
    <w:p w14:paraId="191C2E38" w14:textId="77777777" w:rsidR="00AC2CA7" w:rsidRPr="002E0842" w:rsidRDefault="00AC2CA7" w:rsidP="00AC2CA7">
      <w:pPr>
        <w:jc w:val="both"/>
        <w:rPr>
          <w:lang w:val="en-GB"/>
        </w:rPr>
      </w:pPr>
    </w:p>
    <w:p w14:paraId="6925D28A" w14:textId="77777777" w:rsidR="00AC2CA7" w:rsidRPr="002E0842" w:rsidRDefault="00AC2CA7" w:rsidP="00AC2CA7">
      <w:pPr>
        <w:jc w:val="both"/>
        <w:rPr>
          <w:rFonts w:cs="Arial"/>
          <w:color w:val="000000" w:themeColor="text1"/>
          <w:lang w:val="en-GB"/>
        </w:rPr>
      </w:pPr>
      <w:r w:rsidRPr="00D0312C">
        <w:rPr>
          <w:lang w:val="en-GB"/>
        </w:rPr>
        <w:t xml:space="preserve">Table S7: Effects of drugs that mimic hypoxia in mammals on </w:t>
      </w:r>
      <w:r w:rsidRPr="00D0312C">
        <w:rPr>
          <w:i/>
          <w:iCs/>
          <w:lang w:val="en-GB"/>
        </w:rPr>
        <w:t>Dictyostelium</w:t>
      </w:r>
      <w:r w:rsidRPr="00D0312C">
        <w:rPr>
          <w:lang w:val="en-GB"/>
        </w:rPr>
        <w:t xml:space="preserve"> gene expression at 1% O</w:t>
      </w:r>
      <w:r w:rsidRPr="00D0312C">
        <w:rPr>
          <w:vertAlign w:val="subscript"/>
          <w:lang w:val="en-GB"/>
        </w:rPr>
        <w:t>2</w:t>
      </w:r>
      <w:r w:rsidRPr="00D0312C">
        <w:rPr>
          <w:lang w:val="en-GB"/>
        </w:rPr>
        <w:t xml:space="preserve"> (n=3). </w:t>
      </w:r>
      <w:r w:rsidRPr="00450760">
        <w:rPr>
          <w:rFonts w:cs="Arial"/>
          <w:lang w:val="en-US"/>
        </w:rPr>
        <w:t xml:space="preserve">Cells were inoculated with the different chemicals for 1 hour at </w:t>
      </w:r>
      <w:r w:rsidRPr="00D0312C">
        <w:rPr>
          <w:rFonts w:cs="Arial"/>
          <w:lang w:val="en-US"/>
        </w:rPr>
        <w:t>either 1% or 21% O</w:t>
      </w:r>
      <w:r w:rsidRPr="00D0312C">
        <w:rPr>
          <w:rFonts w:cs="Arial"/>
          <w:vertAlign w:val="subscript"/>
          <w:lang w:val="en-US"/>
        </w:rPr>
        <w:t>2</w:t>
      </w:r>
      <w:r w:rsidRPr="00D0312C">
        <w:rPr>
          <w:rFonts w:cs="Arial"/>
          <w:lang w:val="en-US"/>
        </w:rPr>
        <w:t xml:space="preserve">. For each gene, relative expression was determined </w:t>
      </w:r>
      <w:r w:rsidRPr="002E0842">
        <w:rPr>
          <w:rFonts w:eastAsia="Times New Roman" w:cs="Arial"/>
          <w:color w:val="000000"/>
          <w:lang w:val="en-GB" w:eastAsia="fr-FR"/>
        </w:rPr>
        <w:t>using the 2</w:t>
      </w:r>
      <w:r w:rsidRPr="002E0842">
        <w:rPr>
          <w:rFonts w:eastAsia="Times New Roman" w:cs="Arial"/>
          <w:color w:val="000000"/>
          <w:vertAlign w:val="superscript"/>
          <w:lang w:val="en-GB" w:eastAsia="fr-FR"/>
        </w:rPr>
        <w:t>-</w:t>
      </w:r>
      <w:r w:rsidRPr="002E0842">
        <w:rPr>
          <w:rFonts w:eastAsia="Times New Roman" w:cs="Arial"/>
          <w:color w:val="000000"/>
          <w:vertAlign w:val="superscript"/>
          <w:lang w:eastAsia="fr-FR"/>
        </w:rPr>
        <w:t>ΔΔ</w:t>
      </w:r>
      <w:r w:rsidRPr="002E0842">
        <w:rPr>
          <w:rFonts w:eastAsia="Times New Roman" w:cs="Arial"/>
          <w:color w:val="000000"/>
          <w:vertAlign w:val="superscript"/>
          <w:lang w:val="en-GB" w:eastAsia="fr-FR"/>
        </w:rPr>
        <w:t>Ct</w:t>
      </w:r>
      <w:r w:rsidRPr="002E0842">
        <w:rPr>
          <w:rFonts w:eastAsia="Times New Roman" w:cs="Arial"/>
          <w:color w:val="000000"/>
          <w:lang w:val="en-GB" w:eastAsia="fr-FR"/>
        </w:rPr>
        <w:t xml:space="preserve"> method, using </w:t>
      </w:r>
      <w:proofErr w:type="spellStart"/>
      <w:r w:rsidRPr="002E0842">
        <w:rPr>
          <w:rFonts w:eastAsia="Times New Roman" w:cs="Arial"/>
          <w:i/>
          <w:iCs/>
          <w:color w:val="000000"/>
          <w:lang w:val="en-GB" w:eastAsia="fr-FR"/>
        </w:rPr>
        <w:t>rnlA</w:t>
      </w:r>
      <w:proofErr w:type="spellEnd"/>
      <w:r w:rsidRPr="002E0842">
        <w:rPr>
          <w:rFonts w:eastAsia="Times New Roman" w:cs="Arial"/>
          <w:color w:val="000000"/>
          <w:lang w:val="en-GB" w:eastAsia="fr-FR"/>
        </w:rPr>
        <w:t xml:space="preserve"> as a housekeeping gene</w:t>
      </w:r>
      <w:r w:rsidRPr="002E0842">
        <w:rPr>
          <w:rFonts w:cs="Arial"/>
          <w:color w:val="000000"/>
          <w:lang w:val="en-GB"/>
        </w:rPr>
        <w:t xml:space="preserve">. </w:t>
      </w:r>
      <w:r w:rsidRPr="002E0842">
        <w:rPr>
          <w:rFonts w:cs="Arial"/>
          <w:lang w:val="en-GB"/>
        </w:rPr>
        <w:t>For cells placed at 1% O</w:t>
      </w:r>
      <w:r w:rsidRPr="002E0842">
        <w:rPr>
          <w:rFonts w:cs="Arial"/>
          <w:vertAlign w:val="subscript"/>
          <w:lang w:val="en-GB"/>
        </w:rPr>
        <w:t>2</w:t>
      </w:r>
      <w:r w:rsidRPr="002E0842">
        <w:rPr>
          <w:rFonts w:cs="Arial"/>
          <w:lang w:val="en-GB"/>
        </w:rPr>
        <w:t>, the relative expression was determined using the same chemical condition at 21% O</w:t>
      </w:r>
      <w:r w:rsidRPr="002E0842">
        <w:rPr>
          <w:rFonts w:cs="Arial"/>
          <w:vertAlign w:val="subscript"/>
          <w:lang w:val="en-GB"/>
        </w:rPr>
        <w:t>2</w:t>
      </w:r>
      <w:r w:rsidRPr="002E0842">
        <w:rPr>
          <w:rFonts w:cs="Arial"/>
          <w:lang w:val="en-GB"/>
        </w:rPr>
        <w:t xml:space="preserve"> as the standard. Finally, the percentage of induction at 1% O</w:t>
      </w:r>
      <w:r w:rsidRPr="002E0842">
        <w:rPr>
          <w:rFonts w:cs="Arial"/>
          <w:vertAlign w:val="subscript"/>
          <w:lang w:val="en-GB"/>
        </w:rPr>
        <w:t>2</w:t>
      </w:r>
      <w:r w:rsidRPr="002E0842">
        <w:rPr>
          <w:rFonts w:cs="Arial"/>
          <w:lang w:val="en-GB"/>
        </w:rPr>
        <w:t xml:space="preserve"> was calculated using the hypoxic expression level without the drug as the 100% expression (</w:t>
      </w:r>
      <w:r w:rsidRPr="002E0842">
        <w:rPr>
          <w:sz w:val="20"/>
          <w:szCs w:val="20"/>
          <w:lang w:val="en-GB"/>
        </w:rPr>
        <w:t>% of induction 1% = 100 * (relative expression at 1% O</w:t>
      </w:r>
      <w:r w:rsidRPr="002E0842">
        <w:rPr>
          <w:sz w:val="20"/>
          <w:szCs w:val="20"/>
          <w:vertAlign w:val="subscript"/>
          <w:lang w:val="en-GB"/>
        </w:rPr>
        <w:t>2</w:t>
      </w:r>
      <w:r w:rsidRPr="002E0842">
        <w:rPr>
          <w:sz w:val="20"/>
          <w:szCs w:val="20"/>
          <w:lang w:val="en-GB"/>
        </w:rPr>
        <w:t xml:space="preserve"> with drug)/ (relative expression at 1% O</w:t>
      </w:r>
      <w:r w:rsidRPr="002E0842">
        <w:rPr>
          <w:sz w:val="20"/>
          <w:szCs w:val="20"/>
          <w:vertAlign w:val="subscript"/>
          <w:lang w:val="en-GB"/>
        </w:rPr>
        <w:t>2</w:t>
      </w:r>
      <w:r w:rsidRPr="002E0842">
        <w:rPr>
          <w:sz w:val="20"/>
          <w:szCs w:val="20"/>
          <w:lang w:val="en-GB"/>
        </w:rPr>
        <w:t xml:space="preserve"> no drug)). </w:t>
      </w:r>
      <w:r w:rsidRPr="002E0842">
        <w:rPr>
          <w:rFonts w:cs="Arial"/>
          <w:lang w:val="en-GB"/>
        </w:rPr>
        <w:t xml:space="preserve"> </w:t>
      </w:r>
      <w:r w:rsidRPr="002E0842">
        <w:rPr>
          <w:rFonts w:cs="Arial"/>
          <w:color w:val="000000" w:themeColor="text1"/>
          <w:lang w:val="en-GB"/>
        </w:rPr>
        <w:t xml:space="preserve">Mean values are indicated with their associated standard deviations. </w:t>
      </w:r>
    </w:p>
    <w:p w14:paraId="6B0ADAD0" w14:textId="77777777" w:rsidR="00AC2CA7" w:rsidRPr="00D0312C" w:rsidRDefault="00AC2CA7" w:rsidP="00AC2CA7">
      <w:pPr>
        <w:jc w:val="both"/>
        <w:rPr>
          <w:rFonts w:cs="Arial"/>
          <w:color w:val="000000"/>
          <w:lang w:val="en-GB"/>
        </w:rPr>
      </w:pPr>
      <w:r w:rsidRPr="00450760">
        <w:rPr>
          <w:rFonts w:cs="Arial"/>
          <w:color w:val="000000"/>
          <w:lang w:val="en-GB"/>
        </w:rPr>
        <w:t>Table S8</w:t>
      </w:r>
      <w:r w:rsidRPr="00D0312C">
        <w:rPr>
          <w:rFonts w:cs="Arial"/>
          <w:color w:val="000000"/>
          <w:lang w:val="en-GB"/>
        </w:rPr>
        <w:t xml:space="preserve">: </w:t>
      </w:r>
      <w:r w:rsidRPr="00450760">
        <w:rPr>
          <w:rFonts w:cs="Arial"/>
          <w:color w:val="000000"/>
          <w:lang w:val="en-GB"/>
        </w:rPr>
        <w:t>PRIDE submission files</w:t>
      </w:r>
    </w:p>
    <w:p w14:paraId="1A793FDF" w14:textId="77777777" w:rsidR="00AC2CA7" w:rsidRPr="002E0842" w:rsidRDefault="00AC2CA7" w:rsidP="00AC2CA7">
      <w:pPr>
        <w:jc w:val="both"/>
        <w:rPr>
          <w:lang w:val="en-GB"/>
        </w:rPr>
      </w:pPr>
    </w:p>
    <w:p w14:paraId="38940D7A" w14:textId="77777777" w:rsidR="00AC2CA7" w:rsidRPr="002E0842" w:rsidRDefault="00AC2CA7" w:rsidP="00AC2CA7">
      <w:pPr>
        <w:jc w:val="both"/>
        <w:rPr>
          <w:lang w:val="en-GB"/>
        </w:rPr>
      </w:pPr>
    </w:p>
    <w:p w14:paraId="22D5D564" w14:textId="77777777" w:rsidR="00AC2CA7" w:rsidRPr="002E0842" w:rsidRDefault="00AC2CA7" w:rsidP="00AC2CA7">
      <w:pPr>
        <w:jc w:val="both"/>
        <w:rPr>
          <w:lang w:val="en-GB"/>
        </w:rPr>
      </w:pPr>
    </w:p>
    <w:p w14:paraId="00682F87" w14:textId="77777777" w:rsidR="00AC2CA7" w:rsidRPr="002E0842" w:rsidRDefault="00AC2CA7" w:rsidP="00AC2CA7">
      <w:pPr>
        <w:jc w:val="both"/>
        <w:rPr>
          <w:lang w:val="en-GB"/>
        </w:rPr>
      </w:pPr>
    </w:p>
    <w:p w14:paraId="37F40B7C" w14:textId="77777777" w:rsidR="00AC2CA7" w:rsidRPr="002E0842" w:rsidRDefault="00AC2CA7" w:rsidP="00AC2CA7">
      <w:pPr>
        <w:jc w:val="both"/>
        <w:rPr>
          <w:lang w:val="en-GB"/>
        </w:rPr>
      </w:pPr>
    </w:p>
    <w:p w14:paraId="28696BCB" w14:textId="77777777" w:rsidR="00AC2CA7" w:rsidRPr="00D0312C" w:rsidRDefault="00AC2CA7" w:rsidP="00AC2CA7">
      <w:pPr>
        <w:jc w:val="both"/>
        <w:rPr>
          <w:lang w:val="en-GB"/>
        </w:rPr>
      </w:pPr>
      <w:r w:rsidRPr="00D0312C">
        <w:rPr>
          <w:noProof/>
          <w:lang w:val="en-GB"/>
        </w:rPr>
        <w:lastRenderedPageBreak/>
        <w:drawing>
          <wp:inline distT="0" distB="0" distL="0" distR="0" wp14:anchorId="6FF6DD10" wp14:editId="6C8B9995">
            <wp:extent cx="5760437" cy="301386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1.jpeg"/>
                    <pic:cNvPicPr/>
                  </pic:nvPicPr>
                  <pic:blipFill rotWithShape="1">
                    <a:blip r:embed="rId4" cstate="print">
                      <a:extLst>
                        <a:ext uri="{28A0092B-C50C-407E-A947-70E740481C1C}">
                          <a14:useLocalDpi xmlns:a14="http://schemas.microsoft.com/office/drawing/2010/main" val="0"/>
                        </a:ext>
                      </a:extLst>
                    </a:blip>
                    <a:srcRect t="10954" b="15055"/>
                    <a:stretch/>
                  </pic:blipFill>
                  <pic:spPr bwMode="auto">
                    <a:xfrm>
                      <a:off x="0" y="0"/>
                      <a:ext cx="5760720" cy="3014010"/>
                    </a:xfrm>
                    <a:prstGeom prst="rect">
                      <a:avLst/>
                    </a:prstGeom>
                    <a:ln>
                      <a:noFill/>
                    </a:ln>
                    <a:extLst>
                      <a:ext uri="{53640926-AAD7-44D8-BBD7-CCE9431645EC}">
                        <a14:shadowObscured xmlns:a14="http://schemas.microsoft.com/office/drawing/2010/main"/>
                      </a:ext>
                    </a:extLst>
                  </pic:spPr>
                </pic:pic>
              </a:graphicData>
            </a:graphic>
          </wp:inline>
        </w:drawing>
      </w:r>
    </w:p>
    <w:p w14:paraId="6F590124" w14:textId="77777777" w:rsidR="00AC2CA7" w:rsidRPr="002E0842" w:rsidRDefault="00AC2CA7" w:rsidP="00AC2CA7">
      <w:pPr>
        <w:jc w:val="both"/>
        <w:rPr>
          <w:lang w:val="en-GB"/>
        </w:rPr>
      </w:pPr>
      <w:r w:rsidRPr="00D0312C">
        <w:rPr>
          <w:lang w:val="en-GB"/>
        </w:rPr>
        <w:t>Figure S1: Experimental setup used for the transcriptomic and proteomic time course</w:t>
      </w:r>
      <w:bookmarkStart w:id="2" w:name="_Hlk210679144"/>
      <w:r w:rsidRPr="00D0312C">
        <w:rPr>
          <w:lang w:val="en-GB"/>
        </w:rPr>
        <w:t xml:space="preserve">. </w:t>
      </w:r>
      <w:r w:rsidRPr="002E0842">
        <w:rPr>
          <w:lang w:val="en-GB"/>
        </w:rPr>
        <w:t>AX3 cells were placed in standard 500-ml or 125-ml rimless Erlenmeyer flasks containing 150 ml (proteomic) or 30 ml (transcriptomic) degassed HL5 medium</w:t>
      </w:r>
      <w:bookmarkEnd w:id="2"/>
      <w:r w:rsidRPr="002E0842">
        <w:rPr>
          <w:lang w:val="en-GB"/>
        </w:rPr>
        <w:t>, respectively. Shaking flasks (150 rpm) were continuously and serially purged with a humidified atmosphere of 1% O</w:t>
      </w:r>
      <w:r w:rsidRPr="002E0842">
        <w:rPr>
          <w:vertAlign w:val="subscript"/>
          <w:lang w:val="en-GB"/>
        </w:rPr>
        <w:t>2</w:t>
      </w:r>
      <w:r w:rsidRPr="002E0842">
        <w:rPr>
          <w:lang w:val="en-GB"/>
        </w:rPr>
        <w:t xml:space="preserve"> in N</w:t>
      </w:r>
      <w:r w:rsidRPr="002E0842">
        <w:rPr>
          <w:vertAlign w:val="subscript"/>
          <w:lang w:val="en-GB"/>
        </w:rPr>
        <w:t>2</w:t>
      </w:r>
      <w:r w:rsidRPr="002E0842">
        <w:rPr>
          <w:lang w:val="en-GB"/>
        </w:rPr>
        <w:t xml:space="preserve"> for 24 h and then reoxygenated with 20% O</w:t>
      </w:r>
      <w:r w:rsidRPr="002E0842">
        <w:rPr>
          <w:vertAlign w:val="subscript"/>
          <w:lang w:val="en-GB"/>
        </w:rPr>
        <w:t>2</w:t>
      </w:r>
      <w:r w:rsidRPr="002E0842">
        <w:rPr>
          <w:lang w:val="en-GB"/>
        </w:rPr>
        <w:t xml:space="preserve"> for 5 h. A flask was removed to collect cells at 1 h, 5 h, and 24 h under hypoxia, and at 1 h and 5 h during reoxygenation. The standard t0 was collected from the culture tube. For proteomics analyses, a parallel set of samples maintained at 21% O</w:t>
      </w:r>
      <w:r w:rsidRPr="002E0842">
        <w:rPr>
          <w:vertAlign w:val="subscript"/>
          <w:lang w:val="en-GB"/>
        </w:rPr>
        <w:t>2</w:t>
      </w:r>
      <w:r w:rsidRPr="002E0842">
        <w:rPr>
          <w:lang w:val="en-GB"/>
        </w:rPr>
        <w:t xml:space="preserve"> was collected.  </w:t>
      </w:r>
      <w:r w:rsidRPr="002E0842">
        <w:rPr>
          <w:lang w:val="en-US"/>
        </w:rPr>
        <w:t>At each time point, total RNA and protein was extracted. Transcripts were sequenced using MACE-seq, and proteomic analyses were performed using peptide mass spectrometry.</w:t>
      </w:r>
      <w:r w:rsidRPr="002E0842">
        <w:rPr>
          <w:lang w:val="en-GB"/>
        </w:rPr>
        <w:t xml:space="preserve"> </w:t>
      </w:r>
    </w:p>
    <w:p w14:paraId="448DBD56" w14:textId="77777777" w:rsidR="00AC2CA7" w:rsidRPr="002E0842" w:rsidRDefault="00AC2CA7" w:rsidP="00AC2CA7">
      <w:pPr>
        <w:jc w:val="both"/>
        <w:rPr>
          <w:lang w:val="en-GB"/>
        </w:rPr>
      </w:pPr>
    </w:p>
    <w:p w14:paraId="0CA55E71" w14:textId="77777777" w:rsidR="00AC2CA7" w:rsidRPr="002E0842" w:rsidRDefault="00AC2CA7" w:rsidP="00AC2CA7">
      <w:pPr>
        <w:jc w:val="both"/>
        <w:rPr>
          <w:lang w:val="en-GB"/>
        </w:rPr>
      </w:pPr>
    </w:p>
    <w:p w14:paraId="3F24D27E" w14:textId="77777777" w:rsidR="00AC2CA7" w:rsidRPr="002E0842" w:rsidRDefault="00AC2CA7" w:rsidP="00AC2CA7">
      <w:pPr>
        <w:jc w:val="both"/>
        <w:rPr>
          <w:lang w:val="en-GB"/>
        </w:rPr>
      </w:pPr>
    </w:p>
    <w:p w14:paraId="02AC0385" w14:textId="77777777" w:rsidR="00AC2CA7" w:rsidRPr="002E0842" w:rsidRDefault="00AC2CA7" w:rsidP="00AC2CA7">
      <w:pPr>
        <w:jc w:val="both"/>
        <w:rPr>
          <w:lang w:val="en-GB"/>
        </w:rPr>
      </w:pPr>
    </w:p>
    <w:p w14:paraId="1C0FAD55" w14:textId="77777777" w:rsidR="00AC2CA7" w:rsidRPr="002E0842" w:rsidRDefault="00AC2CA7" w:rsidP="00AC2CA7">
      <w:pPr>
        <w:jc w:val="both"/>
        <w:rPr>
          <w:lang w:val="en-GB"/>
        </w:rPr>
      </w:pPr>
    </w:p>
    <w:p w14:paraId="20794936" w14:textId="77777777" w:rsidR="00AC2CA7" w:rsidRPr="002E0842" w:rsidRDefault="00AC2CA7" w:rsidP="00AC2CA7">
      <w:pPr>
        <w:jc w:val="both"/>
        <w:rPr>
          <w:lang w:val="en-GB"/>
        </w:rPr>
      </w:pPr>
    </w:p>
    <w:p w14:paraId="67FA50FD" w14:textId="77777777" w:rsidR="00AC2CA7" w:rsidRPr="002E0842" w:rsidRDefault="00AC2CA7" w:rsidP="00AC2CA7">
      <w:pPr>
        <w:jc w:val="both"/>
        <w:rPr>
          <w:lang w:val="en-GB"/>
        </w:rPr>
      </w:pPr>
    </w:p>
    <w:p w14:paraId="0901F8D8" w14:textId="77777777" w:rsidR="00AC2CA7" w:rsidRPr="002E0842" w:rsidRDefault="00AC2CA7" w:rsidP="00AC2CA7">
      <w:pPr>
        <w:jc w:val="both"/>
        <w:rPr>
          <w:lang w:val="en-GB"/>
        </w:rPr>
      </w:pPr>
    </w:p>
    <w:p w14:paraId="2BB41E68" w14:textId="77777777" w:rsidR="00AC2CA7" w:rsidRPr="002E0842" w:rsidRDefault="00AC2CA7" w:rsidP="00AC2CA7">
      <w:pPr>
        <w:jc w:val="both"/>
        <w:rPr>
          <w:lang w:val="en-GB"/>
        </w:rPr>
      </w:pPr>
    </w:p>
    <w:p w14:paraId="37FF4E81" w14:textId="77777777" w:rsidR="00AC2CA7" w:rsidRPr="002E0842" w:rsidRDefault="00AC2CA7" w:rsidP="00AC2CA7">
      <w:pPr>
        <w:jc w:val="both"/>
        <w:rPr>
          <w:lang w:val="en-GB"/>
        </w:rPr>
      </w:pPr>
    </w:p>
    <w:p w14:paraId="587372B8" w14:textId="77777777" w:rsidR="00AC2CA7" w:rsidRPr="002E0842" w:rsidRDefault="00AC2CA7" w:rsidP="00AC2CA7">
      <w:pPr>
        <w:jc w:val="both"/>
        <w:rPr>
          <w:lang w:val="en-GB"/>
        </w:rPr>
      </w:pPr>
    </w:p>
    <w:p w14:paraId="6004DE19" w14:textId="77777777" w:rsidR="00AC2CA7" w:rsidRPr="002E0842" w:rsidRDefault="00AC2CA7" w:rsidP="00AC2CA7">
      <w:pPr>
        <w:jc w:val="both"/>
        <w:rPr>
          <w:lang w:val="en-GB"/>
        </w:rPr>
      </w:pPr>
    </w:p>
    <w:p w14:paraId="35C95C72" w14:textId="77777777" w:rsidR="00AC2CA7" w:rsidRPr="002E0842" w:rsidRDefault="00AC2CA7" w:rsidP="00AC2CA7">
      <w:pPr>
        <w:jc w:val="both"/>
        <w:rPr>
          <w:lang w:val="en-GB"/>
        </w:rPr>
      </w:pPr>
    </w:p>
    <w:p w14:paraId="08EC4275" w14:textId="77777777" w:rsidR="00AC2CA7" w:rsidRPr="002E0842" w:rsidRDefault="00AC2CA7" w:rsidP="00AC2CA7">
      <w:pPr>
        <w:jc w:val="both"/>
        <w:rPr>
          <w:lang w:val="en-GB"/>
        </w:rPr>
      </w:pPr>
    </w:p>
    <w:p w14:paraId="6ABE2917" w14:textId="77777777" w:rsidR="00AC2CA7" w:rsidRPr="00D0312C" w:rsidRDefault="00AC2CA7" w:rsidP="00AC2CA7">
      <w:pPr>
        <w:jc w:val="both"/>
        <w:rPr>
          <w:lang w:val="en-GB"/>
        </w:rPr>
      </w:pPr>
    </w:p>
    <w:p w14:paraId="1C3B461A" w14:textId="77777777" w:rsidR="00AC2CA7" w:rsidRPr="00D0312C" w:rsidRDefault="00AC2CA7" w:rsidP="00AC2CA7">
      <w:pPr>
        <w:jc w:val="both"/>
        <w:rPr>
          <w:lang w:val="en-GB"/>
        </w:rPr>
      </w:pPr>
      <w:r w:rsidRPr="00D0312C">
        <w:rPr>
          <w:noProof/>
          <w:lang w:val="en-GB"/>
        </w:rPr>
        <w:drawing>
          <wp:inline distT="0" distB="0" distL="0" distR="0" wp14:anchorId="428FE330" wp14:editId="250B7E3B">
            <wp:extent cx="5760018" cy="2620851"/>
            <wp:effectExtent l="0" t="0" r="0" b="825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S2.jpeg"/>
                    <pic:cNvPicPr/>
                  </pic:nvPicPr>
                  <pic:blipFill rotWithShape="1">
                    <a:blip r:embed="rId5" cstate="print">
                      <a:extLst>
                        <a:ext uri="{28A0092B-C50C-407E-A947-70E740481C1C}">
                          <a14:useLocalDpi xmlns:a14="http://schemas.microsoft.com/office/drawing/2010/main" val="0"/>
                        </a:ext>
                      </a:extLst>
                    </a:blip>
                    <a:srcRect l="447" t="17389" r="-447" b="18264"/>
                    <a:stretch/>
                  </pic:blipFill>
                  <pic:spPr bwMode="auto">
                    <a:xfrm>
                      <a:off x="0" y="0"/>
                      <a:ext cx="5760720" cy="2621171"/>
                    </a:xfrm>
                    <a:prstGeom prst="rect">
                      <a:avLst/>
                    </a:prstGeom>
                    <a:ln>
                      <a:noFill/>
                    </a:ln>
                    <a:extLst>
                      <a:ext uri="{53640926-AAD7-44D8-BBD7-CCE9431645EC}">
                        <a14:shadowObscured xmlns:a14="http://schemas.microsoft.com/office/drawing/2010/main"/>
                      </a:ext>
                    </a:extLst>
                  </pic:spPr>
                </pic:pic>
              </a:graphicData>
            </a:graphic>
          </wp:inline>
        </w:drawing>
      </w:r>
    </w:p>
    <w:p w14:paraId="28FD18C1" w14:textId="77777777" w:rsidR="00AC2CA7" w:rsidRPr="002E0842" w:rsidRDefault="00AC2CA7" w:rsidP="00AC2CA7">
      <w:pPr>
        <w:jc w:val="both"/>
        <w:rPr>
          <w:lang w:val="en-GB"/>
        </w:rPr>
      </w:pPr>
      <w:r w:rsidRPr="00D0312C">
        <w:rPr>
          <w:lang w:val="en-GB"/>
        </w:rPr>
        <w:t xml:space="preserve">Figure S2: Percentage of induction depending on the oxygen concentration. </w:t>
      </w:r>
      <w:r w:rsidRPr="002E0842">
        <w:rPr>
          <w:lang w:val="en-US"/>
        </w:rPr>
        <w:t xml:space="preserve">For each marker gene, the maximum induction (at 1% O₂ for </w:t>
      </w:r>
      <w:proofErr w:type="spellStart"/>
      <w:r w:rsidRPr="002E0842">
        <w:rPr>
          <w:i/>
          <w:lang w:val="en-US"/>
        </w:rPr>
        <w:t>srsA</w:t>
      </w:r>
      <w:proofErr w:type="spellEnd"/>
      <w:r w:rsidRPr="002E0842">
        <w:rPr>
          <w:lang w:val="en-US"/>
        </w:rPr>
        <w:t xml:space="preserve">, </w:t>
      </w:r>
      <w:proofErr w:type="spellStart"/>
      <w:r w:rsidRPr="002E0842">
        <w:rPr>
          <w:i/>
          <w:lang w:val="en-US"/>
        </w:rPr>
        <w:t>rabR</w:t>
      </w:r>
      <w:proofErr w:type="spellEnd"/>
      <w:r w:rsidRPr="002E0842">
        <w:rPr>
          <w:lang w:val="en-US"/>
        </w:rPr>
        <w:t xml:space="preserve"> and </w:t>
      </w:r>
      <w:proofErr w:type="spellStart"/>
      <w:r w:rsidRPr="002E0842">
        <w:rPr>
          <w:i/>
          <w:lang w:val="en-US"/>
        </w:rPr>
        <w:t>fhbB</w:t>
      </w:r>
      <w:proofErr w:type="spellEnd"/>
      <w:r w:rsidRPr="002E0842">
        <w:rPr>
          <w:lang w:val="en-US"/>
        </w:rPr>
        <w:t xml:space="preserve"> or 2% O₂ for </w:t>
      </w:r>
      <w:proofErr w:type="spellStart"/>
      <w:r w:rsidRPr="002E0842">
        <w:rPr>
          <w:i/>
          <w:lang w:val="en-US"/>
        </w:rPr>
        <w:t>cxgS</w:t>
      </w:r>
      <w:proofErr w:type="spellEnd"/>
      <w:r w:rsidRPr="002E0842">
        <w:rPr>
          <w:lang w:val="en-US"/>
        </w:rPr>
        <w:t xml:space="preserve">) was normalized to 100%. </w:t>
      </w:r>
      <w:r w:rsidRPr="002E0842">
        <w:rPr>
          <w:lang w:val="en-GB"/>
        </w:rPr>
        <w:t xml:space="preserve">This value was used to calculate the induction levels at other concentrations. </w:t>
      </w:r>
      <w:r w:rsidRPr="002E0842">
        <w:rPr>
          <w:rFonts w:cs="Arial"/>
          <w:lang w:val="en-GB"/>
        </w:rPr>
        <w:t xml:space="preserve">Only the mean values and their associated standard deviations are shown. </w:t>
      </w:r>
      <w:r w:rsidRPr="002E0842">
        <w:rPr>
          <w:lang w:val="en-GB"/>
        </w:rPr>
        <w:t>The corresponding curves were fitted using logarithmic functions, and the half-induction values (50% induction) were manually determined from these curves. Those data support Fig. 9C-E</w:t>
      </w:r>
    </w:p>
    <w:p w14:paraId="10AB7EA1" w14:textId="77777777" w:rsidR="00AC2CA7" w:rsidRPr="002E0842" w:rsidRDefault="00AC2CA7" w:rsidP="00AC2CA7">
      <w:pPr>
        <w:jc w:val="both"/>
        <w:rPr>
          <w:lang w:val="en-US"/>
        </w:rPr>
      </w:pPr>
    </w:p>
    <w:p w14:paraId="1E25AA27" w14:textId="77777777" w:rsidR="00AC2CA7" w:rsidRPr="002E0842" w:rsidRDefault="00AC2CA7" w:rsidP="00AC2CA7">
      <w:pPr>
        <w:jc w:val="both"/>
        <w:rPr>
          <w:lang w:val="en-US"/>
        </w:rPr>
      </w:pPr>
    </w:p>
    <w:p w14:paraId="25FD4E78" w14:textId="77777777" w:rsidR="00AC2CA7" w:rsidRPr="002E0842" w:rsidRDefault="00AC2CA7" w:rsidP="00AC2CA7">
      <w:pPr>
        <w:jc w:val="both"/>
        <w:rPr>
          <w:lang w:val="en-US"/>
        </w:rPr>
      </w:pPr>
    </w:p>
    <w:p w14:paraId="01B82332" w14:textId="77777777" w:rsidR="00AC2CA7" w:rsidRPr="002E0842" w:rsidRDefault="00AC2CA7" w:rsidP="00AC2CA7">
      <w:pPr>
        <w:jc w:val="both"/>
        <w:rPr>
          <w:lang w:val="en-US"/>
        </w:rPr>
      </w:pPr>
    </w:p>
    <w:p w14:paraId="102AE13A" w14:textId="77777777" w:rsidR="00AC2CA7" w:rsidRPr="002E0842" w:rsidRDefault="00AC2CA7" w:rsidP="00AC2CA7">
      <w:pPr>
        <w:jc w:val="both"/>
        <w:rPr>
          <w:lang w:val="en-US"/>
        </w:rPr>
      </w:pPr>
    </w:p>
    <w:p w14:paraId="580F1A0E" w14:textId="77777777" w:rsidR="00AC2CA7" w:rsidRPr="002E0842" w:rsidRDefault="00AC2CA7" w:rsidP="00AC2CA7">
      <w:pPr>
        <w:jc w:val="both"/>
        <w:rPr>
          <w:lang w:val="en-GB"/>
        </w:rPr>
      </w:pPr>
    </w:p>
    <w:p w14:paraId="56676D77" w14:textId="77777777" w:rsidR="00AC2CA7" w:rsidRPr="00D0312C" w:rsidRDefault="00AC2CA7" w:rsidP="00AC2CA7">
      <w:pPr>
        <w:jc w:val="both"/>
        <w:rPr>
          <w:lang w:val="en-US"/>
        </w:rPr>
      </w:pPr>
    </w:p>
    <w:p w14:paraId="58DF5B06" w14:textId="77777777" w:rsidR="00AC2CA7" w:rsidRPr="00D0312C" w:rsidRDefault="00AC2CA7" w:rsidP="00AC2CA7">
      <w:pPr>
        <w:jc w:val="both"/>
        <w:rPr>
          <w:lang w:val="en-US"/>
        </w:rPr>
      </w:pPr>
    </w:p>
    <w:p w14:paraId="0BB3EB7F" w14:textId="77777777" w:rsidR="00AC2CA7" w:rsidRPr="00D0312C" w:rsidRDefault="00AC2CA7" w:rsidP="00AC2CA7">
      <w:pPr>
        <w:jc w:val="both"/>
        <w:rPr>
          <w:lang w:val="en-US"/>
        </w:rPr>
      </w:pPr>
      <w:r w:rsidRPr="00D0312C">
        <w:rPr>
          <w:noProof/>
          <w:lang w:val="en-US"/>
        </w:rPr>
        <w:lastRenderedPageBreak/>
        <w:drawing>
          <wp:inline distT="0" distB="0" distL="0" distR="0" wp14:anchorId="44F67673" wp14:editId="3E2AEB86">
            <wp:extent cx="5760720" cy="2421228"/>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S4.jpeg"/>
                    <pic:cNvPicPr/>
                  </pic:nvPicPr>
                  <pic:blipFill rotWithShape="1">
                    <a:blip r:embed="rId6" cstate="print">
                      <a:extLst>
                        <a:ext uri="{28A0092B-C50C-407E-A947-70E740481C1C}">
                          <a14:useLocalDpi xmlns:a14="http://schemas.microsoft.com/office/drawing/2010/main" val="0"/>
                        </a:ext>
                      </a:extLst>
                    </a:blip>
                    <a:srcRect b="40562"/>
                    <a:stretch/>
                  </pic:blipFill>
                  <pic:spPr bwMode="auto">
                    <a:xfrm>
                      <a:off x="0" y="0"/>
                      <a:ext cx="5760720" cy="2421228"/>
                    </a:xfrm>
                    <a:prstGeom prst="rect">
                      <a:avLst/>
                    </a:prstGeom>
                    <a:ln>
                      <a:noFill/>
                    </a:ln>
                    <a:extLst>
                      <a:ext uri="{53640926-AAD7-44D8-BBD7-CCE9431645EC}">
                        <a14:shadowObscured xmlns:a14="http://schemas.microsoft.com/office/drawing/2010/main"/>
                      </a:ext>
                    </a:extLst>
                  </pic:spPr>
                </pic:pic>
              </a:graphicData>
            </a:graphic>
          </wp:inline>
        </w:drawing>
      </w:r>
    </w:p>
    <w:p w14:paraId="105E1359" w14:textId="77777777" w:rsidR="00AC2CA7" w:rsidRPr="002E0842" w:rsidRDefault="00AC2CA7" w:rsidP="00AC2CA7">
      <w:pPr>
        <w:jc w:val="both"/>
        <w:rPr>
          <w:lang w:val="en-GB"/>
        </w:rPr>
      </w:pPr>
      <w:r w:rsidRPr="00D0312C">
        <w:rPr>
          <w:lang w:val="en-US"/>
        </w:rPr>
        <w:t xml:space="preserve">Figure S3: Heat maps of transcript regulation over the time course. </w:t>
      </w:r>
      <w:bookmarkStart w:id="3" w:name="_Hlk210597905"/>
      <w:r w:rsidRPr="002E0842">
        <w:rPr>
          <w:lang w:val="en-US"/>
        </w:rPr>
        <w:t>For each heat maps, only differentially regulated transcripts (</w:t>
      </w:r>
      <w:r w:rsidRPr="002E0842">
        <w:rPr>
          <w:lang w:val="en-GB"/>
        </w:rPr>
        <w:t xml:space="preserve">log2≥1 or log2FC≤-1; FDR&lt;0.05 from Table S1) </w:t>
      </w:r>
      <w:r w:rsidRPr="002E0842">
        <w:rPr>
          <w:lang w:val="en-US"/>
        </w:rPr>
        <w:t xml:space="preserve">are represented. </w:t>
      </w:r>
      <w:bookmarkEnd w:id="3"/>
      <w:r w:rsidRPr="002E0842">
        <w:rPr>
          <w:lang w:val="en-US"/>
        </w:rPr>
        <w:t xml:space="preserve">The up-regulated transcripts are represented in green, while the down-regulated are shown in purple. </w:t>
      </w:r>
    </w:p>
    <w:p w14:paraId="0418F741" w14:textId="77777777" w:rsidR="00AC2CA7" w:rsidRPr="002E0842" w:rsidRDefault="00AC2CA7" w:rsidP="00AC2CA7">
      <w:pPr>
        <w:jc w:val="both"/>
        <w:rPr>
          <w:lang w:val="en-GB"/>
        </w:rPr>
      </w:pPr>
      <w:r w:rsidRPr="00D0312C">
        <w:rPr>
          <w:lang w:val="en-US"/>
        </w:rPr>
        <w:t xml:space="preserve">A: </w:t>
      </w:r>
      <w:r w:rsidRPr="002E0842">
        <w:rPr>
          <w:lang w:val="en-US"/>
        </w:rPr>
        <w:t xml:space="preserve">Heat map of genes regulated after 1 hour of hypoxia. </w:t>
      </w:r>
    </w:p>
    <w:p w14:paraId="4CD23BC0" w14:textId="77777777" w:rsidR="00AC2CA7" w:rsidRPr="002E0842" w:rsidRDefault="00AC2CA7" w:rsidP="00AC2CA7">
      <w:pPr>
        <w:jc w:val="both"/>
        <w:rPr>
          <w:lang w:val="en-GB"/>
        </w:rPr>
      </w:pPr>
      <w:r w:rsidRPr="00D0312C">
        <w:rPr>
          <w:lang w:val="en-US"/>
        </w:rPr>
        <w:t>B:</w:t>
      </w:r>
      <w:r w:rsidRPr="002E0842">
        <w:rPr>
          <w:lang w:val="en-US"/>
        </w:rPr>
        <w:t xml:space="preserve"> Heat map of genes regulated at 24 hours and during reoxygenation. </w:t>
      </w:r>
    </w:p>
    <w:p w14:paraId="384B0500" w14:textId="77777777" w:rsidR="00AC2CA7" w:rsidRPr="002E0842" w:rsidRDefault="00AC2CA7" w:rsidP="00AC2CA7">
      <w:pPr>
        <w:jc w:val="both"/>
        <w:rPr>
          <w:lang w:val="en-US"/>
        </w:rPr>
      </w:pPr>
      <w:r w:rsidRPr="00D0312C">
        <w:rPr>
          <w:lang w:val="en-US"/>
        </w:rPr>
        <w:t>C:</w:t>
      </w:r>
      <w:r w:rsidRPr="002E0842">
        <w:rPr>
          <w:lang w:val="en-US"/>
        </w:rPr>
        <w:t xml:space="preserve"> Heat map of transcripts regulated exclusively after 24 hours of hypoxia. </w:t>
      </w:r>
    </w:p>
    <w:p w14:paraId="310B9915" w14:textId="77777777" w:rsidR="00AC2CA7" w:rsidRPr="002E0842" w:rsidRDefault="00AC2CA7" w:rsidP="00AC2CA7">
      <w:pPr>
        <w:jc w:val="both"/>
        <w:rPr>
          <w:lang w:val="en-US"/>
        </w:rPr>
      </w:pPr>
    </w:p>
    <w:p w14:paraId="24FC8A6E" w14:textId="77777777" w:rsidR="00AC2CA7" w:rsidRPr="002E0842" w:rsidRDefault="00AC2CA7" w:rsidP="00AC2CA7">
      <w:pPr>
        <w:jc w:val="both"/>
        <w:rPr>
          <w:lang w:val="en-US"/>
        </w:rPr>
      </w:pPr>
    </w:p>
    <w:p w14:paraId="07576299" w14:textId="77777777" w:rsidR="00AC2CA7" w:rsidRPr="002E0842" w:rsidRDefault="00AC2CA7" w:rsidP="00AC2CA7">
      <w:pPr>
        <w:jc w:val="both"/>
        <w:rPr>
          <w:lang w:val="en-US"/>
        </w:rPr>
      </w:pPr>
    </w:p>
    <w:p w14:paraId="3E6E49BE" w14:textId="77777777" w:rsidR="00AC2CA7" w:rsidRPr="002E0842" w:rsidRDefault="00AC2CA7" w:rsidP="00AC2CA7">
      <w:pPr>
        <w:jc w:val="both"/>
        <w:rPr>
          <w:lang w:val="en-US"/>
        </w:rPr>
      </w:pPr>
    </w:p>
    <w:p w14:paraId="280FE6C6" w14:textId="77777777" w:rsidR="00AC2CA7" w:rsidRPr="002E0842" w:rsidRDefault="00AC2CA7" w:rsidP="00AC2CA7">
      <w:pPr>
        <w:jc w:val="both"/>
        <w:rPr>
          <w:lang w:val="en-US"/>
        </w:rPr>
      </w:pPr>
    </w:p>
    <w:p w14:paraId="0515113A" w14:textId="77777777" w:rsidR="00AC2CA7" w:rsidRPr="002E0842" w:rsidRDefault="00AC2CA7" w:rsidP="00AC2CA7">
      <w:pPr>
        <w:jc w:val="both"/>
        <w:rPr>
          <w:lang w:val="en-US"/>
        </w:rPr>
      </w:pPr>
    </w:p>
    <w:p w14:paraId="144282A3" w14:textId="77777777" w:rsidR="00AC2CA7" w:rsidRPr="002E0842" w:rsidRDefault="00AC2CA7" w:rsidP="00AC2CA7">
      <w:pPr>
        <w:jc w:val="both"/>
        <w:rPr>
          <w:lang w:val="en-US"/>
        </w:rPr>
      </w:pPr>
    </w:p>
    <w:p w14:paraId="569A7344" w14:textId="77777777" w:rsidR="00AC2CA7" w:rsidRPr="002E0842" w:rsidRDefault="00AC2CA7" w:rsidP="00AC2CA7">
      <w:pPr>
        <w:jc w:val="both"/>
        <w:rPr>
          <w:lang w:val="en-US"/>
        </w:rPr>
      </w:pPr>
    </w:p>
    <w:p w14:paraId="7E44DF8D" w14:textId="77777777" w:rsidR="00AC2CA7" w:rsidRPr="002E0842" w:rsidRDefault="00AC2CA7" w:rsidP="00AC2CA7">
      <w:pPr>
        <w:jc w:val="both"/>
        <w:rPr>
          <w:lang w:val="en-US"/>
        </w:rPr>
      </w:pPr>
    </w:p>
    <w:p w14:paraId="33411AFC" w14:textId="77777777" w:rsidR="00AC2CA7" w:rsidRPr="002E0842" w:rsidRDefault="00AC2CA7" w:rsidP="00AC2CA7">
      <w:pPr>
        <w:jc w:val="both"/>
        <w:rPr>
          <w:lang w:val="en-US"/>
        </w:rPr>
      </w:pPr>
    </w:p>
    <w:p w14:paraId="63B50BA3" w14:textId="77777777" w:rsidR="00AC2CA7" w:rsidRPr="002E0842" w:rsidRDefault="00AC2CA7" w:rsidP="00AC2CA7">
      <w:pPr>
        <w:jc w:val="both"/>
        <w:rPr>
          <w:lang w:val="en-US"/>
        </w:rPr>
      </w:pPr>
    </w:p>
    <w:p w14:paraId="338C611B" w14:textId="77777777" w:rsidR="00AC2CA7" w:rsidRPr="002E0842" w:rsidRDefault="00AC2CA7" w:rsidP="00AC2CA7">
      <w:pPr>
        <w:jc w:val="both"/>
        <w:rPr>
          <w:lang w:val="en-US"/>
        </w:rPr>
      </w:pPr>
    </w:p>
    <w:p w14:paraId="2B760A13" w14:textId="77777777" w:rsidR="00AC2CA7" w:rsidRPr="002E0842" w:rsidRDefault="00AC2CA7" w:rsidP="00AC2CA7">
      <w:pPr>
        <w:jc w:val="both"/>
        <w:rPr>
          <w:lang w:val="en-US"/>
        </w:rPr>
      </w:pPr>
    </w:p>
    <w:p w14:paraId="6A6D3665" w14:textId="77777777" w:rsidR="00AC2CA7" w:rsidRPr="002E0842" w:rsidRDefault="00AC2CA7" w:rsidP="00AC2CA7">
      <w:pPr>
        <w:jc w:val="both"/>
        <w:rPr>
          <w:lang w:val="en-US"/>
        </w:rPr>
      </w:pPr>
    </w:p>
    <w:p w14:paraId="7ACCA312" w14:textId="77777777" w:rsidR="00AC2CA7" w:rsidRPr="002E0842" w:rsidRDefault="00AC2CA7" w:rsidP="00AC2CA7">
      <w:pPr>
        <w:jc w:val="both"/>
        <w:rPr>
          <w:lang w:val="en-US"/>
        </w:rPr>
      </w:pPr>
    </w:p>
    <w:p w14:paraId="1798D656" w14:textId="77777777" w:rsidR="00AC2CA7" w:rsidRPr="002E0842" w:rsidRDefault="00AC2CA7" w:rsidP="00AC2CA7">
      <w:pPr>
        <w:jc w:val="both"/>
        <w:rPr>
          <w:lang w:val="en-US"/>
        </w:rPr>
      </w:pPr>
    </w:p>
    <w:p w14:paraId="5D637130" w14:textId="77777777" w:rsidR="00AC2CA7" w:rsidRPr="002E0842" w:rsidRDefault="00AC2CA7" w:rsidP="00AC2CA7">
      <w:pPr>
        <w:jc w:val="both"/>
        <w:rPr>
          <w:lang w:val="en-GB"/>
        </w:rPr>
      </w:pPr>
      <w:r w:rsidRPr="00D0312C">
        <w:rPr>
          <w:noProof/>
          <w:lang w:val="en-US"/>
        </w:rPr>
        <w:lastRenderedPageBreak/>
        <w:drawing>
          <wp:inline distT="0" distB="0" distL="0" distR="0" wp14:anchorId="0F9A540A" wp14:editId="2E96CDBD">
            <wp:extent cx="5759945" cy="3161764"/>
            <wp:effectExtent l="0" t="0" r="0" b="63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S5.jpeg"/>
                    <pic:cNvPicPr/>
                  </pic:nvPicPr>
                  <pic:blipFill rotWithShape="1">
                    <a:blip r:embed="rId7" cstate="print">
                      <a:extLst>
                        <a:ext uri="{28A0092B-C50C-407E-A947-70E740481C1C}">
                          <a14:useLocalDpi xmlns:a14="http://schemas.microsoft.com/office/drawing/2010/main" val="0"/>
                        </a:ext>
                      </a:extLst>
                    </a:blip>
                    <a:srcRect t="6956" b="15416"/>
                    <a:stretch/>
                  </pic:blipFill>
                  <pic:spPr bwMode="auto">
                    <a:xfrm>
                      <a:off x="0" y="0"/>
                      <a:ext cx="5760720" cy="3162189"/>
                    </a:xfrm>
                    <a:prstGeom prst="rect">
                      <a:avLst/>
                    </a:prstGeom>
                    <a:ln>
                      <a:noFill/>
                    </a:ln>
                    <a:extLst>
                      <a:ext uri="{53640926-AAD7-44D8-BBD7-CCE9431645EC}">
                        <a14:shadowObscured xmlns:a14="http://schemas.microsoft.com/office/drawing/2010/main"/>
                      </a:ext>
                    </a:extLst>
                  </pic:spPr>
                </pic:pic>
              </a:graphicData>
            </a:graphic>
          </wp:inline>
        </w:drawing>
      </w:r>
      <w:r w:rsidRPr="00D0312C">
        <w:rPr>
          <w:lang w:val="en-US"/>
        </w:rPr>
        <w:t>Figure S4:</w:t>
      </w:r>
      <w:r w:rsidRPr="002E0842">
        <w:rPr>
          <w:lang w:val="en-US"/>
        </w:rPr>
        <w:t xml:space="preserve"> </w:t>
      </w:r>
      <w:r w:rsidRPr="00D0312C">
        <w:rPr>
          <w:lang w:val="en-US"/>
        </w:rPr>
        <w:t>Expression profile of proteins regulated during chronic hypoxia</w:t>
      </w:r>
      <w:r w:rsidRPr="002E0842">
        <w:rPr>
          <w:lang w:val="en-US"/>
        </w:rPr>
        <w:t>. All profiles were built using Series 2 (late response) and Table S3</w:t>
      </w:r>
      <w:proofErr w:type="gramStart"/>
      <w:r w:rsidRPr="002E0842">
        <w:rPr>
          <w:lang w:val="en-US"/>
        </w:rPr>
        <w:t>C,E</w:t>
      </w:r>
      <w:proofErr w:type="gramEnd"/>
      <w:r w:rsidRPr="002E0842">
        <w:rPr>
          <w:lang w:val="en-US"/>
        </w:rPr>
        <w:t>,I.</w:t>
      </w:r>
    </w:p>
    <w:p w14:paraId="4AFA375F" w14:textId="77777777" w:rsidR="00AC2CA7" w:rsidRPr="002E0842" w:rsidRDefault="00AC2CA7" w:rsidP="00AC2CA7">
      <w:pPr>
        <w:jc w:val="both"/>
        <w:rPr>
          <w:lang w:val="en-GB"/>
        </w:rPr>
      </w:pPr>
      <w:r w:rsidRPr="00D0312C">
        <w:rPr>
          <w:lang w:val="en-US"/>
        </w:rPr>
        <w:t>A:</w:t>
      </w:r>
      <w:r w:rsidRPr="002E0842">
        <w:rPr>
          <w:lang w:val="en-US"/>
        </w:rPr>
        <w:t xml:space="preserve"> Proteasome-associated and ubiquitin-associated proteins across the late time course.</w:t>
      </w:r>
    </w:p>
    <w:p w14:paraId="7C2B17CB" w14:textId="77777777" w:rsidR="00AC2CA7" w:rsidRPr="002E0842" w:rsidRDefault="00AC2CA7" w:rsidP="00AC2CA7">
      <w:pPr>
        <w:jc w:val="both"/>
        <w:rPr>
          <w:lang w:val="en-GB"/>
        </w:rPr>
      </w:pPr>
      <w:r w:rsidRPr="00D0312C">
        <w:rPr>
          <w:lang w:val="en-US"/>
        </w:rPr>
        <w:t>B:</w:t>
      </w:r>
      <w:r w:rsidRPr="002E0842">
        <w:rPr>
          <w:lang w:val="en-US"/>
        </w:rPr>
        <w:t xml:space="preserve"> Expression profile of glycolysis and gluconeogenesis-associated proteins.</w:t>
      </w:r>
    </w:p>
    <w:p w14:paraId="1C3CB03F" w14:textId="77777777" w:rsidR="00AC2CA7" w:rsidRPr="002E0842" w:rsidRDefault="00AC2CA7" w:rsidP="00AC2CA7">
      <w:pPr>
        <w:jc w:val="both"/>
        <w:rPr>
          <w:lang w:val="en-GB"/>
        </w:rPr>
      </w:pPr>
      <w:r w:rsidRPr="00D0312C">
        <w:rPr>
          <w:lang w:val="en-US"/>
        </w:rPr>
        <w:t>C:</w:t>
      </w:r>
      <w:r w:rsidRPr="002E0842">
        <w:rPr>
          <w:lang w:val="en-US"/>
        </w:rPr>
        <w:t xml:space="preserve"> Regulation of TCA- and glyoxylate cycle related proteins.</w:t>
      </w:r>
    </w:p>
    <w:p w14:paraId="5F423122" w14:textId="77777777" w:rsidR="00AC2CA7" w:rsidRPr="002E0842" w:rsidRDefault="00AC2CA7" w:rsidP="00AC2CA7">
      <w:pPr>
        <w:jc w:val="both"/>
        <w:rPr>
          <w:lang w:val="en-US"/>
        </w:rPr>
      </w:pPr>
      <w:r w:rsidRPr="00D0312C">
        <w:rPr>
          <w:lang w:val="en-US"/>
        </w:rPr>
        <w:t>D:</w:t>
      </w:r>
      <w:r w:rsidRPr="002E0842">
        <w:rPr>
          <w:lang w:val="en-US"/>
        </w:rPr>
        <w:t xml:space="preserve"> tRNA synthetase profile.</w:t>
      </w:r>
    </w:p>
    <w:p w14:paraId="0963D3CD" w14:textId="77777777" w:rsidR="00AC2CA7" w:rsidRPr="002E0842" w:rsidRDefault="00AC2CA7" w:rsidP="00AC2CA7">
      <w:pPr>
        <w:jc w:val="both"/>
        <w:rPr>
          <w:lang w:val="en-US"/>
        </w:rPr>
      </w:pPr>
    </w:p>
    <w:p w14:paraId="55C108E8" w14:textId="77777777" w:rsidR="00AC2CA7" w:rsidRPr="002E0842" w:rsidRDefault="00AC2CA7" w:rsidP="00AC2CA7">
      <w:pPr>
        <w:jc w:val="both"/>
        <w:rPr>
          <w:lang w:val="en-US"/>
        </w:rPr>
      </w:pPr>
    </w:p>
    <w:p w14:paraId="697F9747" w14:textId="77777777" w:rsidR="00AC2CA7" w:rsidRPr="002E0842" w:rsidRDefault="00AC2CA7" w:rsidP="00AC2CA7">
      <w:pPr>
        <w:jc w:val="both"/>
        <w:rPr>
          <w:lang w:val="en-US"/>
        </w:rPr>
      </w:pPr>
    </w:p>
    <w:p w14:paraId="5EDB6751" w14:textId="77777777" w:rsidR="00AC2CA7" w:rsidRPr="002E0842" w:rsidRDefault="00AC2CA7" w:rsidP="00AC2CA7">
      <w:pPr>
        <w:jc w:val="both"/>
        <w:rPr>
          <w:lang w:val="en-US"/>
        </w:rPr>
      </w:pPr>
    </w:p>
    <w:p w14:paraId="2217772D" w14:textId="77777777" w:rsidR="00AC2CA7" w:rsidRPr="002E0842" w:rsidRDefault="00AC2CA7" w:rsidP="00AC2CA7">
      <w:pPr>
        <w:jc w:val="both"/>
        <w:rPr>
          <w:lang w:val="en-US"/>
        </w:rPr>
      </w:pPr>
    </w:p>
    <w:p w14:paraId="7943D0A3" w14:textId="77777777" w:rsidR="00AC2CA7" w:rsidRPr="002E0842" w:rsidRDefault="00AC2CA7" w:rsidP="00AC2CA7">
      <w:pPr>
        <w:jc w:val="both"/>
        <w:rPr>
          <w:lang w:val="en-US"/>
        </w:rPr>
      </w:pPr>
    </w:p>
    <w:p w14:paraId="39A7EE82" w14:textId="77777777" w:rsidR="00AC2CA7" w:rsidRPr="002E0842" w:rsidRDefault="00AC2CA7" w:rsidP="00AC2CA7">
      <w:pPr>
        <w:jc w:val="both"/>
        <w:rPr>
          <w:lang w:val="en-US"/>
        </w:rPr>
      </w:pPr>
    </w:p>
    <w:p w14:paraId="7A75BD47" w14:textId="77777777" w:rsidR="00AC2CA7" w:rsidRPr="002E0842" w:rsidRDefault="00AC2CA7" w:rsidP="00AC2CA7">
      <w:pPr>
        <w:jc w:val="both"/>
        <w:rPr>
          <w:lang w:val="en-US"/>
        </w:rPr>
      </w:pPr>
    </w:p>
    <w:p w14:paraId="11EB34A6" w14:textId="77777777" w:rsidR="00AC2CA7" w:rsidRPr="002E0842" w:rsidRDefault="00AC2CA7" w:rsidP="00AC2CA7">
      <w:pPr>
        <w:jc w:val="both"/>
        <w:rPr>
          <w:lang w:val="en-US"/>
        </w:rPr>
      </w:pPr>
    </w:p>
    <w:p w14:paraId="074F6E7E" w14:textId="77777777" w:rsidR="00AC2CA7" w:rsidRPr="002E0842" w:rsidRDefault="00AC2CA7" w:rsidP="00AC2CA7">
      <w:pPr>
        <w:jc w:val="both"/>
        <w:rPr>
          <w:lang w:val="en-US"/>
        </w:rPr>
      </w:pPr>
    </w:p>
    <w:p w14:paraId="0D4E955E" w14:textId="77777777" w:rsidR="00AC2CA7" w:rsidRPr="002E0842" w:rsidRDefault="00AC2CA7" w:rsidP="00AC2CA7">
      <w:pPr>
        <w:jc w:val="both"/>
        <w:rPr>
          <w:lang w:val="en-US"/>
        </w:rPr>
      </w:pPr>
    </w:p>
    <w:p w14:paraId="1AC4F677" w14:textId="77777777" w:rsidR="00AC2CA7" w:rsidRPr="002E0842" w:rsidRDefault="00AC2CA7" w:rsidP="00AC2CA7">
      <w:pPr>
        <w:jc w:val="both"/>
        <w:rPr>
          <w:lang w:val="en-US"/>
        </w:rPr>
      </w:pPr>
    </w:p>
    <w:p w14:paraId="112FF95E" w14:textId="77777777" w:rsidR="00AC2CA7" w:rsidRPr="002E0842" w:rsidRDefault="00AC2CA7" w:rsidP="00AC2CA7">
      <w:pPr>
        <w:jc w:val="both"/>
        <w:rPr>
          <w:lang w:val="en-US"/>
        </w:rPr>
      </w:pPr>
    </w:p>
    <w:p w14:paraId="787E3F38" w14:textId="77777777" w:rsidR="00AC2CA7" w:rsidRPr="002E0842" w:rsidRDefault="00AC2CA7" w:rsidP="00AC2CA7">
      <w:pPr>
        <w:jc w:val="both"/>
        <w:rPr>
          <w:lang w:val="en-US"/>
        </w:rPr>
      </w:pPr>
    </w:p>
    <w:p w14:paraId="1E4C50C4" w14:textId="77777777" w:rsidR="00AC2CA7" w:rsidRPr="002E0842" w:rsidRDefault="00AC2CA7" w:rsidP="00AC2CA7">
      <w:pPr>
        <w:jc w:val="both"/>
        <w:rPr>
          <w:lang w:val="en-US"/>
        </w:rPr>
      </w:pPr>
      <w:r w:rsidRPr="00450760">
        <w:rPr>
          <w:noProof/>
          <w:lang w:val="en-US"/>
        </w:rPr>
        <w:lastRenderedPageBreak/>
        <w:drawing>
          <wp:inline distT="0" distB="0" distL="0" distR="0" wp14:anchorId="6A5F97C9" wp14:editId="704EE8D6">
            <wp:extent cx="1931441" cy="5971540"/>
            <wp:effectExtent l="0" t="952" r="0" b="0"/>
            <wp:docPr id="74529761" name="Image 1" descr="Une image contenant text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29761" name="Image 1" descr="Une image contenant texte, diagramme&#10;&#10;Le contenu généré par l’IA peut être incorrect."/>
                    <pic:cNvPicPr/>
                  </pic:nvPicPr>
                  <pic:blipFill rotWithShape="1">
                    <a:blip r:embed="rId8" cstate="print">
                      <a:extLst>
                        <a:ext uri="{28A0092B-C50C-407E-A947-70E740481C1C}">
                          <a14:useLocalDpi xmlns:a14="http://schemas.microsoft.com/office/drawing/2010/main" val="0"/>
                        </a:ext>
                      </a:extLst>
                    </a:blip>
                    <a:srcRect l="26706" r="27552"/>
                    <a:stretch>
                      <a:fillRect/>
                    </a:stretch>
                  </pic:blipFill>
                  <pic:spPr bwMode="auto">
                    <a:xfrm rot="5400000">
                      <a:off x="0" y="0"/>
                      <a:ext cx="1932631" cy="5975219"/>
                    </a:xfrm>
                    <a:prstGeom prst="rect">
                      <a:avLst/>
                    </a:prstGeom>
                    <a:ln>
                      <a:noFill/>
                    </a:ln>
                    <a:extLst>
                      <a:ext uri="{53640926-AAD7-44D8-BBD7-CCE9431645EC}">
                        <a14:shadowObscured xmlns:a14="http://schemas.microsoft.com/office/drawing/2010/main"/>
                      </a:ext>
                    </a:extLst>
                  </pic:spPr>
                </pic:pic>
              </a:graphicData>
            </a:graphic>
          </wp:inline>
        </w:drawing>
      </w:r>
    </w:p>
    <w:p w14:paraId="70C327C5" w14:textId="77777777" w:rsidR="00AC2CA7" w:rsidRPr="00D0312C" w:rsidRDefault="00AC2CA7" w:rsidP="00AC2CA7">
      <w:pPr>
        <w:jc w:val="both"/>
        <w:rPr>
          <w:lang w:val="en-GB"/>
        </w:rPr>
      </w:pPr>
      <w:r w:rsidRPr="00D0312C">
        <w:rPr>
          <w:lang w:val="en-GB"/>
        </w:rPr>
        <w:t xml:space="preserve">Figure S5: Variability among RT-qPCR replicates at t0 and 1 h hypoxia time point. </w:t>
      </w:r>
    </w:p>
    <w:p w14:paraId="09D9B618" w14:textId="77777777" w:rsidR="00AC2CA7" w:rsidRPr="002E0842" w:rsidRDefault="00AC2CA7" w:rsidP="00AC2CA7">
      <w:pPr>
        <w:jc w:val="both"/>
        <w:rPr>
          <w:lang w:val="en-GB"/>
        </w:rPr>
      </w:pPr>
      <w:r w:rsidRPr="00D0312C">
        <w:rPr>
          <w:lang w:val="en-GB"/>
        </w:rPr>
        <w:t>A:</w:t>
      </w:r>
      <w:r w:rsidRPr="002E0842">
        <w:rPr>
          <w:lang w:val="en-GB"/>
        </w:rPr>
        <w:t xml:space="preserve"> Ratio </w:t>
      </w:r>
      <w:proofErr w:type="spellStart"/>
      <w:r w:rsidRPr="002E0842">
        <w:rPr>
          <w:lang w:val="en-GB"/>
        </w:rPr>
        <w:t>Ct</w:t>
      </w:r>
      <w:r w:rsidRPr="002E0842">
        <w:rPr>
          <w:vertAlign w:val="subscript"/>
          <w:lang w:val="en-GB"/>
        </w:rPr>
        <w:t>gene</w:t>
      </w:r>
      <w:proofErr w:type="spellEnd"/>
      <w:r w:rsidRPr="002E0842">
        <w:rPr>
          <w:lang w:val="en-GB"/>
        </w:rPr>
        <w:t>/</w:t>
      </w:r>
      <w:proofErr w:type="spellStart"/>
      <w:r w:rsidRPr="002E0842">
        <w:rPr>
          <w:lang w:val="en-GB"/>
        </w:rPr>
        <w:t>CT</w:t>
      </w:r>
      <w:r w:rsidRPr="002E0842">
        <w:rPr>
          <w:vertAlign w:val="subscript"/>
          <w:lang w:val="en-GB"/>
        </w:rPr>
        <w:t>rnlA</w:t>
      </w:r>
      <w:proofErr w:type="spellEnd"/>
      <w:r w:rsidRPr="002E0842">
        <w:rPr>
          <w:lang w:val="en-GB"/>
        </w:rPr>
        <w:t xml:space="preserve"> at t0 and 1 h for the presented RT-qPCR experiments (n=10). For each marker gene, the Ct value was divided by the Ct value of the housekeeping gene (</w:t>
      </w:r>
      <w:proofErr w:type="spellStart"/>
      <w:r w:rsidRPr="002E0842">
        <w:rPr>
          <w:i/>
          <w:lang w:val="en-GB"/>
        </w:rPr>
        <w:t>rnlA</w:t>
      </w:r>
      <w:proofErr w:type="spellEnd"/>
      <w:r w:rsidRPr="002E0842">
        <w:rPr>
          <w:lang w:val="en-GB"/>
        </w:rPr>
        <w:t>) from the same condition (t0 or 1 hour after hypoxia). Data from RT-qPCR in the short time course (n=4), O</w:t>
      </w:r>
      <w:r w:rsidRPr="002E0842">
        <w:rPr>
          <w:vertAlign w:val="subscript"/>
          <w:lang w:val="en-GB"/>
        </w:rPr>
        <w:t>2</w:t>
      </w:r>
      <w:r w:rsidRPr="002E0842">
        <w:rPr>
          <w:lang w:val="en-GB"/>
        </w:rPr>
        <w:t xml:space="preserve"> concentration (n=3), the experiment with chemical (n=3) were used. Each dot represents a replicate. </w:t>
      </w:r>
      <w:r w:rsidRPr="00D0312C">
        <w:rPr>
          <w:lang w:val="en-GB"/>
        </w:rPr>
        <w:t>For each gene, the mean values and standard deviations were annotated at the bottom of the graph</w:t>
      </w:r>
    </w:p>
    <w:p w14:paraId="002B5E36" w14:textId="77777777" w:rsidR="00AC2CA7" w:rsidRPr="002E0842" w:rsidRDefault="00AC2CA7" w:rsidP="00AC2CA7">
      <w:pPr>
        <w:jc w:val="both"/>
        <w:rPr>
          <w:lang w:val="en-GB"/>
        </w:rPr>
      </w:pPr>
      <w:r w:rsidRPr="00D0312C">
        <w:rPr>
          <w:lang w:val="en-GB"/>
        </w:rPr>
        <w:t>B:</w:t>
      </w:r>
      <w:r w:rsidRPr="002E0842">
        <w:rPr>
          <w:lang w:val="en-GB"/>
        </w:rPr>
        <w:t xml:space="preserve"> TPM from the RNA-seq at t0 and 1 h after hypoxia (n=3). For each marker gene, all three TPM values associated with each replicate are presented for both t0 and 1 h of hypoxia. The TPM values were extracted from Table S1A. For data visualization, the TPM values were converted to log2. Each dot represents a replicate.</w:t>
      </w:r>
      <w:r w:rsidRPr="00D0312C">
        <w:rPr>
          <w:lang w:val="en-GB"/>
        </w:rPr>
        <w:t xml:space="preserve"> For each gene, the mean values and standard deviations were annotated at the bottom of the graph</w:t>
      </w:r>
    </w:p>
    <w:p w14:paraId="1AC9E688" w14:textId="77777777" w:rsidR="00AC2CA7" w:rsidRPr="002E0842" w:rsidRDefault="00AC2CA7" w:rsidP="00AC2CA7">
      <w:pPr>
        <w:jc w:val="both"/>
        <w:rPr>
          <w:lang w:val="en-GB"/>
        </w:rPr>
      </w:pPr>
    </w:p>
    <w:p w14:paraId="4E9DA9A0" w14:textId="77777777" w:rsidR="00AC2CA7" w:rsidRPr="002E0842" w:rsidRDefault="00AC2CA7" w:rsidP="00AC2CA7">
      <w:pPr>
        <w:jc w:val="both"/>
        <w:rPr>
          <w:lang w:val="en-GB"/>
        </w:rPr>
      </w:pPr>
    </w:p>
    <w:p w14:paraId="11814C86" w14:textId="77777777" w:rsidR="00AC2CA7" w:rsidRPr="002E0842" w:rsidRDefault="00AC2CA7" w:rsidP="00AC2CA7">
      <w:pPr>
        <w:jc w:val="both"/>
        <w:rPr>
          <w:lang w:val="en-GB"/>
        </w:rPr>
      </w:pPr>
    </w:p>
    <w:p w14:paraId="28616BA6" w14:textId="77777777" w:rsidR="00AC2CA7" w:rsidRPr="002E0842" w:rsidRDefault="00AC2CA7" w:rsidP="00AC2CA7">
      <w:pPr>
        <w:jc w:val="both"/>
        <w:rPr>
          <w:lang w:val="en-GB"/>
        </w:rPr>
      </w:pPr>
    </w:p>
    <w:p w14:paraId="3C6B9745" w14:textId="77777777" w:rsidR="00AC2CA7" w:rsidRPr="002E0842" w:rsidRDefault="00AC2CA7" w:rsidP="00AC2CA7">
      <w:pPr>
        <w:jc w:val="both"/>
        <w:rPr>
          <w:lang w:val="en-GB"/>
        </w:rPr>
      </w:pPr>
    </w:p>
    <w:p w14:paraId="0697155A" w14:textId="77777777" w:rsidR="00AC2CA7" w:rsidRPr="002E0842" w:rsidRDefault="00AC2CA7" w:rsidP="00AC2CA7">
      <w:pPr>
        <w:jc w:val="both"/>
        <w:rPr>
          <w:lang w:val="en-US"/>
        </w:rPr>
      </w:pPr>
    </w:p>
    <w:p w14:paraId="6D1AC4A8" w14:textId="77777777" w:rsidR="00AC2CA7" w:rsidRPr="002E0842" w:rsidRDefault="00AC2CA7" w:rsidP="00AC2CA7">
      <w:pPr>
        <w:jc w:val="both"/>
        <w:rPr>
          <w:lang w:val="en-US"/>
        </w:rPr>
      </w:pPr>
    </w:p>
    <w:p w14:paraId="36F74C41" w14:textId="77777777" w:rsidR="00AC2CA7" w:rsidRPr="002E0842" w:rsidRDefault="00AC2CA7" w:rsidP="00AC2CA7">
      <w:pPr>
        <w:jc w:val="both"/>
        <w:rPr>
          <w:lang w:val="en-US"/>
        </w:rPr>
      </w:pPr>
    </w:p>
    <w:p w14:paraId="483530C1" w14:textId="77777777" w:rsidR="00AC2CA7" w:rsidRPr="00D0312C" w:rsidRDefault="00AC2CA7" w:rsidP="00AC2CA7">
      <w:pPr>
        <w:jc w:val="both"/>
        <w:rPr>
          <w:lang w:val="en-GB"/>
        </w:rPr>
      </w:pPr>
    </w:p>
    <w:p w14:paraId="3B9C3F78" w14:textId="77777777" w:rsidR="00AC2CA7" w:rsidRPr="00D0312C" w:rsidRDefault="00AC2CA7" w:rsidP="00AC2CA7">
      <w:pPr>
        <w:jc w:val="both"/>
        <w:rPr>
          <w:lang w:val="en-GB"/>
        </w:rPr>
      </w:pPr>
    </w:p>
    <w:p w14:paraId="743BB2E3" w14:textId="77777777" w:rsidR="00AC2CA7" w:rsidRPr="00D0312C" w:rsidRDefault="00AC2CA7" w:rsidP="00AC2CA7">
      <w:pPr>
        <w:jc w:val="both"/>
        <w:rPr>
          <w:lang w:val="en-US"/>
        </w:rPr>
      </w:pPr>
      <w:r w:rsidRPr="00450760">
        <w:rPr>
          <w:noProof/>
          <w:lang w:val="en-GB"/>
        </w:rPr>
        <w:lastRenderedPageBreak/>
        <w:drawing>
          <wp:inline distT="0" distB="0" distL="0" distR="0" wp14:anchorId="1E474C63" wp14:editId="304A2225">
            <wp:extent cx="5760213" cy="200910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S6..tiff"/>
                    <pic:cNvPicPr/>
                  </pic:nvPicPr>
                  <pic:blipFill rotWithShape="1">
                    <a:blip r:embed="rId9" cstate="print">
                      <a:extLst>
                        <a:ext uri="{28A0092B-C50C-407E-A947-70E740481C1C}">
                          <a14:useLocalDpi xmlns:a14="http://schemas.microsoft.com/office/drawing/2010/main" val="0"/>
                        </a:ext>
                      </a:extLst>
                    </a:blip>
                    <a:srcRect t="15175" b="35499"/>
                    <a:stretch/>
                  </pic:blipFill>
                  <pic:spPr bwMode="auto">
                    <a:xfrm>
                      <a:off x="0" y="0"/>
                      <a:ext cx="5760720" cy="2009282"/>
                    </a:xfrm>
                    <a:prstGeom prst="rect">
                      <a:avLst/>
                    </a:prstGeom>
                    <a:ln>
                      <a:noFill/>
                    </a:ln>
                    <a:extLst>
                      <a:ext uri="{53640926-AAD7-44D8-BBD7-CCE9431645EC}">
                        <a14:shadowObscured xmlns:a14="http://schemas.microsoft.com/office/drawing/2010/main"/>
                      </a:ext>
                    </a:extLst>
                  </pic:spPr>
                </pic:pic>
              </a:graphicData>
            </a:graphic>
          </wp:inline>
        </w:drawing>
      </w:r>
      <w:r w:rsidRPr="002E0842">
        <w:rPr>
          <w:lang w:val="en-GB"/>
        </w:rPr>
        <w:t xml:space="preserve"> </w:t>
      </w:r>
      <w:r w:rsidRPr="00D0312C">
        <w:rPr>
          <w:lang w:val="en-GB"/>
        </w:rPr>
        <w:t xml:space="preserve">Figure S6: Comparison of the transcriptomic response of </w:t>
      </w:r>
      <w:r w:rsidRPr="00D0312C">
        <w:rPr>
          <w:rStyle w:val="Accentuation"/>
          <w:lang w:val="en-GB"/>
        </w:rPr>
        <w:t>Dictyostelium</w:t>
      </w:r>
      <w:r w:rsidRPr="00D0312C">
        <w:rPr>
          <w:lang w:val="en-GB"/>
        </w:rPr>
        <w:t xml:space="preserve"> to hypoxia and exposure to various bacteria (adapted from </w:t>
      </w:r>
      <w:proofErr w:type="spellStart"/>
      <w:r w:rsidRPr="00D0312C">
        <w:rPr>
          <w:lang w:val="en-GB"/>
        </w:rPr>
        <w:t>Lamrabet</w:t>
      </w:r>
      <w:proofErr w:type="spellEnd"/>
      <w:r w:rsidRPr="00D0312C">
        <w:rPr>
          <w:lang w:val="en-GB"/>
        </w:rPr>
        <w:t xml:space="preserve"> et al. studies). </w:t>
      </w:r>
      <w:r w:rsidRPr="002E0842">
        <w:rPr>
          <w:lang w:val="en-GB"/>
        </w:rPr>
        <w:t>For each graph,</w:t>
      </w:r>
      <w:r w:rsidRPr="00D0312C">
        <w:rPr>
          <w:lang w:val="en-GB"/>
        </w:rPr>
        <w:t xml:space="preserve"> </w:t>
      </w:r>
      <w:proofErr w:type="gramStart"/>
      <w:r w:rsidRPr="002E0842">
        <w:rPr>
          <w:rFonts w:cs="Arial"/>
          <w:lang w:val="en-GB"/>
        </w:rPr>
        <w:t>Only</w:t>
      </w:r>
      <w:proofErr w:type="gramEnd"/>
      <w:r w:rsidRPr="002E0842">
        <w:rPr>
          <w:rFonts w:cs="Arial"/>
          <w:lang w:val="en-GB"/>
        </w:rPr>
        <w:t xml:space="preserve"> differentially expressed transcripts (log2FC≥1 or log2FC≤-1; FDR&lt;0.05) compared to </w:t>
      </w:r>
      <w:proofErr w:type="spellStart"/>
      <w:r w:rsidRPr="002E0842">
        <w:rPr>
          <w:rFonts w:cs="Arial"/>
          <w:lang w:val="en-GB"/>
        </w:rPr>
        <w:t>normoxia</w:t>
      </w:r>
      <w:proofErr w:type="spellEnd"/>
      <w:r w:rsidRPr="002E0842">
        <w:rPr>
          <w:rFonts w:cs="Arial"/>
          <w:lang w:val="en-GB"/>
        </w:rPr>
        <w:t xml:space="preserve">, or differentially expressed transcript (log2FC≥1 or log2FC≤-1; p-value </w:t>
      </w:r>
      <w:proofErr w:type="spellStart"/>
      <w:r w:rsidRPr="002E0842">
        <w:rPr>
          <w:rFonts w:cs="Arial"/>
          <w:lang w:val="en-GB"/>
        </w:rPr>
        <w:t>adj</w:t>
      </w:r>
      <w:proofErr w:type="spellEnd"/>
      <w:r w:rsidRPr="002E0842">
        <w:rPr>
          <w:rFonts w:cs="Arial"/>
          <w:lang w:val="en-GB"/>
        </w:rPr>
        <w:t xml:space="preserve">&lt;0.05) </w:t>
      </w:r>
      <w:bookmarkStart w:id="4" w:name="_Hlk207985770"/>
      <w:r w:rsidRPr="002E0842">
        <w:rPr>
          <w:rFonts w:cs="Arial"/>
          <w:lang w:val="en-GB"/>
        </w:rPr>
        <w:t xml:space="preserve">compared to cells </w:t>
      </w:r>
      <w:proofErr w:type="spellStart"/>
      <w:r w:rsidRPr="002E0842">
        <w:rPr>
          <w:rFonts w:cs="Arial"/>
          <w:lang w:val="en-GB"/>
        </w:rPr>
        <w:t>curltured</w:t>
      </w:r>
      <w:proofErr w:type="spellEnd"/>
      <w:r w:rsidRPr="002E0842">
        <w:rPr>
          <w:rFonts w:cs="Arial"/>
          <w:lang w:val="en-GB"/>
        </w:rPr>
        <w:t xml:space="preserve"> without bacteria (</w:t>
      </w:r>
      <w:r w:rsidRPr="002E0842">
        <w:rPr>
          <w:i/>
          <w:iCs/>
          <w:lang w:val="en-GB"/>
        </w:rPr>
        <w:t xml:space="preserve">Klebsiella pneumoniae </w:t>
      </w:r>
      <w:r w:rsidRPr="002E0842">
        <w:rPr>
          <w:lang w:val="en-GB"/>
        </w:rPr>
        <w:t>(</w:t>
      </w:r>
      <w:proofErr w:type="spellStart"/>
      <w:r w:rsidRPr="002E0842">
        <w:rPr>
          <w:lang w:val="en-GB"/>
        </w:rPr>
        <w:t>KpGe</w:t>
      </w:r>
      <w:proofErr w:type="spellEnd"/>
      <w:r w:rsidRPr="002E0842">
        <w:rPr>
          <w:lang w:val="en-GB"/>
        </w:rPr>
        <w:t xml:space="preserve">), the pathogenic LM21 strain of </w:t>
      </w:r>
      <w:r w:rsidRPr="002E0842">
        <w:rPr>
          <w:i/>
          <w:iCs/>
          <w:lang w:val="en-GB"/>
        </w:rPr>
        <w:t xml:space="preserve">K. pneumoniae </w:t>
      </w:r>
      <w:r w:rsidRPr="002E0842">
        <w:rPr>
          <w:lang w:val="en-GB"/>
        </w:rPr>
        <w:t xml:space="preserve">(Kp21), the nonsporulating </w:t>
      </w:r>
      <w:r w:rsidRPr="002E0842">
        <w:rPr>
          <w:i/>
          <w:iCs/>
          <w:lang w:val="en-GB"/>
        </w:rPr>
        <w:t xml:space="preserve">Bacillus subtilis </w:t>
      </w:r>
      <w:r w:rsidRPr="002E0842">
        <w:rPr>
          <w:lang w:val="en-GB"/>
        </w:rPr>
        <w:t xml:space="preserve">36.1 (Bs), or </w:t>
      </w:r>
      <w:r w:rsidRPr="002E0842">
        <w:rPr>
          <w:i/>
          <w:iCs/>
          <w:lang w:val="en-GB"/>
        </w:rPr>
        <w:t xml:space="preserve">Micrococcus luteus </w:t>
      </w:r>
      <w:r w:rsidRPr="002E0842">
        <w:rPr>
          <w:lang w:val="en-GB"/>
        </w:rPr>
        <w:t>(</w:t>
      </w:r>
      <w:proofErr w:type="spellStart"/>
      <w:r w:rsidRPr="002E0842">
        <w:rPr>
          <w:lang w:val="en-GB"/>
        </w:rPr>
        <w:t>Ml</w:t>
      </w:r>
      <w:proofErr w:type="spellEnd"/>
      <w:r w:rsidRPr="002E0842">
        <w:rPr>
          <w:lang w:val="en-GB"/>
        </w:rPr>
        <w:t>).</w:t>
      </w:r>
      <w:r w:rsidRPr="002E0842">
        <w:rPr>
          <w:rFonts w:cs="Arial"/>
          <w:lang w:val="en-GB"/>
        </w:rPr>
        <w:t>, were analysed)</w:t>
      </w:r>
      <w:bookmarkEnd w:id="4"/>
      <w:r w:rsidRPr="002E0842">
        <w:rPr>
          <w:rFonts w:cs="Arial"/>
          <w:lang w:val="en-GB"/>
        </w:rPr>
        <w:t xml:space="preserve">. </w:t>
      </w:r>
      <w:proofErr w:type="spellStart"/>
      <w:r w:rsidRPr="002E0842">
        <w:rPr>
          <w:lang w:val="en-US"/>
        </w:rPr>
        <w:t>Lamrabet</w:t>
      </w:r>
      <w:proofErr w:type="spellEnd"/>
      <w:r w:rsidRPr="002E0842">
        <w:rPr>
          <w:lang w:val="en-US"/>
        </w:rPr>
        <w:t xml:space="preserve"> et al. data are available on </w:t>
      </w:r>
      <w:proofErr w:type="gramStart"/>
      <w:r w:rsidRPr="002E0842">
        <w:rPr>
          <w:lang w:val="en-US"/>
        </w:rPr>
        <w:t>Frontiers</w:t>
      </w:r>
      <w:proofErr w:type="gramEnd"/>
      <w:r w:rsidRPr="002E0842">
        <w:rPr>
          <w:lang w:val="en-US"/>
        </w:rPr>
        <w:t xml:space="preserve"> website (</w:t>
      </w:r>
      <w:hyperlink r:id="rId10" w:history="1">
        <w:r w:rsidRPr="002E0842">
          <w:rPr>
            <w:rStyle w:val="Lienhypertexte"/>
            <w:rFonts w:ascii="Arial" w:eastAsia="Times New Roman" w:hAnsi="Arial" w:cs="Arial"/>
            <w:lang w:val="en-GB" w:eastAsia="fr-FR"/>
          </w:rPr>
          <w:t>https://www.frontiersin.org/journals/microbiology/articles/10.3389/fmicb.2020.00410/full</w:t>
        </w:r>
      </w:hyperlink>
      <w:r w:rsidRPr="002E0842">
        <w:rPr>
          <w:rFonts w:ascii="Arial" w:eastAsia="Times New Roman" w:hAnsi="Arial" w:cs="Arial"/>
          <w:lang w:val="en-GB" w:eastAsia="fr-FR"/>
        </w:rPr>
        <w:t>)</w:t>
      </w:r>
      <w:r w:rsidRPr="002E0842">
        <w:rPr>
          <w:lang w:val="en-US"/>
        </w:rPr>
        <w:t xml:space="preserve">. </w:t>
      </w:r>
    </w:p>
    <w:p w14:paraId="314A9591" w14:textId="77777777" w:rsidR="00AC2CA7" w:rsidRPr="00D0312C" w:rsidRDefault="00AC2CA7" w:rsidP="00AC2CA7">
      <w:pPr>
        <w:jc w:val="both"/>
        <w:rPr>
          <w:lang w:val="en-US"/>
        </w:rPr>
      </w:pPr>
      <w:r w:rsidRPr="00D0312C">
        <w:rPr>
          <w:lang w:val="en-US"/>
        </w:rPr>
        <w:t>A</w:t>
      </w:r>
      <w:r w:rsidRPr="002E0842">
        <w:rPr>
          <w:lang w:val="en-US"/>
        </w:rPr>
        <w:t xml:space="preserve">: Expression </w:t>
      </w:r>
      <w:r w:rsidRPr="002E0842">
        <w:rPr>
          <w:lang w:val="en-GB"/>
        </w:rPr>
        <w:t xml:space="preserve">profiles of transcripts encoding glutamate receptor-like proteins regulated in the presence of bacteria. In their study, </w:t>
      </w:r>
      <w:proofErr w:type="spellStart"/>
      <w:r w:rsidRPr="002E0842">
        <w:rPr>
          <w:lang w:val="en-GB"/>
        </w:rPr>
        <w:t>Lamrabet</w:t>
      </w:r>
      <w:proofErr w:type="spellEnd"/>
      <w:r w:rsidRPr="002E0842">
        <w:rPr>
          <w:lang w:val="en-GB"/>
        </w:rPr>
        <w:t xml:space="preserve"> et al. showed that </w:t>
      </w:r>
      <w:proofErr w:type="spellStart"/>
      <w:r w:rsidRPr="002E0842">
        <w:rPr>
          <w:lang w:val="en-GB"/>
        </w:rPr>
        <w:t>Grls</w:t>
      </w:r>
      <w:proofErr w:type="spellEnd"/>
      <w:r w:rsidRPr="002E0842">
        <w:rPr>
          <w:lang w:val="en-GB"/>
        </w:rPr>
        <w:t xml:space="preserve"> were highly regulated in cells exposed to bacteria or folate.</w:t>
      </w:r>
    </w:p>
    <w:p w14:paraId="1558B31F" w14:textId="77777777" w:rsidR="00AC2CA7" w:rsidRPr="00D0312C" w:rsidRDefault="00AC2CA7" w:rsidP="00AC2CA7">
      <w:pPr>
        <w:jc w:val="both"/>
        <w:rPr>
          <w:lang w:val="en-US"/>
        </w:rPr>
      </w:pPr>
      <w:r w:rsidRPr="00D0312C">
        <w:rPr>
          <w:lang w:val="en-US"/>
        </w:rPr>
        <w:t>B</w:t>
      </w:r>
      <w:r w:rsidRPr="002E0842">
        <w:rPr>
          <w:lang w:val="en-US"/>
        </w:rPr>
        <w:t>: Expression profiles of hypoxia marker genes across both studies.</w:t>
      </w:r>
    </w:p>
    <w:p w14:paraId="06DC5EC4" w14:textId="77777777" w:rsidR="00AC2CA7" w:rsidRPr="002E0842" w:rsidRDefault="00AC2CA7" w:rsidP="00AC2CA7">
      <w:pPr>
        <w:jc w:val="both"/>
        <w:rPr>
          <w:lang w:val="en-GB"/>
        </w:rPr>
      </w:pPr>
    </w:p>
    <w:p w14:paraId="4F2C4903" w14:textId="77777777" w:rsidR="00AC2CA7" w:rsidRPr="002E0842" w:rsidRDefault="00AC2CA7" w:rsidP="00AC2CA7">
      <w:pPr>
        <w:jc w:val="both"/>
        <w:rPr>
          <w:lang w:val="en-GB"/>
        </w:rPr>
      </w:pPr>
    </w:p>
    <w:p w14:paraId="70F9E0B0" w14:textId="77777777" w:rsidR="00AC2CA7" w:rsidRPr="002E0842" w:rsidRDefault="00AC2CA7" w:rsidP="00AC2CA7">
      <w:pPr>
        <w:jc w:val="both"/>
        <w:rPr>
          <w:lang w:val="en-GB"/>
        </w:rPr>
      </w:pPr>
    </w:p>
    <w:p w14:paraId="3D2DAFA8" w14:textId="77777777" w:rsidR="00AC2CA7" w:rsidRPr="002E0842" w:rsidRDefault="00AC2CA7" w:rsidP="00AC2CA7">
      <w:pPr>
        <w:jc w:val="both"/>
        <w:rPr>
          <w:lang w:val="en-GB"/>
        </w:rPr>
      </w:pPr>
    </w:p>
    <w:p w14:paraId="1CB89347" w14:textId="77777777" w:rsidR="00AC2CA7" w:rsidRPr="002E0842" w:rsidRDefault="00AC2CA7" w:rsidP="00AC2CA7">
      <w:pPr>
        <w:jc w:val="both"/>
        <w:rPr>
          <w:lang w:val="en-GB"/>
        </w:rPr>
      </w:pPr>
    </w:p>
    <w:p w14:paraId="6A6E29F5" w14:textId="77777777" w:rsidR="003A2A28" w:rsidRPr="00AC2CA7" w:rsidRDefault="00AC2CA7">
      <w:pPr>
        <w:rPr>
          <w:lang w:val="en-GB"/>
        </w:rPr>
      </w:pPr>
    </w:p>
    <w:sectPr w:rsidR="003A2A28" w:rsidRPr="00AC2C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CA7"/>
    <w:rsid w:val="00AC2CA7"/>
    <w:rsid w:val="00BE5DC7"/>
    <w:rsid w:val="00C264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19008"/>
  <w15:chartTrackingRefBased/>
  <w15:docId w15:val="{AE227BD8-B19D-48CD-80AA-C1DC0BA5C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CA7"/>
    <w:rPr>
      <w:kern w:val="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AC2CA7"/>
    <w:rPr>
      <w:i/>
      <w:iCs/>
    </w:rPr>
  </w:style>
  <w:style w:type="character" w:styleId="Lienhypertexte">
    <w:name w:val="Hyperlink"/>
    <w:basedOn w:val="Policepardfaut"/>
    <w:uiPriority w:val="99"/>
    <w:unhideWhenUsed/>
    <w:rsid w:val="00AC2C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s://www.frontiersin.org/journals/microbiology/articles/10.3389/fmicb.2020.00410/full" TargetMode="External"/><Relationship Id="rId4" Type="http://schemas.openxmlformats.org/officeDocument/2006/relationships/image" Target="media/image1.jpeg"/><Relationship Id="rId9" Type="http://schemas.openxmlformats.org/officeDocument/2006/relationships/image" Target="media/image6.tif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2208</Words>
  <Characters>12587</Characters>
  <Application>Microsoft Office Word</Application>
  <DocSecurity>0</DocSecurity>
  <Lines>104</Lines>
  <Paragraphs>29</Paragraphs>
  <ScaleCrop>false</ScaleCrop>
  <Company/>
  <LinksUpToDate>false</LinksUpToDate>
  <CharactersWithSpaces>14766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HESNARD JULIE</dc:creator>
  <cp:keywords/>
  <dc:description/>
  <cp:lastModifiedBy>HESNARD JULIE</cp:lastModifiedBy>
  <cp:revision>1</cp:revision>
  <dcterms:created xsi:type="dcterms:W3CDTF">2025-11-07T10:04:00Z</dcterms:created>
  <dcterms:modified xsi:type="dcterms:W3CDTF">2025-11-07T10:05:00Z</dcterms:modified>
</cp:coreProperties>
</file>