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7A0BD" w14:textId="77777777" w:rsidR="00E76219" w:rsidRPr="00AC2FBA" w:rsidRDefault="00E76219" w:rsidP="00E76219">
      <w:pPr>
        <w:rPr>
          <w:rStyle w:val="ng-star-inserted1"/>
          <w:rFonts w:ascii="Times New Roman" w:eastAsia="Times New Roman" w:hAnsi="Times New Roman" w:cs="Times New Roman"/>
          <w:b/>
          <w:bCs/>
          <w:sz w:val="28"/>
          <w:szCs w:val="28"/>
        </w:rPr>
      </w:pPr>
      <w:bookmarkStart w:id="0" w:name="_Hlk182248765"/>
      <w:r w:rsidRPr="0090041A">
        <w:rPr>
          <w:rFonts w:ascii="Times New Roman" w:eastAsia="Times New Roman" w:hAnsi="Times New Roman" w:cs="Times New Roman"/>
          <w:b/>
          <w:bCs/>
          <w:sz w:val="28"/>
          <w:szCs w:val="28"/>
        </w:rPr>
        <w:t xml:space="preserve">Maternal Lineage Diversity and Health-Related Haplogroups in the </w:t>
      </w:r>
      <w:proofErr w:type="spellStart"/>
      <w:r w:rsidRPr="0090041A">
        <w:rPr>
          <w:rFonts w:ascii="Times New Roman" w:eastAsia="Times New Roman" w:hAnsi="Times New Roman" w:cs="Times New Roman"/>
          <w:b/>
          <w:bCs/>
          <w:sz w:val="28"/>
          <w:szCs w:val="28"/>
        </w:rPr>
        <w:t>Gilgiti</w:t>
      </w:r>
      <w:proofErr w:type="spellEnd"/>
      <w:r w:rsidRPr="0090041A">
        <w:rPr>
          <w:rFonts w:ascii="Times New Roman" w:eastAsia="Times New Roman" w:hAnsi="Times New Roman" w:cs="Times New Roman"/>
          <w:b/>
          <w:bCs/>
          <w:sz w:val="28"/>
          <w:szCs w:val="28"/>
        </w:rPr>
        <w:t xml:space="preserve"> and Kohistani Populations of Northern Pakistan</w:t>
      </w:r>
    </w:p>
    <w:p w14:paraId="33AE2CE1" w14:textId="77777777" w:rsidR="00E76219" w:rsidRPr="00E62AAE" w:rsidRDefault="00E76219" w:rsidP="00E76219">
      <w:pPr>
        <w:spacing w:line="360" w:lineRule="auto"/>
        <w:rPr>
          <w:rFonts w:asciiTheme="majorBidi" w:hAnsiTheme="majorBidi" w:cstheme="majorBidi"/>
          <w:sz w:val="24"/>
          <w:szCs w:val="24"/>
        </w:rPr>
      </w:pPr>
      <w:r w:rsidRPr="00A50E8C">
        <w:rPr>
          <w:rFonts w:asciiTheme="majorBidi" w:hAnsiTheme="majorBidi" w:cstheme="majorBidi"/>
          <w:sz w:val="24"/>
          <w:szCs w:val="24"/>
        </w:rPr>
        <w:t>Atif Adnan</w:t>
      </w:r>
      <w:r w:rsidRPr="00A50E8C">
        <w:rPr>
          <w:rFonts w:asciiTheme="majorBidi" w:hAnsiTheme="majorBidi" w:cstheme="majorBidi"/>
          <w:sz w:val="24"/>
          <w:szCs w:val="24"/>
          <w:vertAlign w:val="superscript"/>
        </w:rPr>
        <w:t>1</w:t>
      </w:r>
      <w:r>
        <w:rPr>
          <w:rFonts w:asciiTheme="majorBidi" w:hAnsiTheme="majorBidi" w:cstheme="majorBidi"/>
          <w:sz w:val="24"/>
          <w:szCs w:val="24"/>
          <w:vertAlign w:val="superscript"/>
        </w:rPr>
        <w:t>,2*</w:t>
      </w:r>
      <w:r w:rsidRPr="00A50E8C">
        <w:rPr>
          <w:rFonts w:asciiTheme="majorBidi" w:hAnsiTheme="majorBidi" w:cstheme="majorBidi"/>
          <w:sz w:val="24"/>
          <w:szCs w:val="24"/>
        </w:rPr>
        <w:t>, Allah Rakha</w:t>
      </w:r>
      <w:r>
        <w:rPr>
          <w:rFonts w:asciiTheme="majorBidi" w:hAnsiTheme="majorBidi" w:cstheme="majorBidi"/>
          <w:sz w:val="24"/>
          <w:szCs w:val="24"/>
          <w:vertAlign w:val="superscript"/>
        </w:rPr>
        <w:t>3</w:t>
      </w:r>
      <w:r w:rsidRPr="00A50E8C">
        <w:rPr>
          <w:rFonts w:asciiTheme="majorBidi" w:hAnsiTheme="majorBidi" w:cstheme="majorBidi"/>
          <w:sz w:val="24"/>
          <w:szCs w:val="24"/>
        </w:rPr>
        <w:t>,</w:t>
      </w:r>
      <w:r>
        <w:rPr>
          <w:rFonts w:asciiTheme="majorBidi" w:hAnsiTheme="majorBidi" w:cstheme="majorBidi"/>
          <w:sz w:val="24"/>
          <w:szCs w:val="24"/>
        </w:rPr>
        <w:t xml:space="preserve"> </w:t>
      </w:r>
      <w:r w:rsidRPr="009F5015">
        <w:rPr>
          <w:rFonts w:asciiTheme="majorBidi" w:hAnsiTheme="majorBidi" w:cstheme="majorBidi"/>
          <w:sz w:val="24"/>
          <w:szCs w:val="24"/>
        </w:rPr>
        <w:t>Le Tao</w:t>
      </w:r>
      <w:r>
        <w:rPr>
          <w:rFonts w:asciiTheme="majorBidi" w:hAnsiTheme="majorBidi" w:cstheme="majorBidi"/>
          <w:sz w:val="24"/>
          <w:szCs w:val="24"/>
        </w:rPr>
        <w:t xml:space="preserve"> </w:t>
      </w:r>
      <w:r>
        <w:rPr>
          <w:rFonts w:asciiTheme="majorBidi" w:hAnsiTheme="majorBidi" w:cstheme="majorBidi"/>
          <w:sz w:val="24"/>
          <w:szCs w:val="24"/>
          <w:vertAlign w:val="superscript"/>
        </w:rPr>
        <w:t>4</w:t>
      </w:r>
      <w:r>
        <w:rPr>
          <w:rFonts w:asciiTheme="majorBidi" w:hAnsiTheme="majorBidi" w:cstheme="majorBidi"/>
          <w:sz w:val="24"/>
          <w:szCs w:val="24"/>
        </w:rPr>
        <w:t>, Qu Shen</w:t>
      </w:r>
      <w:r>
        <w:rPr>
          <w:rFonts w:asciiTheme="majorBidi" w:hAnsiTheme="majorBidi" w:cstheme="majorBidi"/>
          <w:sz w:val="24"/>
          <w:szCs w:val="24"/>
          <w:vertAlign w:val="superscript"/>
        </w:rPr>
        <w:t>5</w:t>
      </w:r>
      <w:r>
        <w:rPr>
          <w:rFonts w:asciiTheme="majorBidi" w:hAnsiTheme="majorBidi" w:cstheme="majorBidi"/>
          <w:sz w:val="24"/>
          <w:szCs w:val="24"/>
        </w:rPr>
        <w:t>, Hao Dong Chen</w:t>
      </w:r>
      <w:r>
        <w:rPr>
          <w:rFonts w:asciiTheme="majorBidi" w:hAnsiTheme="majorBidi" w:cstheme="majorBidi"/>
          <w:sz w:val="24"/>
          <w:szCs w:val="24"/>
          <w:vertAlign w:val="superscript"/>
        </w:rPr>
        <w:t>4</w:t>
      </w:r>
      <w:r>
        <w:rPr>
          <w:rFonts w:asciiTheme="majorBidi" w:hAnsiTheme="majorBidi" w:cstheme="majorBidi"/>
          <w:sz w:val="24"/>
          <w:szCs w:val="24"/>
        </w:rPr>
        <w:t xml:space="preserve">, </w:t>
      </w:r>
      <w:r>
        <w:rPr>
          <w:rFonts w:asciiTheme="majorBidi" w:hAnsiTheme="majorBidi" w:cstheme="majorBidi" w:hint="eastAsia"/>
          <w:sz w:val="24"/>
          <w:szCs w:val="24"/>
        </w:rPr>
        <w:t>Hai Feng He</w:t>
      </w:r>
      <w:r>
        <w:rPr>
          <w:rFonts w:asciiTheme="majorBidi" w:hAnsiTheme="majorBidi" w:cstheme="majorBidi"/>
          <w:sz w:val="24"/>
          <w:szCs w:val="24"/>
          <w:vertAlign w:val="superscript"/>
        </w:rPr>
        <w:t>4</w:t>
      </w:r>
      <w:r>
        <w:rPr>
          <w:rFonts w:asciiTheme="majorBidi" w:hAnsiTheme="majorBidi" w:cstheme="majorBidi"/>
          <w:sz w:val="24"/>
          <w:szCs w:val="24"/>
        </w:rPr>
        <w:t xml:space="preserve">, </w:t>
      </w:r>
      <w:r w:rsidRPr="00A50E8C">
        <w:rPr>
          <w:rFonts w:asciiTheme="majorBidi" w:hAnsiTheme="majorBidi" w:cstheme="majorBidi"/>
          <w:sz w:val="24"/>
          <w:szCs w:val="24"/>
        </w:rPr>
        <w:t>Muhammad Farhat Ullah</w:t>
      </w:r>
      <w:r>
        <w:rPr>
          <w:rFonts w:asciiTheme="majorBidi" w:hAnsiTheme="majorBidi" w:cstheme="majorBidi"/>
          <w:sz w:val="24"/>
          <w:szCs w:val="24"/>
          <w:vertAlign w:val="superscript"/>
        </w:rPr>
        <w:t>6</w:t>
      </w:r>
      <w:r w:rsidRPr="00A50E8C">
        <w:rPr>
          <w:rFonts w:asciiTheme="majorBidi" w:hAnsiTheme="majorBidi" w:cstheme="majorBidi"/>
          <w:sz w:val="24"/>
          <w:szCs w:val="24"/>
        </w:rPr>
        <w:t>, Shahid Nazir</w:t>
      </w:r>
      <w:r>
        <w:rPr>
          <w:rFonts w:asciiTheme="majorBidi" w:hAnsiTheme="majorBidi" w:cstheme="majorBidi"/>
          <w:sz w:val="24"/>
          <w:szCs w:val="24"/>
          <w:vertAlign w:val="superscript"/>
        </w:rPr>
        <w:t>3</w:t>
      </w:r>
      <w:r w:rsidRPr="00A50E8C">
        <w:rPr>
          <w:rFonts w:asciiTheme="majorBidi" w:hAnsiTheme="majorBidi" w:cstheme="majorBidi"/>
          <w:sz w:val="24"/>
          <w:szCs w:val="24"/>
        </w:rPr>
        <w:t xml:space="preserve">, </w:t>
      </w:r>
      <w:proofErr w:type="spellStart"/>
      <w:r>
        <w:rPr>
          <w:rFonts w:asciiTheme="majorBidi" w:hAnsiTheme="majorBidi" w:cstheme="majorBidi"/>
          <w:sz w:val="24"/>
          <w:szCs w:val="24"/>
        </w:rPr>
        <w:t>Absar</w:t>
      </w:r>
      <w:proofErr w:type="spellEnd"/>
      <w:r>
        <w:rPr>
          <w:rFonts w:asciiTheme="majorBidi" w:hAnsiTheme="majorBidi" w:cstheme="majorBidi"/>
          <w:sz w:val="24"/>
          <w:szCs w:val="24"/>
        </w:rPr>
        <w:t xml:space="preserve"> Ahmad Zafar</w:t>
      </w:r>
      <w:r>
        <w:rPr>
          <w:rFonts w:asciiTheme="majorBidi" w:hAnsiTheme="majorBidi" w:cstheme="majorBidi"/>
          <w:sz w:val="24"/>
          <w:szCs w:val="24"/>
          <w:vertAlign w:val="superscript"/>
        </w:rPr>
        <w:t>7</w:t>
      </w:r>
      <w:r>
        <w:rPr>
          <w:rFonts w:asciiTheme="majorBidi" w:hAnsiTheme="majorBidi" w:cstheme="majorBidi"/>
          <w:sz w:val="24"/>
          <w:szCs w:val="24"/>
        </w:rPr>
        <w:t xml:space="preserve">, </w:t>
      </w:r>
      <w:proofErr w:type="spellStart"/>
      <w:r w:rsidRPr="00A50E8C">
        <w:rPr>
          <w:rFonts w:asciiTheme="majorBidi" w:hAnsiTheme="majorBidi" w:cstheme="majorBidi"/>
          <w:sz w:val="24"/>
          <w:szCs w:val="24"/>
        </w:rPr>
        <w:t>Chuan</w:t>
      </w:r>
      <w:proofErr w:type="spellEnd"/>
      <w:r w:rsidRPr="00A50E8C">
        <w:rPr>
          <w:rFonts w:asciiTheme="majorBidi" w:hAnsiTheme="majorBidi" w:cstheme="majorBidi"/>
          <w:sz w:val="24"/>
          <w:szCs w:val="24"/>
        </w:rPr>
        <w:t>-Chao Wang</w:t>
      </w:r>
      <w:r>
        <w:rPr>
          <w:rFonts w:asciiTheme="majorBidi" w:hAnsiTheme="majorBidi" w:cstheme="majorBidi"/>
          <w:sz w:val="24"/>
          <w:szCs w:val="24"/>
          <w:vertAlign w:val="superscript"/>
        </w:rPr>
        <w:t>4,5,8,9*,</w:t>
      </w:r>
      <w:r>
        <w:rPr>
          <w:rFonts w:asciiTheme="majorBidi" w:hAnsiTheme="majorBidi" w:cstheme="majorBidi"/>
          <w:sz w:val="24"/>
          <w:szCs w:val="24"/>
        </w:rPr>
        <w:t xml:space="preserve"> </w:t>
      </w:r>
      <w:proofErr w:type="spellStart"/>
      <w:r w:rsidRPr="003F6676">
        <w:rPr>
          <w:rFonts w:ascii="Times New Roman" w:hAnsi="Times New Roman" w:hint="eastAsia"/>
          <w:iCs/>
          <w:sz w:val="24"/>
          <w:szCs w:val="24"/>
        </w:rPr>
        <w:t>Hong</w:t>
      </w:r>
      <w:r w:rsidRPr="003F6676">
        <w:rPr>
          <w:rFonts w:ascii="Times New Roman" w:hAnsi="Times New Roman"/>
          <w:iCs/>
          <w:sz w:val="24"/>
          <w:szCs w:val="24"/>
        </w:rPr>
        <w:t>bo</w:t>
      </w:r>
      <w:proofErr w:type="spellEnd"/>
      <w:r w:rsidRPr="003F6676">
        <w:rPr>
          <w:rFonts w:ascii="Times New Roman" w:hAnsi="Times New Roman"/>
          <w:iCs/>
          <w:sz w:val="24"/>
          <w:szCs w:val="24"/>
        </w:rPr>
        <w:t xml:space="preserve"> Wang</w:t>
      </w:r>
      <w:r w:rsidRPr="00223CFF">
        <w:rPr>
          <w:rFonts w:asciiTheme="majorBidi" w:hAnsiTheme="majorBidi" w:cstheme="majorBidi"/>
          <w:sz w:val="24"/>
          <w:szCs w:val="24"/>
          <w:vertAlign w:val="superscript"/>
        </w:rPr>
        <w:t xml:space="preserve"> </w:t>
      </w:r>
      <w:r>
        <w:rPr>
          <w:rFonts w:asciiTheme="majorBidi" w:hAnsiTheme="majorBidi" w:cstheme="majorBidi"/>
          <w:sz w:val="24"/>
          <w:szCs w:val="24"/>
          <w:vertAlign w:val="superscript"/>
        </w:rPr>
        <w:t>10,11*</w:t>
      </w:r>
    </w:p>
    <w:bookmarkEnd w:id="0"/>
    <w:p w14:paraId="3BFC92BF" w14:textId="77777777" w:rsidR="00E76219" w:rsidRPr="00997DE4" w:rsidRDefault="00E76219" w:rsidP="00E76219">
      <w:pPr>
        <w:pStyle w:val="ListParagraph"/>
        <w:numPr>
          <w:ilvl w:val="0"/>
          <w:numId w:val="1"/>
        </w:numPr>
        <w:rPr>
          <w:rFonts w:ascii="Times New Roman" w:hAnsi="Times New Roman"/>
          <w:sz w:val="20"/>
          <w:szCs w:val="20"/>
        </w:rPr>
      </w:pPr>
      <w:r w:rsidRPr="00997DE4">
        <w:rPr>
          <w:rFonts w:ascii="Times New Roman" w:hAnsi="Times New Roman"/>
          <w:sz w:val="20"/>
          <w:szCs w:val="20"/>
        </w:rPr>
        <w:t xml:space="preserve">School of Medical Science, Shandong </w:t>
      </w:r>
      <w:proofErr w:type="spellStart"/>
      <w:r w:rsidRPr="00997DE4">
        <w:rPr>
          <w:rFonts w:ascii="Times New Roman" w:hAnsi="Times New Roman"/>
          <w:sz w:val="20"/>
          <w:szCs w:val="20"/>
        </w:rPr>
        <w:t>Xiehe</w:t>
      </w:r>
      <w:proofErr w:type="spellEnd"/>
      <w:r w:rsidRPr="00997DE4">
        <w:rPr>
          <w:rFonts w:ascii="Times New Roman" w:hAnsi="Times New Roman"/>
          <w:sz w:val="20"/>
          <w:szCs w:val="20"/>
        </w:rPr>
        <w:t xml:space="preserve"> University, Jinan, Shandong Province 250109, China.</w:t>
      </w:r>
    </w:p>
    <w:p w14:paraId="63968F83" w14:textId="77777777" w:rsidR="00E76219" w:rsidRPr="00740011" w:rsidRDefault="00E76219" w:rsidP="00E76219">
      <w:pPr>
        <w:pStyle w:val="ListParagraph"/>
        <w:numPr>
          <w:ilvl w:val="0"/>
          <w:numId w:val="1"/>
        </w:numPr>
        <w:spacing w:beforeLines="50" w:before="120" w:afterLines="50" w:after="120"/>
        <w:rPr>
          <w:rFonts w:ascii="Times New Roman" w:hAnsi="Times New Roman"/>
          <w:sz w:val="20"/>
          <w:szCs w:val="20"/>
        </w:rPr>
      </w:pPr>
      <w:r w:rsidRPr="00740011">
        <w:rPr>
          <w:rFonts w:ascii="Times New Roman" w:hAnsi="Times New Roman"/>
          <w:sz w:val="20"/>
          <w:szCs w:val="20"/>
        </w:rPr>
        <w:t xml:space="preserve">Department of Chemistry and Forensic Science, College of Science, Technology, Engineering, and Mathematics, Eastern Kentucky University, Richmond, Kentucky, 40475, USA. </w:t>
      </w:r>
    </w:p>
    <w:p w14:paraId="220C8489" w14:textId="77777777" w:rsidR="00E76219" w:rsidRPr="00740011" w:rsidRDefault="00E76219" w:rsidP="00E76219">
      <w:pPr>
        <w:pStyle w:val="ListParagraph"/>
        <w:numPr>
          <w:ilvl w:val="0"/>
          <w:numId w:val="1"/>
        </w:numPr>
        <w:spacing w:beforeLines="50" w:before="120" w:afterLines="50" w:after="120"/>
        <w:rPr>
          <w:rFonts w:ascii="Times New Roman" w:hAnsi="Times New Roman"/>
          <w:sz w:val="20"/>
          <w:szCs w:val="20"/>
        </w:rPr>
      </w:pPr>
      <w:r w:rsidRPr="00740011">
        <w:rPr>
          <w:rFonts w:ascii="Times New Roman" w:hAnsi="Times New Roman"/>
          <w:sz w:val="20"/>
          <w:szCs w:val="20"/>
        </w:rPr>
        <w:t>Department of Forensic Sciences, University of Health Sciences, Lahore 54800, Pakistan</w:t>
      </w:r>
    </w:p>
    <w:p w14:paraId="55453D7B" w14:textId="77777777" w:rsidR="00E76219" w:rsidRDefault="00E76219" w:rsidP="00E76219">
      <w:pPr>
        <w:pStyle w:val="ListParagraph"/>
        <w:numPr>
          <w:ilvl w:val="0"/>
          <w:numId w:val="1"/>
        </w:numPr>
        <w:jc w:val="left"/>
        <w:rPr>
          <w:rFonts w:ascii="Times New Roman" w:hAnsi="Times New Roman"/>
          <w:sz w:val="20"/>
          <w:szCs w:val="20"/>
        </w:rPr>
      </w:pPr>
      <w:r w:rsidRPr="00740011">
        <w:rPr>
          <w:rFonts w:ascii="Times New Roman" w:hAnsi="Times New Roman"/>
          <w:sz w:val="20"/>
          <w:szCs w:val="20"/>
        </w:rPr>
        <w:t>State Key Laboratory of Cellular Stress Biology, School of Life Sciences, Xiamen University, Xiamen, 361102, China.</w:t>
      </w:r>
    </w:p>
    <w:p w14:paraId="5C547CFC" w14:textId="77777777" w:rsidR="00E76219" w:rsidRPr="00997DE4" w:rsidRDefault="00E76219" w:rsidP="00E76219">
      <w:pPr>
        <w:pStyle w:val="ListParagraph"/>
        <w:numPr>
          <w:ilvl w:val="0"/>
          <w:numId w:val="1"/>
        </w:numPr>
        <w:spacing w:beforeLines="50" w:before="120" w:afterLines="50" w:after="120"/>
        <w:rPr>
          <w:rFonts w:ascii="Times New Roman" w:hAnsi="Times New Roman"/>
          <w:sz w:val="20"/>
          <w:szCs w:val="20"/>
        </w:rPr>
      </w:pPr>
      <w:r w:rsidRPr="00740011">
        <w:rPr>
          <w:rFonts w:ascii="Times New Roman" w:hAnsi="Times New Roman"/>
          <w:sz w:val="20"/>
          <w:szCs w:val="20"/>
        </w:rPr>
        <w:t>Department of Anthropology and Ethnology, Institute of Anthropology, School of Sociology and Anthropology, Xiamen University, Xiamen, Fujian Province 361000, China</w:t>
      </w:r>
    </w:p>
    <w:p w14:paraId="304BBF91" w14:textId="77777777" w:rsidR="00E76219" w:rsidRPr="00740011" w:rsidRDefault="00E76219" w:rsidP="00E76219">
      <w:pPr>
        <w:pStyle w:val="ListParagraph"/>
        <w:numPr>
          <w:ilvl w:val="0"/>
          <w:numId w:val="1"/>
        </w:numPr>
        <w:jc w:val="left"/>
        <w:rPr>
          <w:rFonts w:ascii="Times New Roman" w:hAnsi="Times New Roman"/>
          <w:sz w:val="20"/>
          <w:szCs w:val="20"/>
        </w:rPr>
      </w:pPr>
      <w:r w:rsidRPr="00740011">
        <w:rPr>
          <w:rFonts w:ascii="Times New Roman" w:hAnsi="Times New Roman"/>
          <w:sz w:val="20"/>
          <w:szCs w:val="20"/>
        </w:rPr>
        <w:t>National Centre for Bioinformatics, Quaid-I-Azam University, Islamabad 44000, Pakistan.</w:t>
      </w:r>
    </w:p>
    <w:p w14:paraId="6500E65B" w14:textId="77777777" w:rsidR="00E76219" w:rsidRDefault="00E76219" w:rsidP="00E76219">
      <w:pPr>
        <w:pStyle w:val="ListParagraph"/>
        <w:numPr>
          <w:ilvl w:val="0"/>
          <w:numId w:val="1"/>
        </w:numPr>
        <w:spacing w:beforeLines="50" w:before="120" w:afterLines="50" w:after="120"/>
        <w:rPr>
          <w:rFonts w:ascii="Times New Roman" w:hAnsi="Times New Roman"/>
          <w:sz w:val="20"/>
          <w:szCs w:val="20"/>
        </w:rPr>
      </w:pPr>
      <w:r w:rsidRPr="000B6160">
        <w:rPr>
          <w:rFonts w:ascii="Times New Roman" w:hAnsi="Times New Roman"/>
          <w:sz w:val="20"/>
          <w:szCs w:val="20"/>
        </w:rPr>
        <w:t xml:space="preserve">Department of Pathology, University </w:t>
      </w:r>
      <w:r>
        <w:rPr>
          <w:rFonts w:ascii="Times New Roman" w:hAnsi="Times New Roman"/>
          <w:sz w:val="20"/>
          <w:szCs w:val="20"/>
        </w:rPr>
        <w:t>H</w:t>
      </w:r>
      <w:r w:rsidRPr="000B6160">
        <w:rPr>
          <w:rFonts w:ascii="Times New Roman" w:hAnsi="Times New Roman"/>
          <w:sz w:val="20"/>
          <w:szCs w:val="20"/>
        </w:rPr>
        <w:t xml:space="preserve">ospitals </w:t>
      </w:r>
      <w:r>
        <w:rPr>
          <w:rFonts w:ascii="Times New Roman" w:hAnsi="Times New Roman"/>
          <w:sz w:val="20"/>
          <w:szCs w:val="20"/>
        </w:rPr>
        <w:t>C</w:t>
      </w:r>
      <w:r w:rsidRPr="000B6160">
        <w:rPr>
          <w:rFonts w:ascii="Times New Roman" w:hAnsi="Times New Roman"/>
          <w:sz w:val="20"/>
          <w:szCs w:val="20"/>
        </w:rPr>
        <w:t>leveland medical center, Cleveland, OH 44106, U</w:t>
      </w:r>
      <w:r>
        <w:rPr>
          <w:rFonts w:ascii="Times New Roman" w:hAnsi="Times New Roman"/>
          <w:sz w:val="20"/>
          <w:szCs w:val="20"/>
        </w:rPr>
        <w:t xml:space="preserve">SA. </w:t>
      </w:r>
    </w:p>
    <w:p w14:paraId="6E92123D" w14:textId="77777777" w:rsidR="00E76219" w:rsidRPr="00740011" w:rsidRDefault="00E76219" w:rsidP="00E76219">
      <w:pPr>
        <w:pStyle w:val="ListParagraph"/>
        <w:numPr>
          <w:ilvl w:val="0"/>
          <w:numId w:val="1"/>
        </w:numPr>
        <w:spacing w:beforeLines="50" w:before="120" w:afterLines="50" w:after="120"/>
        <w:rPr>
          <w:rFonts w:ascii="Times New Roman" w:hAnsi="Times New Roman"/>
          <w:sz w:val="20"/>
          <w:szCs w:val="20"/>
        </w:rPr>
      </w:pPr>
      <w:r w:rsidRPr="00740011">
        <w:rPr>
          <w:rFonts w:ascii="Times New Roman" w:hAnsi="Times New Roman"/>
          <w:sz w:val="20"/>
          <w:szCs w:val="20"/>
        </w:rPr>
        <w:t>Ministry of Education Key Laboratory of Contemporary Anthropology, Department of Anthropology and Human Genetics, School of Life Sciences, Fudan University, Shanghai 200438, China</w:t>
      </w:r>
    </w:p>
    <w:p w14:paraId="74D29E8D" w14:textId="77777777" w:rsidR="00E76219" w:rsidRDefault="00E76219" w:rsidP="00E76219">
      <w:pPr>
        <w:pStyle w:val="ListParagraph"/>
        <w:numPr>
          <w:ilvl w:val="0"/>
          <w:numId w:val="1"/>
        </w:numPr>
        <w:spacing w:beforeLines="50" w:before="120" w:afterLines="50" w:after="120"/>
        <w:rPr>
          <w:rFonts w:ascii="Times New Roman" w:hAnsi="Times New Roman"/>
          <w:sz w:val="20"/>
          <w:szCs w:val="20"/>
        </w:rPr>
      </w:pPr>
      <w:r w:rsidRPr="00740011">
        <w:rPr>
          <w:rFonts w:ascii="Times New Roman" w:hAnsi="Times New Roman"/>
          <w:sz w:val="20"/>
          <w:szCs w:val="20"/>
        </w:rPr>
        <w:t>State Key Laboratory of Genetic Engineering, Center for Evolutionary Biology, School of Life Sciences, Fudan University, Shanghai 200438, China</w:t>
      </w:r>
    </w:p>
    <w:p w14:paraId="4F1972BF" w14:textId="77777777" w:rsidR="00E76219" w:rsidRPr="00740011" w:rsidRDefault="00E76219" w:rsidP="00E76219">
      <w:pPr>
        <w:pStyle w:val="ListParagraph"/>
        <w:numPr>
          <w:ilvl w:val="0"/>
          <w:numId w:val="1"/>
        </w:numPr>
        <w:spacing w:beforeLines="50" w:before="120" w:afterLines="50" w:after="120"/>
        <w:rPr>
          <w:rFonts w:ascii="Times New Roman" w:hAnsi="Times New Roman"/>
          <w:sz w:val="20"/>
          <w:szCs w:val="20"/>
        </w:rPr>
      </w:pPr>
      <w:r w:rsidRPr="00740011">
        <w:rPr>
          <w:rFonts w:ascii="Times New Roman" w:hAnsi="Times New Roman"/>
          <w:sz w:val="20"/>
          <w:szCs w:val="20"/>
        </w:rPr>
        <w:t>School of International Education, Shenyang Medical Collage, Shenyang PR China</w:t>
      </w:r>
    </w:p>
    <w:p w14:paraId="1E53D60A" w14:textId="77777777" w:rsidR="00E76219" w:rsidRPr="000B6160" w:rsidRDefault="00E76219" w:rsidP="00E76219">
      <w:pPr>
        <w:pStyle w:val="ListParagraph"/>
        <w:numPr>
          <w:ilvl w:val="0"/>
          <w:numId w:val="1"/>
        </w:numPr>
        <w:spacing w:beforeLines="50" w:before="120" w:afterLines="50" w:after="120"/>
        <w:rPr>
          <w:rFonts w:ascii="Times New Roman" w:hAnsi="Times New Roman"/>
          <w:sz w:val="20"/>
          <w:szCs w:val="20"/>
        </w:rPr>
      </w:pPr>
      <w:r w:rsidRPr="00740011">
        <w:rPr>
          <w:rFonts w:ascii="Times New Roman" w:hAnsi="Times New Roman"/>
          <w:sz w:val="20"/>
          <w:szCs w:val="20"/>
        </w:rPr>
        <w:t>Liaoning province key Laboratory for Phenomics of Human Ethnic Specificity and critical illness, Shenyang Medical Collage, Shenyang PR China</w:t>
      </w:r>
    </w:p>
    <w:p w14:paraId="11471082" w14:textId="77777777" w:rsidR="00E76219" w:rsidRDefault="00E76219" w:rsidP="00E76219">
      <w:pPr>
        <w:spacing w:beforeLines="100" w:before="240"/>
        <w:rPr>
          <w:rFonts w:ascii="Times New Roman" w:hAnsi="Times New Roman"/>
          <w:b/>
          <w:bCs/>
          <w:sz w:val="24"/>
          <w:szCs w:val="24"/>
        </w:rPr>
      </w:pPr>
      <w:r>
        <w:rPr>
          <w:rFonts w:ascii="Times New Roman" w:hAnsi="Times New Roman"/>
          <w:b/>
          <w:bCs/>
          <w:sz w:val="24"/>
          <w:szCs w:val="24"/>
        </w:rPr>
        <w:t>*Correspondence</w:t>
      </w:r>
    </w:p>
    <w:p w14:paraId="6E50FAA7" w14:textId="77777777" w:rsidR="00E76219" w:rsidRPr="00740011" w:rsidRDefault="00E76219" w:rsidP="00E76219">
      <w:pPr>
        <w:spacing w:beforeLines="100" w:before="240" w:after="0" w:line="240" w:lineRule="auto"/>
        <w:rPr>
          <w:rFonts w:ascii="Times New Roman" w:hAnsi="Times New Roman"/>
        </w:rPr>
      </w:pPr>
      <w:r w:rsidRPr="00740011">
        <w:rPr>
          <w:rFonts w:ascii="Times New Roman" w:hAnsi="Times New Roman"/>
        </w:rPr>
        <w:t>Atif Adnan (</w:t>
      </w:r>
      <w:hyperlink r:id="rId5" w:history="1">
        <w:r w:rsidRPr="00740011">
          <w:rPr>
            <w:rStyle w:val="Hyperlink"/>
            <w:rFonts w:ascii="Times New Roman" w:hAnsi="Times New Roman"/>
          </w:rPr>
          <w:t>mirzaatifadnan@gmail.com</w:t>
        </w:r>
      </w:hyperlink>
      <w:r w:rsidRPr="00740011">
        <w:rPr>
          <w:rFonts w:ascii="Times New Roman" w:hAnsi="Times New Roman"/>
        </w:rPr>
        <w:t>)</w:t>
      </w:r>
    </w:p>
    <w:p w14:paraId="33ACD80C" w14:textId="77777777" w:rsidR="00E76219" w:rsidRDefault="00E76219" w:rsidP="00E76219">
      <w:pPr>
        <w:spacing w:beforeLines="100" w:before="240" w:after="0" w:line="240" w:lineRule="auto"/>
        <w:rPr>
          <w:rFonts w:ascii="Times New Roman" w:hAnsi="Times New Roman"/>
        </w:rPr>
      </w:pPr>
      <w:proofErr w:type="spellStart"/>
      <w:r w:rsidRPr="00740011">
        <w:rPr>
          <w:rFonts w:ascii="Times New Roman" w:hAnsi="Times New Roman"/>
        </w:rPr>
        <w:t>Chuan</w:t>
      </w:r>
      <w:proofErr w:type="spellEnd"/>
      <w:r>
        <w:rPr>
          <w:rFonts w:ascii="Times New Roman" w:hAnsi="Times New Roman"/>
        </w:rPr>
        <w:t>-</w:t>
      </w:r>
      <w:r w:rsidRPr="00740011">
        <w:rPr>
          <w:rFonts w:ascii="Times New Roman" w:hAnsi="Times New Roman"/>
        </w:rPr>
        <w:t>Chao Wang (</w:t>
      </w:r>
      <w:hyperlink r:id="rId6" w:history="1">
        <w:r w:rsidRPr="00740011">
          <w:rPr>
            <w:rStyle w:val="Hyperlink"/>
            <w:rFonts w:ascii="Times New Roman" w:hAnsi="Times New Roman"/>
          </w:rPr>
          <w:t>wang@xmu.edu.cn</w:t>
        </w:r>
      </w:hyperlink>
      <w:r w:rsidRPr="00740011">
        <w:rPr>
          <w:rFonts w:ascii="Times New Roman" w:hAnsi="Times New Roman"/>
        </w:rPr>
        <w:t>)</w:t>
      </w:r>
    </w:p>
    <w:p w14:paraId="08E9161C" w14:textId="77777777" w:rsidR="00E76219" w:rsidRPr="00740011" w:rsidRDefault="00E76219" w:rsidP="00E76219">
      <w:pPr>
        <w:spacing w:beforeLines="100" w:before="240" w:after="0" w:line="240" w:lineRule="auto"/>
        <w:rPr>
          <w:rFonts w:ascii="Times New Roman" w:hAnsi="Times New Roman"/>
        </w:rPr>
      </w:pPr>
      <w:proofErr w:type="spellStart"/>
      <w:r w:rsidRPr="003F6676">
        <w:rPr>
          <w:rFonts w:ascii="Times New Roman" w:hAnsi="Times New Roman" w:hint="eastAsia"/>
          <w:iCs/>
          <w:sz w:val="24"/>
          <w:szCs w:val="24"/>
        </w:rPr>
        <w:t>Hong</w:t>
      </w:r>
      <w:r w:rsidRPr="003F6676">
        <w:rPr>
          <w:rFonts w:ascii="Times New Roman" w:hAnsi="Times New Roman"/>
          <w:iCs/>
          <w:sz w:val="24"/>
          <w:szCs w:val="24"/>
        </w:rPr>
        <w:t>bo</w:t>
      </w:r>
      <w:proofErr w:type="spellEnd"/>
      <w:r w:rsidRPr="003F6676">
        <w:rPr>
          <w:rFonts w:ascii="Times New Roman" w:hAnsi="Times New Roman"/>
          <w:iCs/>
          <w:sz w:val="24"/>
          <w:szCs w:val="24"/>
        </w:rPr>
        <w:t xml:space="preserve"> Wang</w:t>
      </w:r>
      <w:r>
        <w:rPr>
          <w:rFonts w:ascii="Times New Roman" w:hAnsi="Times New Roman"/>
          <w:iCs/>
          <w:sz w:val="24"/>
          <w:szCs w:val="24"/>
        </w:rPr>
        <w:t xml:space="preserve"> (</w:t>
      </w:r>
      <w:hyperlink r:id="rId7" w:history="1">
        <w:r w:rsidRPr="00CA3998">
          <w:rPr>
            <w:rStyle w:val="Hyperlink"/>
            <w:rFonts w:ascii="Times New Roman" w:hAnsi="Times New Roman"/>
            <w:iCs/>
            <w:sz w:val="24"/>
            <w:szCs w:val="24"/>
          </w:rPr>
          <w:t>wanghongbo@symc.edu.cn</w:t>
        </w:r>
      </w:hyperlink>
      <w:r>
        <w:rPr>
          <w:rFonts w:ascii="Times New Roman" w:hAnsi="Times New Roman"/>
          <w:iCs/>
          <w:sz w:val="24"/>
          <w:szCs w:val="24"/>
        </w:rPr>
        <w:t xml:space="preserve">) </w:t>
      </w:r>
    </w:p>
    <w:p w14:paraId="151ECD36" w14:textId="5336FA9B" w:rsidR="00E76219" w:rsidRDefault="00E76219" w:rsidP="00E76219">
      <w:pPr>
        <w:rPr>
          <w:rFonts w:asciiTheme="majorBidi" w:hAnsiTheme="majorBidi" w:cstheme="majorBidi"/>
          <w:sz w:val="24"/>
          <w:szCs w:val="24"/>
        </w:rPr>
      </w:pPr>
    </w:p>
    <w:p w14:paraId="7F38F4AE" w14:textId="470FB863" w:rsidR="00E76219" w:rsidRDefault="00E76219" w:rsidP="00E76219">
      <w:pPr>
        <w:rPr>
          <w:rFonts w:asciiTheme="majorBidi" w:hAnsiTheme="majorBidi" w:cstheme="majorBidi"/>
          <w:sz w:val="24"/>
          <w:szCs w:val="24"/>
        </w:rPr>
      </w:pPr>
    </w:p>
    <w:p w14:paraId="41218D80" w14:textId="3F3E31AE" w:rsidR="00E76219" w:rsidRDefault="00E76219" w:rsidP="00E76219">
      <w:pPr>
        <w:rPr>
          <w:rFonts w:asciiTheme="majorBidi" w:hAnsiTheme="majorBidi" w:cstheme="majorBidi"/>
          <w:sz w:val="24"/>
          <w:szCs w:val="24"/>
        </w:rPr>
      </w:pPr>
    </w:p>
    <w:p w14:paraId="5004B34E" w14:textId="5F5FA208" w:rsidR="00E76219" w:rsidRDefault="00E76219" w:rsidP="00E76219">
      <w:pPr>
        <w:rPr>
          <w:rFonts w:asciiTheme="majorBidi" w:hAnsiTheme="majorBidi" w:cstheme="majorBidi"/>
          <w:sz w:val="24"/>
          <w:szCs w:val="24"/>
        </w:rPr>
      </w:pPr>
    </w:p>
    <w:p w14:paraId="72D7FFEB" w14:textId="6381D39A" w:rsidR="00E76219" w:rsidRDefault="00E76219" w:rsidP="00E76219">
      <w:pPr>
        <w:rPr>
          <w:rFonts w:asciiTheme="majorBidi" w:hAnsiTheme="majorBidi" w:cstheme="majorBidi"/>
          <w:sz w:val="24"/>
          <w:szCs w:val="24"/>
        </w:rPr>
      </w:pPr>
    </w:p>
    <w:p w14:paraId="069FB741" w14:textId="3845F934" w:rsidR="00E76219" w:rsidRDefault="00E76219" w:rsidP="00E76219">
      <w:pPr>
        <w:rPr>
          <w:rFonts w:asciiTheme="majorBidi" w:hAnsiTheme="majorBidi" w:cstheme="majorBidi"/>
          <w:sz w:val="24"/>
          <w:szCs w:val="24"/>
        </w:rPr>
      </w:pPr>
    </w:p>
    <w:p w14:paraId="6F760965" w14:textId="1E5348CD" w:rsidR="00E76219" w:rsidRDefault="00E76219" w:rsidP="00E76219">
      <w:pPr>
        <w:rPr>
          <w:rFonts w:asciiTheme="majorBidi" w:hAnsiTheme="majorBidi" w:cstheme="majorBidi"/>
          <w:sz w:val="24"/>
          <w:szCs w:val="24"/>
        </w:rPr>
      </w:pPr>
    </w:p>
    <w:p w14:paraId="7C1CA388" w14:textId="71BA880C" w:rsidR="00E76219" w:rsidRDefault="00E76219" w:rsidP="00E76219">
      <w:pPr>
        <w:rPr>
          <w:rFonts w:asciiTheme="majorBidi" w:hAnsiTheme="majorBidi" w:cstheme="majorBidi"/>
          <w:sz w:val="24"/>
          <w:szCs w:val="24"/>
        </w:rPr>
      </w:pPr>
    </w:p>
    <w:p w14:paraId="1C022714" w14:textId="19A1E157" w:rsidR="00E76219" w:rsidRDefault="00E76219" w:rsidP="00E76219">
      <w:pPr>
        <w:rPr>
          <w:rFonts w:asciiTheme="majorBidi" w:hAnsiTheme="majorBidi" w:cstheme="majorBidi"/>
          <w:sz w:val="24"/>
          <w:szCs w:val="24"/>
        </w:rPr>
      </w:pPr>
    </w:p>
    <w:p w14:paraId="724E8D7C" w14:textId="4A96C7CE" w:rsidR="00E76219" w:rsidRDefault="00E76219" w:rsidP="00E76219">
      <w:pPr>
        <w:rPr>
          <w:rFonts w:asciiTheme="majorBidi" w:hAnsiTheme="majorBidi" w:cstheme="majorBidi"/>
          <w:sz w:val="24"/>
          <w:szCs w:val="24"/>
        </w:rPr>
      </w:pPr>
    </w:p>
    <w:p w14:paraId="4E3643D2" w14:textId="77777777" w:rsidR="00E76219" w:rsidRPr="00E76219" w:rsidRDefault="00E76219" w:rsidP="00E76219">
      <w:pPr>
        <w:rPr>
          <w:rFonts w:asciiTheme="majorBidi" w:hAnsiTheme="majorBidi" w:cstheme="majorBidi"/>
          <w:sz w:val="24"/>
          <w:szCs w:val="24"/>
        </w:rPr>
      </w:pPr>
    </w:p>
    <w:p w14:paraId="4E451302" w14:textId="69A077D4" w:rsidR="00E76219" w:rsidRPr="00E76219" w:rsidRDefault="00E76219" w:rsidP="00E76219">
      <w:pPr>
        <w:rPr>
          <w:rFonts w:asciiTheme="majorBidi" w:hAnsiTheme="majorBidi" w:cstheme="majorBidi"/>
          <w:b/>
          <w:bCs/>
          <w:sz w:val="28"/>
          <w:szCs w:val="28"/>
        </w:rPr>
      </w:pPr>
      <w:r w:rsidRPr="00E76219">
        <w:rPr>
          <w:rFonts w:asciiTheme="majorBidi" w:hAnsiTheme="majorBidi" w:cstheme="majorBidi"/>
          <w:b/>
          <w:bCs/>
          <w:sz w:val="28"/>
          <w:szCs w:val="28"/>
        </w:rPr>
        <w:lastRenderedPageBreak/>
        <w:t>Sequencing methodology text Supplementary file 1</w:t>
      </w:r>
    </w:p>
    <w:p w14:paraId="200A98BC" w14:textId="59B34AAF" w:rsidR="00E76219" w:rsidRPr="00E76219" w:rsidRDefault="00E76219" w:rsidP="00E76219">
      <w:pPr>
        <w:rPr>
          <w:rFonts w:asciiTheme="majorBidi" w:hAnsiTheme="majorBidi" w:cstheme="majorBidi"/>
          <w:b/>
          <w:bCs/>
          <w:i/>
          <w:iCs/>
          <w:sz w:val="24"/>
          <w:szCs w:val="24"/>
        </w:rPr>
      </w:pPr>
      <w:r w:rsidRPr="00C3188A">
        <w:rPr>
          <w:rFonts w:asciiTheme="majorBidi" w:hAnsiTheme="majorBidi" w:cstheme="majorBidi"/>
          <w:b/>
          <w:bCs/>
          <w:i/>
          <w:iCs/>
          <w:sz w:val="24"/>
          <w:szCs w:val="24"/>
        </w:rPr>
        <w:t>Library Construction and Next-Generation Sequencing Workflow</w:t>
      </w:r>
    </w:p>
    <w:p w14:paraId="6D197BE6" w14:textId="4754957C" w:rsidR="00E76219" w:rsidRPr="00C3188A" w:rsidRDefault="00E76219" w:rsidP="00E76219">
      <w:pPr>
        <w:jc w:val="both"/>
        <w:rPr>
          <w:rFonts w:asciiTheme="majorBidi" w:hAnsiTheme="majorBidi" w:cstheme="majorBidi"/>
          <w:sz w:val="24"/>
          <w:szCs w:val="24"/>
        </w:rPr>
      </w:pPr>
      <w:r w:rsidRPr="00C3188A">
        <w:rPr>
          <w:rFonts w:asciiTheme="majorBidi" w:hAnsiTheme="majorBidi" w:cstheme="majorBidi"/>
          <w:sz w:val="24"/>
          <w:szCs w:val="24"/>
        </w:rPr>
        <w:t xml:space="preserve">DNA libraries were prepared using the </w:t>
      </w:r>
      <w:proofErr w:type="spellStart"/>
      <w:r w:rsidRPr="00C3188A">
        <w:rPr>
          <w:rFonts w:asciiTheme="majorBidi" w:hAnsiTheme="majorBidi" w:cstheme="majorBidi"/>
          <w:sz w:val="24"/>
          <w:szCs w:val="24"/>
        </w:rPr>
        <w:t>MtDNA</w:t>
      </w:r>
      <w:proofErr w:type="spellEnd"/>
      <w:r w:rsidRPr="00C3188A">
        <w:rPr>
          <w:rFonts w:asciiTheme="majorBidi" w:hAnsiTheme="majorBidi" w:cstheme="majorBidi"/>
          <w:sz w:val="24"/>
          <w:szCs w:val="24"/>
        </w:rPr>
        <w:t xml:space="preserve"> Library Preparation Kit 2.0 </w:t>
      </w:r>
      <w:r>
        <w:rPr>
          <w:rFonts w:asciiTheme="majorBidi" w:hAnsiTheme="majorBidi" w:cstheme="majorBidi"/>
          <w:sz w:val="24"/>
          <w:szCs w:val="24"/>
        </w:rPr>
        <w:t>(</w:t>
      </w:r>
      <w:r w:rsidRPr="00912DDC">
        <w:rPr>
          <w:rFonts w:asciiTheme="majorBidi" w:hAnsiTheme="majorBidi" w:cstheme="majorBidi"/>
          <w:sz w:val="24"/>
          <w:szCs w:val="24"/>
        </w:rPr>
        <w:t>Enlighten Biotech, Shanghai, China; CatLog#MTLP2.0)</w:t>
      </w:r>
      <w:r>
        <w:rPr>
          <w:rFonts w:asciiTheme="majorBidi" w:hAnsiTheme="majorBidi" w:cstheme="majorBidi"/>
          <w:sz w:val="24"/>
          <w:szCs w:val="24"/>
        </w:rPr>
        <w:t xml:space="preserve"> </w:t>
      </w:r>
      <w:r w:rsidRPr="00C3188A">
        <w:rPr>
          <w:rFonts w:asciiTheme="majorBidi" w:hAnsiTheme="majorBidi" w:cstheme="majorBidi"/>
          <w:sz w:val="24"/>
          <w:szCs w:val="24"/>
        </w:rPr>
        <w:t xml:space="preserve">and the </w:t>
      </w:r>
      <w:proofErr w:type="spellStart"/>
      <w:r w:rsidRPr="00C3188A">
        <w:rPr>
          <w:rFonts w:asciiTheme="majorBidi" w:hAnsiTheme="majorBidi" w:cstheme="majorBidi"/>
          <w:sz w:val="24"/>
          <w:szCs w:val="24"/>
        </w:rPr>
        <w:t>WhoChrMT</w:t>
      </w:r>
      <w:proofErr w:type="spellEnd"/>
      <w:r w:rsidRPr="00C3188A">
        <w:rPr>
          <w:rFonts w:asciiTheme="majorBidi" w:hAnsiTheme="majorBidi" w:cstheme="majorBidi"/>
          <w:sz w:val="24"/>
          <w:szCs w:val="24"/>
        </w:rPr>
        <w:t xml:space="preserve"> kit (Enlighten Biotech, Shanghai, China</w:t>
      </w:r>
      <w:r w:rsidRPr="00411B90">
        <w:rPr>
          <w:rFonts w:asciiTheme="majorBidi" w:hAnsiTheme="majorBidi" w:cstheme="majorBidi"/>
          <w:sz w:val="24"/>
          <w:szCs w:val="24"/>
        </w:rPr>
        <w:t>; CatLog#WCMT1.0</w:t>
      </w:r>
      <w:r w:rsidRPr="00C3188A">
        <w:rPr>
          <w:rFonts w:asciiTheme="majorBidi" w:hAnsiTheme="majorBidi" w:cstheme="majorBidi"/>
          <w:sz w:val="24"/>
          <w:szCs w:val="24"/>
        </w:rPr>
        <w:t xml:space="preserve">). The initial PCR amplification was performed in a final reaction volume of 30 </w:t>
      </w:r>
      <w:proofErr w:type="spellStart"/>
      <w:r w:rsidRPr="00C3188A">
        <w:rPr>
          <w:rFonts w:asciiTheme="majorBidi" w:hAnsiTheme="majorBidi" w:cstheme="majorBidi"/>
          <w:sz w:val="24"/>
          <w:szCs w:val="24"/>
        </w:rPr>
        <w:t>μL</w:t>
      </w:r>
      <w:proofErr w:type="spellEnd"/>
      <w:r w:rsidRPr="00C3188A">
        <w:rPr>
          <w:rFonts w:asciiTheme="majorBidi" w:hAnsiTheme="majorBidi" w:cstheme="majorBidi"/>
          <w:sz w:val="24"/>
          <w:szCs w:val="24"/>
        </w:rPr>
        <w:t xml:space="preserve">, containing 10 ng of template DNA, 5 </w:t>
      </w:r>
      <w:proofErr w:type="spellStart"/>
      <w:r w:rsidRPr="00C3188A">
        <w:rPr>
          <w:rFonts w:asciiTheme="majorBidi" w:hAnsiTheme="majorBidi" w:cstheme="majorBidi"/>
          <w:sz w:val="24"/>
          <w:szCs w:val="24"/>
        </w:rPr>
        <w:t>μL</w:t>
      </w:r>
      <w:proofErr w:type="spellEnd"/>
      <w:r w:rsidRPr="00C3188A">
        <w:rPr>
          <w:rFonts w:asciiTheme="majorBidi" w:hAnsiTheme="majorBidi" w:cstheme="majorBidi"/>
          <w:sz w:val="24"/>
          <w:szCs w:val="24"/>
        </w:rPr>
        <w:t xml:space="preserve"> </w:t>
      </w:r>
      <w:proofErr w:type="spellStart"/>
      <w:r w:rsidRPr="00C3188A">
        <w:rPr>
          <w:rFonts w:asciiTheme="majorBidi" w:hAnsiTheme="majorBidi" w:cstheme="majorBidi"/>
          <w:sz w:val="24"/>
          <w:szCs w:val="24"/>
        </w:rPr>
        <w:t>RealCapChrMT</w:t>
      </w:r>
      <w:proofErr w:type="spellEnd"/>
      <w:r w:rsidRPr="00C3188A">
        <w:rPr>
          <w:rFonts w:asciiTheme="majorBidi" w:hAnsiTheme="majorBidi" w:cstheme="majorBidi"/>
          <w:sz w:val="24"/>
          <w:szCs w:val="24"/>
        </w:rPr>
        <w:t xml:space="preserve"> Mix, and 10 </w:t>
      </w:r>
      <w:proofErr w:type="spellStart"/>
      <w:r w:rsidRPr="00C3188A">
        <w:rPr>
          <w:rFonts w:asciiTheme="majorBidi" w:hAnsiTheme="majorBidi" w:cstheme="majorBidi"/>
          <w:sz w:val="24"/>
          <w:szCs w:val="24"/>
        </w:rPr>
        <w:t>μL</w:t>
      </w:r>
      <w:proofErr w:type="spellEnd"/>
      <w:r w:rsidRPr="00C3188A">
        <w:rPr>
          <w:rFonts w:asciiTheme="majorBidi" w:hAnsiTheme="majorBidi" w:cstheme="majorBidi"/>
          <w:sz w:val="24"/>
          <w:szCs w:val="24"/>
        </w:rPr>
        <w:t xml:space="preserve"> 3×EnzymeHF, with the remaining volume adjusted using nuclease-free water. The thermal cycling conditions included an enzyme activation step at 98 °C for 3 minutes, followed by 13 cycles of denaturation at 98 °C for 20 seconds and annealing/extension at 58 °C for 4 minutes. </w:t>
      </w:r>
      <w:r w:rsidRPr="00DD01BB">
        <w:rPr>
          <w:rFonts w:asciiTheme="majorBidi" w:hAnsiTheme="majorBidi" w:cstheme="majorBidi"/>
          <w:sz w:val="24"/>
          <w:szCs w:val="24"/>
        </w:rPr>
        <w:t xml:space="preserve">The </w:t>
      </w:r>
      <w:proofErr w:type="spellStart"/>
      <w:r>
        <w:rPr>
          <w:rFonts w:asciiTheme="majorBidi" w:hAnsiTheme="majorBidi" w:cstheme="majorBidi"/>
          <w:sz w:val="24"/>
          <w:szCs w:val="24"/>
        </w:rPr>
        <w:t>m</w:t>
      </w:r>
      <w:r w:rsidRPr="00DD01BB">
        <w:rPr>
          <w:rFonts w:asciiTheme="majorBidi" w:hAnsiTheme="majorBidi" w:cstheme="majorBidi"/>
          <w:sz w:val="24"/>
          <w:szCs w:val="24"/>
        </w:rPr>
        <w:t>tDNA</w:t>
      </w:r>
      <w:proofErr w:type="spellEnd"/>
      <w:r w:rsidRPr="00DD01BB">
        <w:rPr>
          <w:rFonts w:asciiTheme="majorBidi" w:hAnsiTheme="majorBidi" w:cstheme="majorBidi"/>
          <w:sz w:val="24"/>
          <w:szCs w:val="24"/>
        </w:rPr>
        <w:t xml:space="preserve"> Library Preparation Kit 2.0 and </w:t>
      </w:r>
      <w:proofErr w:type="spellStart"/>
      <w:r w:rsidRPr="00DD01BB">
        <w:rPr>
          <w:rFonts w:asciiTheme="majorBidi" w:hAnsiTheme="majorBidi" w:cstheme="majorBidi"/>
          <w:sz w:val="24"/>
          <w:szCs w:val="24"/>
        </w:rPr>
        <w:t>WhoChrMT</w:t>
      </w:r>
      <w:proofErr w:type="spellEnd"/>
      <w:r w:rsidRPr="00DD01BB">
        <w:rPr>
          <w:rFonts w:asciiTheme="majorBidi" w:hAnsiTheme="majorBidi" w:cstheme="majorBidi"/>
          <w:sz w:val="24"/>
          <w:szCs w:val="24"/>
        </w:rPr>
        <w:t xml:space="preserve"> kit use specific, targeted primers for whole</w:t>
      </w:r>
      <w:r>
        <w:rPr>
          <w:rFonts w:asciiTheme="majorBidi" w:hAnsiTheme="majorBidi" w:cstheme="majorBidi"/>
          <w:sz w:val="24"/>
          <w:szCs w:val="24"/>
        </w:rPr>
        <w:t xml:space="preserve"> </w:t>
      </w:r>
      <w:r w:rsidRPr="00DD01BB">
        <w:rPr>
          <w:rFonts w:asciiTheme="majorBidi" w:hAnsiTheme="majorBidi" w:cstheme="majorBidi"/>
          <w:sz w:val="24"/>
          <w:szCs w:val="24"/>
        </w:rPr>
        <w:t xml:space="preserve">mitogenome amplification, avoiding random primers to ensure specificity. Primer sequences were removed during read trimming with </w:t>
      </w:r>
      <w:proofErr w:type="spellStart"/>
      <w:r w:rsidRPr="00DD01BB">
        <w:rPr>
          <w:rFonts w:asciiTheme="majorBidi" w:hAnsiTheme="majorBidi" w:cstheme="majorBidi"/>
          <w:sz w:val="24"/>
          <w:szCs w:val="24"/>
        </w:rPr>
        <w:t>Cutadapt</w:t>
      </w:r>
      <w:proofErr w:type="spellEnd"/>
      <w:r w:rsidRPr="00DD01BB">
        <w:rPr>
          <w:rFonts w:asciiTheme="majorBidi" w:hAnsiTheme="majorBidi" w:cstheme="majorBidi"/>
          <w:sz w:val="24"/>
          <w:szCs w:val="24"/>
        </w:rPr>
        <w:t xml:space="preserve"> (version 2.10, Martin, 2011)</w:t>
      </w:r>
      <w:r>
        <w:rPr>
          <w:rFonts w:asciiTheme="majorBidi" w:hAnsiTheme="majorBidi" w:cstheme="majorBidi"/>
          <w:sz w:val="24"/>
          <w:szCs w:val="24"/>
        </w:rPr>
        <w:t xml:space="preserve"> </w:t>
      </w:r>
      <w:r>
        <w:rPr>
          <w:rFonts w:asciiTheme="majorBidi" w:hAnsiTheme="majorBidi" w:cstheme="majorBidi"/>
          <w:sz w:val="24"/>
          <w:szCs w:val="24"/>
        </w:rPr>
        <w:fldChar w:fldCharType="begin"/>
      </w:r>
      <w:r>
        <w:rPr>
          <w:rFonts w:asciiTheme="majorBidi" w:hAnsiTheme="majorBidi" w:cstheme="majorBidi"/>
          <w:sz w:val="24"/>
          <w:szCs w:val="24"/>
        </w:rPr>
        <w:instrText xml:space="preserve"> ADDIN ZOTERO_ITEM CSL_CITATION {"citationID":"w0fPlVy0","properties":{"formattedCitation":"[1]","plainCitation":"[1]","noteIndex":0},"citationItems":[{"id":2385,"uris":["http://zotero.org/users/1723825/items/EFVGJM3E"],"itemData":{"id":2385,"type":"article-journal","container-title":"EMBnet.journal","DOI":"10.14806/ej.17.1.200","ISSN":"2226-6089","issue":"1","journalAbbreviation":"EMBnet j.","page":"10","source":"DOI.org (Crossref)","title":"Cutadapt removes adapter sequences from high-throughput sequencing reads","volume":"17","author":[{"family":"Martin","given":"Marcel"}],"issued":{"date-parts":[["2011",5,2]]}}}],"schema":"https://github.com/citation-style-language/schema/raw/master/csl-citation.json"} </w:instrText>
      </w:r>
      <w:r>
        <w:rPr>
          <w:rFonts w:asciiTheme="majorBidi" w:hAnsiTheme="majorBidi" w:cstheme="majorBidi"/>
          <w:sz w:val="24"/>
          <w:szCs w:val="24"/>
        </w:rPr>
        <w:fldChar w:fldCharType="separate"/>
      </w:r>
      <w:r w:rsidRPr="00E76219">
        <w:rPr>
          <w:rFonts w:ascii="Times New Roman" w:hAnsi="Times New Roman" w:cs="Times New Roman"/>
          <w:sz w:val="24"/>
        </w:rPr>
        <w:t>[1]</w:t>
      </w:r>
      <w:r>
        <w:rPr>
          <w:rFonts w:asciiTheme="majorBidi" w:hAnsiTheme="majorBidi" w:cstheme="majorBidi"/>
          <w:sz w:val="24"/>
          <w:szCs w:val="24"/>
        </w:rPr>
        <w:fldChar w:fldCharType="end"/>
      </w:r>
      <w:r w:rsidRPr="00DD01BB">
        <w:rPr>
          <w:rFonts w:asciiTheme="majorBidi" w:hAnsiTheme="majorBidi" w:cstheme="majorBidi"/>
          <w:sz w:val="24"/>
          <w:szCs w:val="24"/>
        </w:rPr>
        <w:t xml:space="preserve">. </w:t>
      </w:r>
      <w:r w:rsidRPr="00C3188A">
        <w:rPr>
          <w:rFonts w:asciiTheme="majorBidi" w:hAnsiTheme="majorBidi" w:cstheme="majorBidi"/>
          <w:sz w:val="24"/>
          <w:szCs w:val="24"/>
        </w:rPr>
        <w:t xml:space="preserve">This was followed by 7 additional cycles of denaturation at 98 °C for 20 seconds and extension at 72 °C for 1 minute, with a final extension at 72 °C for 2 minutes and a hold at 10 °C. The PCR products were purified using </w:t>
      </w:r>
      <w:proofErr w:type="spellStart"/>
      <w:r w:rsidRPr="00C3188A">
        <w:rPr>
          <w:rFonts w:asciiTheme="majorBidi" w:hAnsiTheme="majorBidi" w:cstheme="majorBidi"/>
          <w:sz w:val="24"/>
          <w:szCs w:val="24"/>
        </w:rPr>
        <w:t>Agencourt</w:t>
      </w:r>
      <w:proofErr w:type="spellEnd"/>
      <w:r w:rsidRPr="00C3188A">
        <w:rPr>
          <w:rFonts w:asciiTheme="majorBidi" w:hAnsiTheme="majorBidi" w:cstheme="majorBidi"/>
          <w:sz w:val="24"/>
          <w:szCs w:val="24"/>
        </w:rPr>
        <w:t xml:space="preserve"> </w:t>
      </w:r>
      <w:proofErr w:type="spellStart"/>
      <w:r w:rsidRPr="00C3188A">
        <w:rPr>
          <w:rFonts w:asciiTheme="majorBidi" w:hAnsiTheme="majorBidi" w:cstheme="majorBidi"/>
          <w:sz w:val="24"/>
          <w:szCs w:val="24"/>
        </w:rPr>
        <w:t>AMPure</w:t>
      </w:r>
      <w:proofErr w:type="spellEnd"/>
      <w:r w:rsidRPr="00C3188A">
        <w:rPr>
          <w:rFonts w:asciiTheme="majorBidi" w:hAnsiTheme="majorBidi" w:cstheme="majorBidi"/>
          <w:sz w:val="24"/>
          <w:szCs w:val="24"/>
        </w:rPr>
        <w:t xml:space="preserve"> XP beads (Beckman Coulter).</w:t>
      </w:r>
    </w:p>
    <w:p w14:paraId="05B30BDD" w14:textId="3B2AD047" w:rsidR="00E76219" w:rsidRPr="00BF5C67" w:rsidRDefault="00E76219" w:rsidP="00E76219">
      <w:pPr>
        <w:jc w:val="both"/>
        <w:rPr>
          <w:rFonts w:asciiTheme="majorBidi" w:hAnsiTheme="majorBidi" w:cstheme="majorBidi"/>
          <w:sz w:val="24"/>
          <w:szCs w:val="24"/>
        </w:rPr>
      </w:pPr>
      <w:r w:rsidRPr="00C3188A">
        <w:rPr>
          <w:rFonts w:asciiTheme="majorBidi" w:hAnsiTheme="majorBidi" w:cstheme="majorBidi"/>
          <w:sz w:val="24"/>
          <w:szCs w:val="24"/>
        </w:rPr>
        <w:t xml:space="preserve">A second round of PCR amplification was conducted to incorporate adapters and barcodes. </w:t>
      </w:r>
      <w:r w:rsidRPr="00DD01BB">
        <w:rPr>
          <w:rFonts w:asciiTheme="majorBidi" w:hAnsiTheme="majorBidi" w:cstheme="majorBidi"/>
          <w:sz w:val="24"/>
          <w:szCs w:val="24"/>
        </w:rPr>
        <w:t xml:space="preserve">Unlike ligation-based methods, the </w:t>
      </w:r>
      <w:proofErr w:type="spellStart"/>
      <w:r>
        <w:rPr>
          <w:rFonts w:asciiTheme="majorBidi" w:hAnsiTheme="majorBidi" w:cstheme="majorBidi"/>
          <w:sz w:val="24"/>
          <w:szCs w:val="24"/>
        </w:rPr>
        <w:t>m</w:t>
      </w:r>
      <w:r w:rsidRPr="00DD01BB">
        <w:rPr>
          <w:rFonts w:asciiTheme="majorBidi" w:hAnsiTheme="majorBidi" w:cstheme="majorBidi"/>
          <w:sz w:val="24"/>
          <w:szCs w:val="24"/>
        </w:rPr>
        <w:t>tDNA</w:t>
      </w:r>
      <w:proofErr w:type="spellEnd"/>
      <w:r w:rsidRPr="00DD01BB">
        <w:rPr>
          <w:rFonts w:asciiTheme="majorBidi" w:hAnsiTheme="majorBidi" w:cstheme="majorBidi"/>
          <w:sz w:val="24"/>
          <w:szCs w:val="24"/>
        </w:rPr>
        <w:t xml:space="preserve"> Library Preparation Kit 2.0 employs a second round of PCR to incorporate adapters and barcodes, a validated approach for </w:t>
      </w:r>
      <w:proofErr w:type="spellStart"/>
      <w:r w:rsidRPr="00DD01BB">
        <w:rPr>
          <w:rFonts w:asciiTheme="majorBidi" w:hAnsiTheme="majorBidi" w:cstheme="majorBidi"/>
          <w:sz w:val="24"/>
          <w:szCs w:val="24"/>
        </w:rPr>
        <w:t>mtDNA</w:t>
      </w:r>
      <w:proofErr w:type="spellEnd"/>
      <w:r w:rsidRPr="00DD01BB">
        <w:rPr>
          <w:rFonts w:asciiTheme="majorBidi" w:hAnsiTheme="majorBidi" w:cstheme="majorBidi"/>
          <w:sz w:val="24"/>
          <w:szCs w:val="24"/>
        </w:rPr>
        <w:t xml:space="preserve"> sequencing that ensures compatibility with Illumina platforms while minimizing sample loss </w:t>
      </w:r>
      <w:r>
        <w:rPr>
          <w:rFonts w:asciiTheme="majorBidi" w:hAnsiTheme="majorBidi" w:cstheme="majorBidi"/>
          <w:sz w:val="24"/>
          <w:szCs w:val="24"/>
        </w:rPr>
        <w:fldChar w:fldCharType="begin"/>
      </w:r>
      <w:r>
        <w:rPr>
          <w:rFonts w:asciiTheme="majorBidi" w:hAnsiTheme="majorBidi" w:cstheme="majorBidi"/>
          <w:sz w:val="24"/>
          <w:szCs w:val="24"/>
        </w:rPr>
        <w:instrText xml:space="preserve"> ADDIN ZOTERO_ITEM CSL_CITATION {"citationID":"BdRxnwz3","properties":{"formattedCitation":"[2]","plainCitation":"[2]","noteIndex":0},"citationItems":[{"id":2564,"uris":["http://zotero.org/users/1723825/items/NUCRSLMX"],"itemData":{"id":2564,"type":"article-journal","container-title":"The American Journal of Human Genetics","DOI":"10.1016/j.ajhg.2010.07.014","ISSN":"00029297","issue":"2","journalAbbreviation":"The American Journal of Human Genetics","language":"en","license":"https://www.elsevier.com/tdm/userlicense/1.0/","page":"237-249","source":"DOI.org (Crossref)","title":"Detecting Heteroplasmy from High-Throughput Sequencing of Complete Human Mitochondrial DNA Genomes","volume":"87","author":[{"family":"Li","given":"Mingkun"},{"family":"Schönberg","given":"Anna"},{"family":"Schaefer","given":"Michael"},{"family":"Schroeder","given":"Roland"},{"family":"Nasidze","given":"Ivane"},{"family":"Stoneking","given":"Mark"}],"issued":{"date-parts":[["2010",8]]}}}],"schema":"https://github.com/citation-style-language/schema/raw/master/csl-citation.json"} </w:instrText>
      </w:r>
      <w:r>
        <w:rPr>
          <w:rFonts w:asciiTheme="majorBidi" w:hAnsiTheme="majorBidi" w:cstheme="majorBidi"/>
          <w:sz w:val="24"/>
          <w:szCs w:val="24"/>
        </w:rPr>
        <w:fldChar w:fldCharType="separate"/>
      </w:r>
      <w:r w:rsidRPr="00E76219">
        <w:rPr>
          <w:rFonts w:ascii="Times New Roman" w:hAnsi="Times New Roman" w:cs="Times New Roman"/>
          <w:sz w:val="24"/>
        </w:rPr>
        <w:t>[2]</w:t>
      </w:r>
      <w:r>
        <w:rPr>
          <w:rFonts w:asciiTheme="majorBidi" w:hAnsiTheme="majorBidi" w:cstheme="majorBidi"/>
          <w:sz w:val="24"/>
          <w:szCs w:val="24"/>
        </w:rPr>
        <w:fldChar w:fldCharType="end"/>
      </w:r>
      <w:r w:rsidRPr="00DD01BB">
        <w:rPr>
          <w:rFonts w:asciiTheme="majorBidi" w:hAnsiTheme="majorBidi" w:cstheme="majorBidi"/>
          <w:sz w:val="24"/>
          <w:szCs w:val="24"/>
        </w:rPr>
        <w:t xml:space="preserve">. </w:t>
      </w:r>
      <w:r w:rsidRPr="00C3188A">
        <w:rPr>
          <w:rFonts w:asciiTheme="majorBidi" w:hAnsiTheme="majorBidi" w:cstheme="majorBidi"/>
          <w:sz w:val="24"/>
          <w:szCs w:val="24"/>
        </w:rPr>
        <w:t xml:space="preserve">The reaction volume (30 </w:t>
      </w:r>
      <w:proofErr w:type="spellStart"/>
      <w:r w:rsidRPr="00C3188A">
        <w:rPr>
          <w:rFonts w:asciiTheme="majorBidi" w:hAnsiTheme="majorBidi" w:cstheme="majorBidi"/>
          <w:sz w:val="24"/>
          <w:szCs w:val="24"/>
        </w:rPr>
        <w:t>μL</w:t>
      </w:r>
      <w:proofErr w:type="spellEnd"/>
      <w:r w:rsidRPr="00C3188A">
        <w:rPr>
          <w:rFonts w:asciiTheme="majorBidi" w:hAnsiTheme="majorBidi" w:cstheme="majorBidi"/>
          <w:sz w:val="24"/>
          <w:szCs w:val="24"/>
        </w:rPr>
        <w:t xml:space="preserve">) consisted of 10 </w:t>
      </w:r>
      <w:proofErr w:type="spellStart"/>
      <w:r w:rsidRPr="00C3188A">
        <w:rPr>
          <w:rFonts w:asciiTheme="majorBidi" w:hAnsiTheme="majorBidi" w:cstheme="majorBidi"/>
          <w:sz w:val="24"/>
          <w:szCs w:val="24"/>
        </w:rPr>
        <w:t>μL</w:t>
      </w:r>
      <w:proofErr w:type="spellEnd"/>
      <w:r w:rsidRPr="00C3188A">
        <w:rPr>
          <w:rFonts w:asciiTheme="majorBidi" w:hAnsiTheme="majorBidi" w:cstheme="majorBidi"/>
          <w:sz w:val="24"/>
          <w:szCs w:val="24"/>
        </w:rPr>
        <w:t xml:space="preserve"> 3×EnzymeHF, 18 </w:t>
      </w:r>
      <w:proofErr w:type="spellStart"/>
      <w:r w:rsidRPr="00C3188A">
        <w:rPr>
          <w:rFonts w:asciiTheme="majorBidi" w:hAnsiTheme="majorBidi" w:cstheme="majorBidi"/>
          <w:sz w:val="24"/>
          <w:szCs w:val="24"/>
        </w:rPr>
        <w:t>μL</w:t>
      </w:r>
      <w:proofErr w:type="spellEnd"/>
      <w:r w:rsidRPr="00C3188A">
        <w:rPr>
          <w:rFonts w:asciiTheme="majorBidi" w:hAnsiTheme="majorBidi" w:cstheme="majorBidi"/>
          <w:sz w:val="24"/>
          <w:szCs w:val="24"/>
        </w:rPr>
        <w:t xml:space="preserve"> nuclease-free water, 1 </w:t>
      </w:r>
      <w:proofErr w:type="spellStart"/>
      <w:r w:rsidRPr="00C3188A">
        <w:rPr>
          <w:rFonts w:asciiTheme="majorBidi" w:hAnsiTheme="majorBidi" w:cstheme="majorBidi"/>
          <w:sz w:val="24"/>
          <w:szCs w:val="24"/>
        </w:rPr>
        <w:t>μL</w:t>
      </w:r>
      <w:proofErr w:type="spellEnd"/>
      <w:r w:rsidRPr="00C3188A">
        <w:rPr>
          <w:rFonts w:asciiTheme="majorBidi" w:hAnsiTheme="majorBidi" w:cstheme="majorBidi"/>
          <w:sz w:val="24"/>
          <w:szCs w:val="24"/>
        </w:rPr>
        <w:t xml:space="preserve"> primer mix, and 1 </w:t>
      </w:r>
      <w:proofErr w:type="spellStart"/>
      <w:r w:rsidRPr="00C3188A">
        <w:rPr>
          <w:rFonts w:asciiTheme="majorBidi" w:hAnsiTheme="majorBidi" w:cstheme="majorBidi"/>
          <w:sz w:val="24"/>
          <w:szCs w:val="24"/>
        </w:rPr>
        <w:t>μL</w:t>
      </w:r>
      <w:proofErr w:type="spellEnd"/>
      <w:r w:rsidRPr="00C3188A">
        <w:rPr>
          <w:rFonts w:asciiTheme="majorBidi" w:hAnsiTheme="majorBidi" w:cstheme="majorBidi"/>
          <w:sz w:val="24"/>
          <w:szCs w:val="24"/>
        </w:rPr>
        <w:t xml:space="preserve"> barcode mix. The thermal cycling conditions included enzyme activation at 98 °C for 2 minutes, followed by 7 cycles of denaturation at 98 °C for 15 seconds, annealing at 58 °C for 15 seconds, and extension at 72 °C for 30 seconds. A final extension step was performed at 72 °C for 2 minutes, followed by a hold at 10 °C. After purification, the libraries were pooled to a final concentration of 20 </w:t>
      </w:r>
      <w:proofErr w:type="spellStart"/>
      <w:r w:rsidRPr="00C3188A">
        <w:rPr>
          <w:rFonts w:asciiTheme="majorBidi" w:hAnsiTheme="majorBidi" w:cstheme="majorBidi"/>
          <w:sz w:val="24"/>
          <w:szCs w:val="24"/>
        </w:rPr>
        <w:t>pM</w:t>
      </w:r>
      <w:proofErr w:type="spellEnd"/>
      <w:r w:rsidRPr="00C3188A">
        <w:rPr>
          <w:rFonts w:asciiTheme="majorBidi" w:hAnsiTheme="majorBidi" w:cstheme="majorBidi"/>
          <w:sz w:val="24"/>
          <w:szCs w:val="24"/>
        </w:rPr>
        <w:t xml:space="preserve">. Sequencing was performed on the Illumina </w:t>
      </w:r>
      <w:proofErr w:type="spellStart"/>
      <w:r w:rsidRPr="00C3188A">
        <w:rPr>
          <w:rFonts w:asciiTheme="majorBidi" w:hAnsiTheme="majorBidi" w:cstheme="majorBidi"/>
          <w:sz w:val="24"/>
          <w:szCs w:val="24"/>
        </w:rPr>
        <w:t>HiSeq</w:t>
      </w:r>
      <w:proofErr w:type="spellEnd"/>
      <w:r w:rsidRPr="00C3188A">
        <w:rPr>
          <w:rFonts w:asciiTheme="majorBidi" w:hAnsiTheme="majorBidi" w:cstheme="majorBidi"/>
          <w:sz w:val="24"/>
          <w:szCs w:val="24"/>
        </w:rPr>
        <w:t xml:space="preserve"> X Ten platform (Illumina, San Diego, CA, USA</w:t>
      </w:r>
      <w:r w:rsidRPr="00411B90">
        <w:rPr>
          <w:rFonts w:asciiTheme="majorBidi" w:hAnsiTheme="majorBidi" w:cstheme="majorBidi"/>
          <w:sz w:val="24"/>
          <w:szCs w:val="24"/>
        </w:rPr>
        <w:t>; catalog no. 20013883</w:t>
      </w:r>
      <w:r w:rsidRPr="00C3188A">
        <w:rPr>
          <w:rFonts w:asciiTheme="majorBidi" w:hAnsiTheme="majorBidi" w:cstheme="majorBidi"/>
          <w:sz w:val="24"/>
          <w:szCs w:val="24"/>
        </w:rPr>
        <w:t>) using the PE150 Reagent Kit</w:t>
      </w:r>
      <w:r>
        <w:rPr>
          <w:rFonts w:asciiTheme="majorBidi" w:hAnsiTheme="majorBidi" w:cstheme="majorBidi"/>
          <w:sz w:val="24"/>
          <w:szCs w:val="24"/>
        </w:rPr>
        <w:t xml:space="preserve"> </w:t>
      </w:r>
      <w:r w:rsidRPr="00411B90">
        <w:rPr>
          <w:rFonts w:asciiTheme="majorBidi" w:hAnsiTheme="majorBidi" w:cstheme="majorBidi"/>
          <w:sz w:val="24"/>
          <w:szCs w:val="24"/>
        </w:rPr>
        <w:t>(Illumina, San Diego, CA, USA; CatLog#PE150R)</w:t>
      </w:r>
      <w:r w:rsidRPr="00C3188A">
        <w:rPr>
          <w:rFonts w:asciiTheme="majorBidi" w:hAnsiTheme="majorBidi" w:cstheme="majorBidi"/>
          <w:sz w:val="24"/>
          <w:szCs w:val="24"/>
        </w:rPr>
        <w:t>.</w:t>
      </w:r>
    </w:p>
    <w:p w14:paraId="40DAC094" w14:textId="77777777" w:rsidR="00E76219" w:rsidRDefault="00E76219" w:rsidP="00E76219">
      <w:pPr>
        <w:rPr>
          <w:rFonts w:asciiTheme="majorBidi" w:hAnsiTheme="majorBidi" w:cstheme="majorBidi"/>
          <w:b/>
          <w:bCs/>
          <w:i/>
          <w:iCs/>
          <w:sz w:val="24"/>
          <w:szCs w:val="24"/>
        </w:rPr>
      </w:pPr>
      <w:r w:rsidRPr="00C3188A">
        <w:rPr>
          <w:rFonts w:asciiTheme="majorBidi" w:hAnsiTheme="majorBidi" w:cstheme="majorBidi"/>
          <w:b/>
          <w:bCs/>
          <w:i/>
          <w:iCs/>
          <w:sz w:val="24"/>
          <w:szCs w:val="24"/>
        </w:rPr>
        <w:t>Sequencing Data Analysis</w:t>
      </w:r>
    </w:p>
    <w:p w14:paraId="29F459BB" w14:textId="30B2DF8D" w:rsidR="00E76219" w:rsidRDefault="00E76219" w:rsidP="00E76219">
      <w:pPr>
        <w:pStyle w:val="NormalWeb"/>
        <w:jc w:val="both"/>
        <w:rPr>
          <w:rFonts w:asciiTheme="majorBidi" w:hAnsiTheme="majorBidi" w:cstheme="majorBidi"/>
        </w:rPr>
      </w:pPr>
      <w:r w:rsidRPr="00C3188A">
        <w:rPr>
          <w:rFonts w:asciiTheme="majorBidi" w:hAnsiTheme="majorBidi" w:cstheme="majorBidi"/>
        </w:rPr>
        <w:t xml:space="preserve">The raw sequence data generated by the Illumina </w:t>
      </w:r>
      <w:proofErr w:type="spellStart"/>
      <w:r w:rsidRPr="00C3188A">
        <w:rPr>
          <w:rFonts w:asciiTheme="majorBidi" w:hAnsiTheme="majorBidi" w:cstheme="majorBidi"/>
        </w:rPr>
        <w:t>HiSeq</w:t>
      </w:r>
      <w:proofErr w:type="spellEnd"/>
      <w:r w:rsidRPr="00C3188A">
        <w:rPr>
          <w:rFonts w:asciiTheme="majorBidi" w:hAnsiTheme="majorBidi" w:cstheme="majorBidi"/>
        </w:rPr>
        <w:t xml:space="preserve"> X Ten platform </w:t>
      </w:r>
      <w:r w:rsidRPr="007F7ABA">
        <w:rPr>
          <w:rFonts w:asciiTheme="majorBidi" w:hAnsiTheme="majorBidi" w:cstheme="majorBidi"/>
        </w:rPr>
        <w:t>(Illumina, San Diego, CA, USA; catalog no. 20013883)</w:t>
      </w:r>
      <w:r>
        <w:rPr>
          <w:rFonts w:asciiTheme="majorBidi" w:hAnsiTheme="majorBidi" w:cstheme="majorBidi"/>
        </w:rPr>
        <w:t xml:space="preserve"> </w:t>
      </w:r>
      <w:r w:rsidRPr="00C3188A">
        <w:rPr>
          <w:rFonts w:asciiTheme="majorBidi" w:hAnsiTheme="majorBidi" w:cstheme="majorBidi"/>
        </w:rPr>
        <w:t xml:space="preserve">were processed as follows: First, adapter sequences and indexes were trimmed using </w:t>
      </w:r>
      <w:proofErr w:type="spellStart"/>
      <w:r w:rsidRPr="00C3188A">
        <w:rPr>
          <w:rFonts w:asciiTheme="majorBidi" w:hAnsiTheme="majorBidi" w:cstheme="majorBidi"/>
        </w:rPr>
        <w:t>Cutadapt</w:t>
      </w:r>
      <w:proofErr w:type="spellEnd"/>
      <w:r w:rsidRPr="00C3188A">
        <w:rPr>
          <w:rFonts w:asciiTheme="majorBidi" w:hAnsiTheme="majorBidi" w:cstheme="majorBidi"/>
        </w:rPr>
        <w:t xml:space="preserve"> software</w:t>
      </w:r>
      <w:r>
        <w:rPr>
          <w:rFonts w:asciiTheme="majorBidi" w:hAnsiTheme="majorBidi" w:cstheme="majorBidi"/>
        </w:rPr>
        <w:t xml:space="preserve"> </w:t>
      </w:r>
      <w:r w:rsidRPr="007F7ABA">
        <w:rPr>
          <w:rFonts w:asciiTheme="majorBidi" w:hAnsiTheme="majorBidi" w:cstheme="majorBidi"/>
        </w:rPr>
        <w:t xml:space="preserve">(version 2.10, Martin, 2011) </w:t>
      </w:r>
      <w:r w:rsidRPr="00C3188A">
        <w:rPr>
          <w:rFonts w:asciiTheme="majorBidi" w:hAnsiTheme="majorBidi" w:cstheme="majorBidi"/>
        </w:rPr>
        <w:t xml:space="preserve"> </w:t>
      </w:r>
      <w:r>
        <w:rPr>
          <w:rFonts w:asciiTheme="majorBidi" w:hAnsiTheme="majorBidi" w:cstheme="majorBidi"/>
        </w:rPr>
        <w:fldChar w:fldCharType="begin"/>
      </w:r>
      <w:r>
        <w:rPr>
          <w:rFonts w:asciiTheme="majorBidi" w:hAnsiTheme="majorBidi" w:cstheme="majorBidi"/>
        </w:rPr>
        <w:instrText xml:space="preserve"> ADDIN ZOTERO_ITEM CSL_CITATION {"citationID":"4xw9eeJc","properties":{"formattedCitation":"[1]","plainCitation":"[1]","noteIndex":0},"citationItems":[{"id":2385,"uris":["http://zotero.org/users/1723825/items/EFVGJM3E"],"itemData":{"id":2385,"type":"article-journal","container-title":"EMBnet.journal","DOI":"10.14806/ej.17.1.200","ISSN":"2226-6089","issue":"1","journalAbbreviation":"EMBnet j.","page":"10","source":"DOI.org (Crossref)","title":"Cutadapt removes adapter sequences from high-throughput sequencing reads","volume":"17","author":[{"family":"Martin","given":"Marcel"}],"issued":{"date-parts":[["2011",5,2]]}}}],"schema":"https://github.com/citation-style-language/schema/raw/master/csl-citation.json"} </w:instrText>
      </w:r>
      <w:r>
        <w:rPr>
          <w:rFonts w:asciiTheme="majorBidi" w:hAnsiTheme="majorBidi" w:cstheme="majorBidi"/>
        </w:rPr>
        <w:fldChar w:fldCharType="separate"/>
      </w:r>
      <w:r w:rsidRPr="00E76219">
        <w:t>[1]</w:t>
      </w:r>
      <w:r>
        <w:rPr>
          <w:rFonts w:asciiTheme="majorBidi" w:hAnsiTheme="majorBidi" w:cstheme="majorBidi"/>
        </w:rPr>
        <w:fldChar w:fldCharType="end"/>
      </w:r>
      <w:r w:rsidRPr="00C3188A">
        <w:rPr>
          <w:rFonts w:asciiTheme="majorBidi" w:hAnsiTheme="majorBidi" w:cstheme="majorBidi"/>
        </w:rPr>
        <w:t xml:space="preserve">. Low-quality reads were filtered using </w:t>
      </w:r>
      <w:proofErr w:type="spellStart"/>
      <w:r w:rsidRPr="00C3188A">
        <w:rPr>
          <w:rFonts w:asciiTheme="majorBidi" w:hAnsiTheme="majorBidi" w:cstheme="majorBidi"/>
        </w:rPr>
        <w:t>Trimmomatic</w:t>
      </w:r>
      <w:proofErr w:type="spellEnd"/>
      <w:r w:rsidRPr="00C3188A">
        <w:rPr>
          <w:rFonts w:asciiTheme="majorBidi" w:hAnsiTheme="majorBidi" w:cstheme="majorBidi"/>
        </w:rPr>
        <w:t xml:space="preserve"> software</w:t>
      </w:r>
      <w:r>
        <w:rPr>
          <w:rFonts w:asciiTheme="majorBidi" w:hAnsiTheme="majorBidi" w:cstheme="majorBidi"/>
        </w:rPr>
        <w:t xml:space="preserve"> </w:t>
      </w:r>
      <w:r w:rsidRPr="007F7ABA">
        <w:rPr>
          <w:rFonts w:asciiTheme="majorBidi" w:hAnsiTheme="majorBidi" w:cstheme="majorBidi"/>
        </w:rPr>
        <w:t>(version 0.39, Bolger et al., 2014)</w:t>
      </w:r>
      <w:r w:rsidRPr="00C3188A">
        <w:rPr>
          <w:rFonts w:asciiTheme="majorBidi" w:hAnsiTheme="majorBidi" w:cstheme="majorBidi"/>
        </w:rPr>
        <w:t xml:space="preserve"> </w:t>
      </w:r>
      <w:r>
        <w:rPr>
          <w:rFonts w:asciiTheme="majorBidi" w:hAnsiTheme="majorBidi" w:cstheme="majorBidi"/>
        </w:rPr>
        <w:fldChar w:fldCharType="begin"/>
      </w:r>
      <w:r>
        <w:rPr>
          <w:rFonts w:asciiTheme="majorBidi" w:hAnsiTheme="majorBidi" w:cstheme="majorBidi"/>
        </w:rPr>
        <w:instrText xml:space="preserve"> ADDIN ZOTERO_ITEM CSL_CITATION {"citationID":"ogGdY4Hl","properties":{"formattedCitation":"[3]","plainCitation":"[3]","noteIndex":0},"citationItems":[{"id":2362,"uris":["http://zotero.org/users/1723825/items/N2MHRQID"],"itemData":{"id":2362,"type":"article-journal","abstract":"Abstract\n            Motivation: Although many next-generation sequencing (NGS) read preprocessing tools already existed, we could not find any tool or combination of tools that met our requirements in terms of flexibility, correct handling of paired-end data and high performance. We have developed Trimmomatic as a more flexible and efficient preprocessing tool, which could correctly handle paired-end data.\n            Results: The value of NGS read preprocessing is demonstrated for both reference-based and reference-free tasks. Trimmomatic is shown to produce output that is at least competitive with, and in many cases superior to, that produced by other tools, in all scenarios tested.\n            Availability and implementation: Trimmomatic is licensed under GPL V3. It is cross-platform (Java 1.5+ required) and available at http://www.usadellab.org/cms/index.php?page=trimmomatic\n            Contact:  usadel@bio1.rwth-aachen.de\n            Supplementary information:  Supplementary data are available at Bioinformatics online.","container-title":"Bioinformatics","DOI":"10.1093/bioinformatics/btu170","ISSN":"1367-4811, 1367-4803","issue":"15","language":"en","license":"http://creativecommons.org/licenses/by/3.0/","page":"2114-2120","source":"DOI.org (Crossref)","title":"Trimmomatic: a flexible trimmer for Illumina sequence data","title-short":"Trimmomatic","volume":"30","author":[{"family":"Bolger","given":"Anthony M."},{"family":"Lohse","given":"Marc"},{"family":"Usadel","given":"Bjoern"}],"issued":{"date-parts":[["2014",8,1]]}}}],"schema":"https://github.com/citation-style-language/schema/raw/master/csl-citation.json"} </w:instrText>
      </w:r>
      <w:r>
        <w:rPr>
          <w:rFonts w:asciiTheme="majorBidi" w:hAnsiTheme="majorBidi" w:cstheme="majorBidi"/>
        </w:rPr>
        <w:fldChar w:fldCharType="separate"/>
      </w:r>
      <w:r w:rsidRPr="00E76219">
        <w:t>[3]</w:t>
      </w:r>
      <w:r>
        <w:rPr>
          <w:rFonts w:asciiTheme="majorBidi" w:hAnsiTheme="majorBidi" w:cstheme="majorBidi"/>
        </w:rPr>
        <w:fldChar w:fldCharType="end"/>
      </w:r>
      <w:r w:rsidRPr="00C3188A">
        <w:rPr>
          <w:rFonts w:asciiTheme="majorBidi" w:hAnsiTheme="majorBidi" w:cstheme="majorBidi"/>
        </w:rPr>
        <w:t>. To ensure accurate alignment of the mitochondrial genome, the cleaned reads were mapped to the revised Cambridge Reference Sequence (</w:t>
      </w:r>
      <w:proofErr w:type="spellStart"/>
      <w:r w:rsidRPr="00C3188A">
        <w:rPr>
          <w:rFonts w:asciiTheme="majorBidi" w:hAnsiTheme="majorBidi" w:cstheme="majorBidi"/>
        </w:rPr>
        <w:t>rCRS</w:t>
      </w:r>
      <w:proofErr w:type="spellEnd"/>
      <w:r w:rsidRPr="00C3188A">
        <w:rPr>
          <w:rFonts w:asciiTheme="majorBidi" w:hAnsiTheme="majorBidi" w:cstheme="majorBidi"/>
        </w:rPr>
        <w:t xml:space="preserve"> + 64 bp) </w:t>
      </w:r>
      <w:r>
        <w:rPr>
          <w:rFonts w:asciiTheme="majorBidi" w:hAnsiTheme="majorBidi" w:cstheme="majorBidi"/>
        </w:rPr>
        <w:fldChar w:fldCharType="begin"/>
      </w:r>
      <w:r>
        <w:rPr>
          <w:rFonts w:asciiTheme="majorBidi" w:hAnsiTheme="majorBidi" w:cstheme="majorBidi"/>
        </w:rPr>
        <w:instrText xml:space="preserve"> ADDIN ZOTERO_ITEM CSL_CITATION {"citationID":"yqswlLGk","properties":{"formattedCitation":"[4]","plainCitation":"[4]","noteIndex":0},"citationItems":[{"id":2364,"uris":["http://zotero.org/users/1723825/items/XCGZV8FF"],"itemData":{"id":2364,"type":"article-journal","container-title":"Nature Genetics","DOI":"10.1038/13779","ISSN":"1061-4036, 1546-1718","issue":"2","journalAbbreviation":"Nat Genet","language":"en","license":"http://www.springer.com/tdm","page":"147-147","source":"DOI.org (Crossref)","title":"Reanalysis and revision of the Cambridge reference sequence for human mitochondrial DNA","volume":"23","author":[{"family":"Andrews","given":"Richard M."},{"family":"Kubacka","given":"Iwona"},{"family":"Chinnery","given":"Patrick F."},{"family":"Lightowlers","given":"Robert N."},{"family":"Turnbull","given":"Douglass M."},{"family":"Howell","given":"Neil"}],"issued":{"date-parts":[["1999",10]]}}}],"schema":"https://github.com/citation-style-language/schema/raw/master/csl-citation.json"} </w:instrText>
      </w:r>
      <w:r>
        <w:rPr>
          <w:rFonts w:asciiTheme="majorBidi" w:hAnsiTheme="majorBidi" w:cstheme="majorBidi"/>
        </w:rPr>
        <w:fldChar w:fldCharType="separate"/>
      </w:r>
      <w:r w:rsidRPr="00E76219">
        <w:t>[4]</w:t>
      </w:r>
      <w:r>
        <w:rPr>
          <w:rFonts w:asciiTheme="majorBidi" w:hAnsiTheme="majorBidi" w:cstheme="majorBidi"/>
        </w:rPr>
        <w:fldChar w:fldCharType="end"/>
      </w:r>
      <w:r>
        <w:rPr>
          <w:rFonts w:asciiTheme="majorBidi" w:hAnsiTheme="majorBidi" w:cstheme="majorBidi"/>
        </w:rPr>
        <w:t xml:space="preserve">, </w:t>
      </w:r>
      <w:r w:rsidRPr="00C3188A">
        <w:rPr>
          <w:rFonts w:asciiTheme="majorBidi" w:hAnsiTheme="majorBidi" w:cstheme="majorBidi"/>
        </w:rPr>
        <w:t>using the Burrows-Wheeler Aligner (BWA</w:t>
      </w:r>
      <w:r w:rsidRPr="007F7ABA">
        <w:rPr>
          <w:rFonts w:asciiTheme="majorBidi" w:hAnsiTheme="majorBidi" w:cstheme="majorBidi"/>
        </w:rPr>
        <w:t>-MEM, version 0.7.17, Li and Durbin, 2009</w:t>
      </w:r>
      <w:r w:rsidRPr="00C3188A">
        <w:rPr>
          <w:rFonts w:asciiTheme="majorBidi" w:hAnsiTheme="majorBidi" w:cstheme="majorBidi"/>
        </w:rPr>
        <w:t xml:space="preserve">) </w:t>
      </w:r>
      <w:r>
        <w:rPr>
          <w:rFonts w:asciiTheme="majorBidi" w:hAnsiTheme="majorBidi" w:cstheme="majorBidi"/>
        </w:rPr>
        <w:fldChar w:fldCharType="begin"/>
      </w:r>
      <w:r>
        <w:rPr>
          <w:rFonts w:asciiTheme="majorBidi" w:hAnsiTheme="majorBidi" w:cstheme="majorBidi"/>
        </w:rPr>
        <w:instrText xml:space="preserve"> ADDIN ZOTERO_ITEM CSL_CITATION {"citationID":"ygWROBe5","properties":{"formattedCitation":"[5]","plainCitation":"[5]","noteIndex":0},"citationItems":[{"id":2366,"uris":["http://zotero.org/users/1723825/items/ASLEIAP7"],"itemData":{"id":2366,"type":"article-journal","abstract":"Abstract\n            Motivation: The enormous amount of short reads generated by the new DNA sequencing technologies call for the development of fast and accurate read alignment programs. A first generation of hash table-based methods has been developed, including MAQ, which is accurate, feature rich and fast enough to align short reads from a single individual. However, MAQ does not support gapped alignment for single-end reads, which makes it unsuitable for alignment of longer reads where indels may occur frequently. The speed of MAQ is also a concern when the alignment is scaled up to the resequencing of hundreds of individuals.\n            Results: We implemented Burrows-Wheeler Alignment tool (BWA), a new read alignment package that is based on backward search with Burrows–Wheeler Transform (BWT), to efficiently align short sequencing reads against a large reference sequence such as the human genome, allowing mismatches and gaps. BWA supports both base space reads, e.g. from Illumina sequencing machines, and color space reads from AB SOLiD machines. Evaluations on both simulated and real data suggest that BWA is </w:instrText>
      </w:r>
      <w:r>
        <w:rPr>
          <w:rFonts w:ascii="Cambria Math" w:hAnsi="Cambria Math" w:cs="Cambria Math"/>
        </w:rPr>
        <w:instrText>∼</w:instrText>
      </w:r>
      <w:r>
        <w:rPr>
          <w:rFonts w:asciiTheme="majorBidi" w:hAnsiTheme="majorBidi" w:cstheme="majorBidi"/>
        </w:rPr>
        <w:instrText>10</w:instrText>
      </w:r>
      <w:r>
        <w:instrText>–</w:instrText>
      </w:r>
      <w:r>
        <w:rPr>
          <w:rFonts w:asciiTheme="majorBidi" w:hAnsiTheme="majorBidi" w:cstheme="majorBidi"/>
        </w:rPr>
        <w:instrText>20</w:instrText>
      </w:r>
      <w:r>
        <w:instrText>×</w:instrText>
      </w:r>
      <w:r>
        <w:rPr>
          <w:rFonts w:asciiTheme="majorBidi" w:hAnsiTheme="majorBidi" w:cstheme="majorBidi"/>
        </w:rPr>
        <w:instrText xml:space="preserve"> faster than MAQ, while achieving similar accuracy. In addition, BWA outputs alignment in the new standard SAM (Sequence Alignment/Map) format. Variant calling and other downstream analyses after the alignment can be achieved with the open source SAMtools software package.\n            Availability:  http://maq.sourceforge.net\n            Contact:  rd@sanger.ac.uk","container-title":"Bioinformatics","DOI":"10.1093/bioinformatics/btp324","ISSN":"1367-4811, 1367-4803","issue":"14","language":"en","license":"http://creativecommons.org/licenses/by-nc/2.0/uk/","page":"1754-1760","source":"DOI.org (Crossref)","title":"Fast and accurate short read alignment with Burrows–Wheeler transform","volume":"25","author":[{"family":"Li","given":"Heng"},{"family":"Durbin","given":"Richard"}],"issued":{"date-parts":[["2009",7,15]]}},"label":"page"}],"schema":"https://github.com/citation-style-language/schema/raw/master/csl-citation.json"} </w:instrText>
      </w:r>
      <w:r>
        <w:rPr>
          <w:rFonts w:asciiTheme="majorBidi" w:hAnsiTheme="majorBidi" w:cstheme="majorBidi"/>
        </w:rPr>
        <w:fldChar w:fldCharType="separate"/>
      </w:r>
      <w:r w:rsidRPr="00E76219">
        <w:t>[5]</w:t>
      </w:r>
      <w:r>
        <w:rPr>
          <w:rFonts w:asciiTheme="majorBidi" w:hAnsiTheme="majorBidi" w:cstheme="majorBidi"/>
        </w:rPr>
        <w:fldChar w:fldCharType="end"/>
      </w:r>
      <w:r w:rsidRPr="00C3188A">
        <w:rPr>
          <w:rFonts w:asciiTheme="majorBidi" w:hAnsiTheme="majorBidi" w:cstheme="majorBidi"/>
        </w:rPr>
        <w:t xml:space="preserve">. The resulting binary alignment/map (BAM) files were further compared against the human reference genome hg19 to filter out nuclear mitochondrial DNA sequences (NUMTs) </w:t>
      </w:r>
      <w:r>
        <w:rPr>
          <w:rFonts w:asciiTheme="majorBidi" w:hAnsiTheme="majorBidi" w:cstheme="majorBidi"/>
        </w:rPr>
        <w:fldChar w:fldCharType="begin"/>
      </w:r>
      <w:r>
        <w:rPr>
          <w:rFonts w:asciiTheme="majorBidi" w:hAnsiTheme="majorBidi" w:cstheme="majorBidi"/>
        </w:rPr>
        <w:instrText xml:space="preserve"> ADDIN ZOTERO_ITEM CSL_CITATION {"citationID":"Jt98X7Xh","properties":{"formattedCitation":"[6]","plainCitation":"[6]","noteIndex":0},"citationItems":[{"id":2368,"uris":["http://zotero.org/users/1723825/items/VSY5SZVL"],"itemData":{"id":2368,"type":"article-journal","container-title":"Nucleic Acids Research","DOI":"10.1093/nar/gku1038","ISSN":"1362-4962, 0305-1048","issue":"20","language":"en","license":"http://creativecommons.org/licenses/by/4.0/","page":"12640-12649","source":"DOI.org (Crossref)","title":"The genomic landscape of polymorphic human nuclear mitochondrial insertions","volume":"42","author":[{"family":"Dayama","given":"Gargi"},{"family":"Emery","given":"Sarah B."},{"family":"Kidd","given":"Jeffrey M."},{"family":"Mills","given":"Ryan E."}],"issued":{"date-parts":[["2014",11,10]]}}}],"schema":"https://github.com/citation-style-language/schema/raw/master/csl-citation.json"} </w:instrText>
      </w:r>
      <w:r>
        <w:rPr>
          <w:rFonts w:asciiTheme="majorBidi" w:hAnsiTheme="majorBidi" w:cstheme="majorBidi"/>
        </w:rPr>
        <w:fldChar w:fldCharType="separate"/>
      </w:r>
      <w:r w:rsidRPr="00E76219">
        <w:t>[6]</w:t>
      </w:r>
      <w:r>
        <w:rPr>
          <w:rFonts w:asciiTheme="majorBidi" w:hAnsiTheme="majorBidi" w:cstheme="majorBidi"/>
        </w:rPr>
        <w:fldChar w:fldCharType="end"/>
      </w:r>
      <w:r w:rsidRPr="00C3188A">
        <w:rPr>
          <w:rFonts w:asciiTheme="majorBidi" w:hAnsiTheme="majorBidi" w:cstheme="majorBidi"/>
        </w:rPr>
        <w:t>.</w:t>
      </w:r>
      <w:r>
        <w:rPr>
          <w:rFonts w:asciiTheme="majorBidi" w:hAnsiTheme="majorBidi" w:cstheme="majorBidi"/>
        </w:rPr>
        <w:t xml:space="preserve"> </w:t>
      </w:r>
      <w:r w:rsidRPr="00C3188A">
        <w:rPr>
          <w:rFonts w:asciiTheme="majorBidi" w:hAnsiTheme="majorBidi" w:cstheme="majorBidi"/>
        </w:rPr>
        <w:t xml:space="preserve">Using </w:t>
      </w:r>
      <w:proofErr w:type="spellStart"/>
      <w:r w:rsidRPr="00C3188A">
        <w:rPr>
          <w:rFonts w:asciiTheme="majorBidi" w:hAnsiTheme="majorBidi" w:cstheme="majorBidi"/>
        </w:rPr>
        <w:t>Bedtools</w:t>
      </w:r>
      <w:proofErr w:type="spellEnd"/>
      <w:r>
        <w:rPr>
          <w:rFonts w:asciiTheme="majorBidi" w:hAnsiTheme="majorBidi" w:cstheme="majorBidi"/>
        </w:rPr>
        <w:t xml:space="preserve"> </w:t>
      </w:r>
      <w:r w:rsidRPr="007F7ABA">
        <w:rPr>
          <w:rFonts w:asciiTheme="majorBidi" w:hAnsiTheme="majorBidi" w:cstheme="majorBidi"/>
        </w:rPr>
        <w:t>(version 2.29.2, Quinlan and Hall, 2010)</w:t>
      </w:r>
      <w:r w:rsidRPr="00C3188A">
        <w:rPr>
          <w:rFonts w:asciiTheme="majorBidi" w:hAnsiTheme="majorBidi" w:cstheme="majorBidi"/>
        </w:rPr>
        <w:t xml:space="preserve"> </w:t>
      </w:r>
      <w:r>
        <w:rPr>
          <w:rFonts w:asciiTheme="majorBidi" w:hAnsiTheme="majorBidi" w:cstheme="majorBidi"/>
        </w:rPr>
        <w:fldChar w:fldCharType="begin"/>
      </w:r>
      <w:r>
        <w:rPr>
          <w:rFonts w:asciiTheme="majorBidi" w:hAnsiTheme="majorBidi" w:cstheme="majorBidi"/>
        </w:rPr>
        <w:instrText xml:space="preserve"> ADDIN ZOTERO_ITEM CSL_CITATION {"citationID":"BDErktyn","properties":{"formattedCitation":"[7]","plainCitation":"[7]","noteIndex":0},"citationItems":[{"id":2370,"uris":["http://zotero.org/users/1723825/items/FV7QFFRH"],"itemData":{"id":2370,"type":"article-journal","abstract":"Abstract\n            Motivation: Testing for correlations between different sets of genomic features is a fundamental task in genomics research. However, searching for overlaps between features with existing web-based methods is complicated by the massive datasets that are routinely produced with current sequencing technologies. Fast and flexible tools are therefore required to ask complex questions of these data in an efficient manner.\n            Results: This article introduces a new software suite for the comparison, manipulation and annotation of genomic features in Browser Extensible Data (BED) and General Feature Format (GFF) format. BEDTools also supports the comparison of sequence alignments in BAM format to both BED and GFF features. The tools are extremely efficient and allow the user to compare large datasets (e.g. next-generation sequencing data) with both public and custom genome annotation tracks. BEDTools can be combined with one another as well as with standard UNIX commands, thus facilitating routine genomics tasks as well as pipelines that can quickly answer intricate questions of large genomic datasets.\n            Availability and implementation: BEDTools was written in C++. Source code and a comprehensive user manual are freely available at http://code.google.com/p/bedtools\n            Contact:  aaronquinlan@gmail.com; imh4y@virginia.edu\n            Supplementary information:  Supplementary data are available at Bioinformatics online.","container-title":"Bioinformatics","DOI":"10.1093/bioinformatics/btq033","ISSN":"1367-4811, 1367-4803","issue":"6","language":"en","license":"http://creativecommons.org/licenses/by-nc/2.0/uk/","page":"841-842","source":"DOI.org (Crossref)","title":"BEDTools: a flexible suite of utilities for comparing genomic features","title-short":"BEDTools","volume":"26","author":[{"family":"Quinlan","given":"Aaron R."},{"family":"Hall","given":"Ira M."}],"issued":{"date-parts":[["2010",3,15]]}}}],"schema":"https://github.com/citation-style-language/schema/raw/master/csl-citation.json"} </w:instrText>
      </w:r>
      <w:r>
        <w:rPr>
          <w:rFonts w:asciiTheme="majorBidi" w:hAnsiTheme="majorBidi" w:cstheme="majorBidi"/>
        </w:rPr>
        <w:fldChar w:fldCharType="separate"/>
      </w:r>
      <w:r w:rsidRPr="00E76219">
        <w:t>[7]</w:t>
      </w:r>
      <w:r>
        <w:rPr>
          <w:rFonts w:asciiTheme="majorBidi" w:hAnsiTheme="majorBidi" w:cstheme="majorBidi"/>
        </w:rPr>
        <w:fldChar w:fldCharType="end"/>
      </w:r>
      <w:r w:rsidRPr="00C3188A">
        <w:rPr>
          <w:rFonts w:asciiTheme="majorBidi" w:hAnsiTheme="majorBidi" w:cstheme="majorBidi"/>
        </w:rPr>
        <w:t xml:space="preserve">, all reads successfully aligned to hg19 were extracted from the BAM files and realigned to </w:t>
      </w:r>
      <w:proofErr w:type="spellStart"/>
      <w:r w:rsidRPr="00C3188A">
        <w:rPr>
          <w:rFonts w:asciiTheme="majorBidi" w:hAnsiTheme="majorBidi" w:cstheme="majorBidi"/>
        </w:rPr>
        <w:t>rCRS</w:t>
      </w:r>
      <w:proofErr w:type="spellEnd"/>
      <w:r w:rsidRPr="00C3188A">
        <w:rPr>
          <w:rFonts w:asciiTheme="majorBidi" w:hAnsiTheme="majorBidi" w:cstheme="majorBidi"/>
        </w:rPr>
        <w:t xml:space="preserve"> + 64 bp using Bowtie2 software</w:t>
      </w:r>
      <w:r>
        <w:rPr>
          <w:rFonts w:asciiTheme="majorBidi" w:hAnsiTheme="majorBidi" w:cstheme="majorBidi"/>
        </w:rPr>
        <w:t xml:space="preserve"> </w:t>
      </w:r>
      <w:r w:rsidRPr="007F7ABA">
        <w:rPr>
          <w:rFonts w:asciiTheme="majorBidi" w:hAnsiTheme="majorBidi" w:cstheme="majorBidi"/>
        </w:rPr>
        <w:t xml:space="preserve">(version 2.4.2, Langmead and </w:t>
      </w:r>
      <w:proofErr w:type="spellStart"/>
      <w:r w:rsidRPr="007F7ABA">
        <w:rPr>
          <w:rFonts w:asciiTheme="majorBidi" w:hAnsiTheme="majorBidi" w:cstheme="majorBidi"/>
        </w:rPr>
        <w:t>Salzberg</w:t>
      </w:r>
      <w:proofErr w:type="spellEnd"/>
      <w:r w:rsidRPr="007F7ABA">
        <w:rPr>
          <w:rFonts w:asciiTheme="majorBidi" w:hAnsiTheme="majorBidi" w:cstheme="majorBidi"/>
        </w:rPr>
        <w:t>, 2012)</w:t>
      </w:r>
      <w:r w:rsidRPr="00C3188A">
        <w:rPr>
          <w:rFonts w:asciiTheme="majorBidi" w:hAnsiTheme="majorBidi" w:cstheme="majorBidi"/>
        </w:rPr>
        <w:t xml:space="preserve"> </w:t>
      </w:r>
      <w:r>
        <w:rPr>
          <w:rFonts w:asciiTheme="majorBidi" w:hAnsiTheme="majorBidi" w:cstheme="majorBidi"/>
        </w:rPr>
        <w:fldChar w:fldCharType="begin"/>
      </w:r>
      <w:r>
        <w:rPr>
          <w:rFonts w:asciiTheme="majorBidi" w:hAnsiTheme="majorBidi" w:cstheme="majorBidi"/>
        </w:rPr>
        <w:instrText xml:space="preserve"> ADDIN ZOTERO_ITEM CSL_CITATION {"citationID":"mKSGnX8g","properties":{"formattedCitation":"[8]","plainCitation":"[8]","noteIndex":0},"citationItems":[{"id":2372,"uris":["http://zotero.org/users/1723825/items/KJMTPVJZ"],"itemData":{"id":2372,"type":"article-journal","container-title":"Nature Methods","DOI":"10.1038/nmeth.1923","ISSN":"1548-7091, 1548-7105","issue":"4","journalAbbreviation":"Nat Methods","language":"en","license":"http://www.springer.com/tdm","page":"357-359","source":"DOI.org (Crossref)","title":"Fast gapped-read alignment with Bowtie 2","volume":"9","author":[{"family":"Langmead","given":"Ben"},{"family":"Salzberg","given":"Steven L"}],"issued":{"date-parts":[["2012",4]]}}}],"schema":"https://github.com/citation-style-language/schema/raw/master/csl-citation.json"} </w:instrText>
      </w:r>
      <w:r>
        <w:rPr>
          <w:rFonts w:asciiTheme="majorBidi" w:hAnsiTheme="majorBidi" w:cstheme="majorBidi"/>
        </w:rPr>
        <w:fldChar w:fldCharType="separate"/>
      </w:r>
      <w:r w:rsidRPr="00E76219">
        <w:t>[8]</w:t>
      </w:r>
      <w:r>
        <w:rPr>
          <w:rFonts w:asciiTheme="majorBidi" w:hAnsiTheme="majorBidi" w:cstheme="majorBidi"/>
        </w:rPr>
        <w:fldChar w:fldCharType="end"/>
      </w:r>
      <w:r w:rsidRPr="00C3188A">
        <w:rPr>
          <w:rFonts w:asciiTheme="majorBidi" w:hAnsiTheme="majorBidi" w:cstheme="majorBidi"/>
        </w:rPr>
        <w:t xml:space="preserve">. Variants were identified using </w:t>
      </w:r>
      <w:r w:rsidRPr="004F2670">
        <w:rPr>
          <w:rFonts w:asciiTheme="majorBidi" w:hAnsiTheme="majorBidi" w:cstheme="majorBidi"/>
        </w:rPr>
        <w:t xml:space="preserve">complementary approach with </w:t>
      </w:r>
      <w:proofErr w:type="spellStart"/>
      <w:r w:rsidRPr="00C3188A">
        <w:rPr>
          <w:rFonts w:asciiTheme="majorBidi" w:hAnsiTheme="majorBidi" w:cstheme="majorBidi"/>
        </w:rPr>
        <w:t>SAMtools</w:t>
      </w:r>
      <w:proofErr w:type="spellEnd"/>
      <w:r>
        <w:rPr>
          <w:rFonts w:asciiTheme="majorBidi" w:hAnsiTheme="majorBidi" w:cstheme="majorBidi"/>
        </w:rPr>
        <w:t xml:space="preserve"> </w:t>
      </w:r>
      <w:r w:rsidRPr="007F7ABA">
        <w:rPr>
          <w:rFonts w:asciiTheme="majorBidi" w:hAnsiTheme="majorBidi" w:cstheme="majorBidi"/>
        </w:rPr>
        <w:t>(version 1.10, Li et al., 2009)</w:t>
      </w:r>
      <w:r w:rsidRPr="00C3188A">
        <w:rPr>
          <w:rFonts w:asciiTheme="majorBidi" w:hAnsiTheme="majorBidi" w:cstheme="majorBidi"/>
        </w:rPr>
        <w:t xml:space="preserve"> </w:t>
      </w:r>
      <w:r>
        <w:rPr>
          <w:rFonts w:asciiTheme="majorBidi" w:hAnsiTheme="majorBidi" w:cstheme="majorBidi"/>
        </w:rPr>
        <w:fldChar w:fldCharType="begin"/>
      </w:r>
      <w:r>
        <w:rPr>
          <w:rFonts w:asciiTheme="majorBidi" w:hAnsiTheme="majorBidi" w:cstheme="majorBidi"/>
        </w:rPr>
        <w:instrText xml:space="preserve"> ADDIN ZOTERO_ITEM CSL_CITATION {"citationID":"2DwPeN91","properties":{"formattedCitation":"[9]","plainCitation":"[9]","noteIndex":0},"citationItems":[{"id":2374,"uris":["http://zotero.org/users/1723825/items/G4TIECGX"],"itemData":{"id":2374,"type":"article-journal","abstract":"Abstract\n            Summary: The Sequence Alignment/Map (SAM) format is a generic alignment format for storing read alignments against reference sequences, supporting short and long reads (up to 128 Mbp) produced by different sequencing platforms. It is flexible in style, compact in size, efficient in random access and is the format in which alignments from the 1000 Genomes Project are released. SAMtools implements various utilities for post-processing alignments in the SAM format, such as indexing, variant caller and alignment viewer, and thus provides universal tools for processing read alignments.\n            Availability:  http://samtools.sourceforge.net\n            Contact:  rd@sanger.ac.uk","container-title":"Bioinformatics","DOI":"10.1093/bioinformatics/btp352","ISSN":"1367-4811, 1367-4803","issue":"16","language":"en","license":"http://creativecommons.org/licenses/by-nc/2.0/uk/","page":"2078-2079","source":"DOI.org (Crossref)","title":"The Sequence Alignment/Map format and SAMtools","volume":"25","author":[{"family":"Li","given":"Heng"},{"family":"Handsaker","given":"Bob"},{"family":"Wysoker","given":"Alec"},{"family":"Fennell","given":"Tim"},{"family":"Ruan","given":"Jue"},{"family":"Homer","given":"Nils"},{"family":"Marth","given":"Gabor"},{"family":"Abecasis","given":"Goncalo"},{"family":"Durbin","given":"Richard"},{"literal":"1000 Genome Project Data Processing Subgroup"}],"issued":{"date-parts":[["2009",8,15]]}}}],"schema":"https://github.com/citation-style-language/schema/raw/master/csl-citation.json"} </w:instrText>
      </w:r>
      <w:r>
        <w:rPr>
          <w:rFonts w:asciiTheme="majorBidi" w:hAnsiTheme="majorBidi" w:cstheme="majorBidi"/>
        </w:rPr>
        <w:fldChar w:fldCharType="separate"/>
      </w:r>
      <w:r w:rsidRPr="00E76219">
        <w:t>[9]</w:t>
      </w:r>
      <w:r>
        <w:rPr>
          <w:rFonts w:asciiTheme="majorBidi" w:hAnsiTheme="majorBidi" w:cstheme="majorBidi"/>
        </w:rPr>
        <w:fldChar w:fldCharType="end"/>
      </w:r>
      <w:r w:rsidRPr="00C3188A">
        <w:rPr>
          <w:rFonts w:asciiTheme="majorBidi" w:hAnsiTheme="majorBidi" w:cstheme="majorBidi"/>
        </w:rPr>
        <w:t xml:space="preserve"> and </w:t>
      </w:r>
      <w:proofErr w:type="spellStart"/>
      <w:r w:rsidRPr="00C3188A">
        <w:rPr>
          <w:rFonts w:asciiTheme="majorBidi" w:hAnsiTheme="majorBidi" w:cstheme="majorBidi"/>
        </w:rPr>
        <w:t>VarScan</w:t>
      </w:r>
      <w:proofErr w:type="spellEnd"/>
      <w:r>
        <w:rPr>
          <w:rFonts w:asciiTheme="majorBidi" w:hAnsiTheme="majorBidi" w:cstheme="majorBidi"/>
        </w:rPr>
        <w:t xml:space="preserve"> </w:t>
      </w:r>
      <w:r w:rsidRPr="007F7ABA">
        <w:rPr>
          <w:rFonts w:asciiTheme="majorBidi" w:hAnsiTheme="majorBidi" w:cstheme="majorBidi"/>
        </w:rPr>
        <w:t xml:space="preserve">(version 2.4.2, </w:t>
      </w:r>
      <w:proofErr w:type="spellStart"/>
      <w:r w:rsidRPr="007F7ABA">
        <w:rPr>
          <w:rFonts w:asciiTheme="majorBidi" w:hAnsiTheme="majorBidi" w:cstheme="majorBidi"/>
        </w:rPr>
        <w:t>Koboldt</w:t>
      </w:r>
      <w:proofErr w:type="spellEnd"/>
      <w:r w:rsidRPr="007F7ABA">
        <w:rPr>
          <w:rFonts w:asciiTheme="majorBidi" w:hAnsiTheme="majorBidi" w:cstheme="majorBidi"/>
        </w:rPr>
        <w:t xml:space="preserve"> et al., 2012) </w:t>
      </w:r>
      <w:r w:rsidRPr="00C3188A">
        <w:rPr>
          <w:rFonts w:asciiTheme="majorBidi" w:hAnsiTheme="majorBidi" w:cstheme="majorBidi"/>
        </w:rPr>
        <w:t xml:space="preserve"> </w:t>
      </w:r>
      <w:r>
        <w:rPr>
          <w:rFonts w:asciiTheme="majorBidi" w:hAnsiTheme="majorBidi" w:cstheme="majorBidi"/>
        </w:rPr>
        <w:fldChar w:fldCharType="begin"/>
      </w:r>
      <w:r>
        <w:rPr>
          <w:rFonts w:asciiTheme="majorBidi" w:hAnsiTheme="majorBidi" w:cstheme="majorBidi"/>
        </w:rPr>
        <w:instrText xml:space="preserve"> ADDIN ZOTERO_ITEM CSL_CITATION {"citationID":"P6binXpr","properties":{"formattedCitation":"[10]","plainCitation":"[10]","noteIndex":0},"citationItems":[{"id":2376,"uris":["http://zotero.org/users/1723825/items/8D573ZXR"],"itemData":{"id":2376,"type":"article-journal","abstract":"Cancer is a disease driven by genetic variation and mutation. Exome sequencing can be utilized for discovering these variants and mutations across hundreds of tumors. Here we present an analysis tool, VarScan 2, for the detection of somatic mutations and copy number alterations (CNAs) in exome data from tumor–normal pairs. Unlike most current approaches, our algorithm reads data from both samples simultaneously; a heuristic and statistical algorithm detects sequence variants and classifies them by somatic status (germline, somatic, or LOH); while a comparison of normalized read depth delineates relative copy number changes. We apply these methods to the analysis of exome sequence data from 151 high-grade ovarian tumors characterized as part of the Cancer Genome Atlas (TCGA). We validated some 7790 somatic coding mutations, achieving 93% sensitivity and 85% precision for single nucleotide variant (SNV) detection. Exome-based CNA analysis identified 29 large-scale alterations and 619 focal events per tumor on average. As in our previous analysis of these data, we observed frequent amplification of oncogenes (e.g.,\n              CCNE1\n              ,\n              MYC\n              ) and deletion of tumor suppressors (\n              NF1\n              ,\n              PTEN\n              , and\n              CDKN2A\n              ). We searched for additional recurrent focal CNAs using the correlation matrix diagonal segmentation (CMDS) algorithm, which identified 424 significant events affecting 582 genes. Taken together, our results demonstrate the robust performance of VarScan 2 for somatic mutation and CNA detection and shed new light on the landscape of genetic alterations in ovarian cancer.","container-title":"Genome Research","DOI":"10.1101/gr.129684.111","ISSN":"1088-9051","issue":"3","journalAbbreviation":"Genome Res.","language":"en","page":"568-576","source":"DOI.org (Crossref)","title":"VarScan 2: Somatic mutation and copy number alteration discovery in cancer by exome sequencing","title-short":"VarScan 2","volume":"22","author":[{"family":"Koboldt","given":"Daniel C."},{"family":"Zhang","given":"Qunyuan"},{"family":"Larson","given":"David E."},{"family":"Shen","given":"Dong"},{"family":"McLellan","given":"Michael D."},{"family":"Lin","given":"Ling"},{"family":"Miller","given":"Christopher A."},{"family":"Mardis","given":"Elaine R."},{"family":"Ding","given":"Li"},{"family":"Wilson","given":"Richard K."}],"issued":{"date-parts":[["2012",3]]}}}],"schema":"https://github.com/citation-style-language/schema/raw/master/csl-citation.json"} </w:instrText>
      </w:r>
      <w:r>
        <w:rPr>
          <w:rFonts w:asciiTheme="majorBidi" w:hAnsiTheme="majorBidi" w:cstheme="majorBidi"/>
        </w:rPr>
        <w:fldChar w:fldCharType="separate"/>
      </w:r>
      <w:r w:rsidRPr="00E76219">
        <w:t>[10]</w:t>
      </w:r>
      <w:r>
        <w:rPr>
          <w:rFonts w:asciiTheme="majorBidi" w:hAnsiTheme="majorBidi" w:cstheme="majorBidi"/>
        </w:rPr>
        <w:fldChar w:fldCharType="end"/>
      </w:r>
      <w:r>
        <w:rPr>
          <w:rFonts w:asciiTheme="majorBidi" w:hAnsiTheme="majorBidi" w:cstheme="majorBidi"/>
        </w:rPr>
        <w:t>.</w:t>
      </w:r>
      <w:r w:rsidRPr="00C3188A">
        <w:rPr>
          <w:rFonts w:asciiTheme="majorBidi" w:hAnsiTheme="majorBidi" w:cstheme="majorBidi"/>
        </w:rPr>
        <w:t xml:space="preserve"> </w:t>
      </w:r>
      <w:r w:rsidRPr="002B786C">
        <w:rPr>
          <w:rFonts w:asciiTheme="majorBidi" w:hAnsiTheme="majorBidi" w:cstheme="majorBidi"/>
        </w:rPr>
        <w:t xml:space="preserve">All </w:t>
      </w:r>
      <w:proofErr w:type="spellStart"/>
      <w:r w:rsidRPr="002B786C">
        <w:rPr>
          <w:rFonts w:asciiTheme="majorBidi" w:hAnsiTheme="majorBidi" w:cstheme="majorBidi"/>
        </w:rPr>
        <w:t>mtDNA</w:t>
      </w:r>
      <w:proofErr w:type="spellEnd"/>
      <w:r w:rsidRPr="002B786C">
        <w:rPr>
          <w:rFonts w:asciiTheme="majorBidi" w:hAnsiTheme="majorBidi" w:cstheme="majorBidi"/>
        </w:rPr>
        <w:t xml:space="preserve"> variants are reported relative to the revised </w:t>
      </w:r>
      <w:r w:rsidRPr="002B786C">
        <w:rPr>
          <w:rFonts w:asciiTheme="majorBidi" w:hAnsiTheme="majorBidi" w:cstheme="majorBidi"/>
        </w:rPr>
        <w:lastRenderedPageBreak/>
        <w:t>Cambridge Reference Sequence (</w:t>
      </w:r>
      <w:proofErr w:type="spellStart"/>
      <w:r w:rsidRPr="002B786C">
        <w:rPr>
          <w:rFonts w:asciiTheme="majorBidi" w:hAnsiTheme="majorBidi" w:cstheme="majorBidi"/>
        </w:rPr>
        <w:t>rCRS</w:t>
      </w:r>
      <w:proofErr w:type="spellEnd"/>
      <w:r w:rsidRPr="002B786C">
        <w:rPr>
          <w:rFonts w:asciiTheme="majorBidi" w:hAnsiTheme="majorBidi" w:cstheme="majorBidi"/>
        </w:rPr>
        <w:t>; NC_012920.1) using HGVS nomenclature</w:t>
      </w:r>
      <w:r>
        <w:rPr>
          <w:rFonts w:asciiTheme="majorBidi" w:hAnsiTheme="majorBidi" w:cstheme="majorBidi"/>
        </w:rPr>
        <w:t xml:space="preserve"> </w:t>
      </w:r>
      <w:r>
        <w:rPr>
          <w:rFonts w:asciiTheme="majorBidi" w:hAnsiTheme="majorBidi" w:cstheme="majorBidi"/>
        </w:rPr>
        <w:fldChar w:fldCharType="begin"/>
      </w:r>
      <w:r>
        <w:rPr>
          <w:rFonts w:asciiTheme="majorBidi" w:hAnsiTheme="majorBidi" w:cstheme="majorBidi"/>
        </w:rPr>
        <w:instrText xml:space="preserve"> ADDIN ZOTERO_ITEM CSL_CITATION {"citationID":"2QA8fKdv","properties":{"formattedCitation":"[11]","plainCitation":"[11]","noteIndex":0},"citationItems":[{"id":2566,"uris":["http://zotero.org/users/1723825/items/YC2V4QK4"],"itemData":{"id":2566,"type":"article-journal","container-title":"Human Mutation","DOI":"10.1002/humu.22981","ISSN":"10597794","issue":"6","journalAbbreviation":"Human Mutation","language":"en","license":"http://doi.wiley.com/10.1002/tdm_license_1.1","page":"564-569","source":"DOI.org (Crossref)","title":"HGVS Recommendations for the Description of Sequence Variants: 2016 Update","title-short":"HGVS Recommendations for the Description of Sequence Variants","volume":"37","author":[{"family":"Den Dunnen","given":"Johan T."},{"family":"Dalgleish","given":"Raymond"},{"family":"Maglott","given":"Donna R."},{"family":"Hart","given":"Reece K."},{"family":"Greenblatt","given":"Marc S."},{"family":"McGowan-Jordan","given":"Jean"},{"family":"Roux","given":"Anne-Francoise"},{"family":"Smith","given":"Timothy"},{"family":"Antonarakis","given":"Stylianos E."},{"family":"Taschner","given":"Peter E.M."},{"literal":"on behalf of the Human Genome Variation Society (HGVS), the Human Variome Project (HVP), and the Human Genome Organisation (HUGO)"}],"issued":{"date-parts":[["2016",6]]}}}],"schema":"https://github.com/citation-style-language/schema/raw/master/csl-citation.json"} </w:instrText>
      </w:r>
      <w:r>
        <w:rPr>
          <w:rFonts w:asciiTheme="majorBidi" w:hAnsiTheme="majorBidi" w:cstheme="majorBidi"/>
        </w:rPr>
        <w:fldChar w:fldCharType="separate"/>
      </w:r>
      <w:r w:rsidRPr="00E76219">
        <w:t>[11]</w:t>
      </w:r>
      <w:r>
        <w:rPr>
          <w:rFonts w:asciiTheme="majorBidi" w:hAnsiTheme="majorBidi" w:cstheme="majorBidi"/>
        </w:rPr>
        <w:fldChar w:fldCharType="end"/>
      </w:r>
      <w:r w:rsidRPr="002B786C">
        <w:rPr>
          <w:rFonts w:asciiTheme="majorBidi" w:hAnsiTheme="majorBidi" w:cstheme="majorBidi"/>
        </w:rPr>
        <w:t>.</w:t>
      </w:r>
      <w:r>
        <w:rPr>
          <w:rFonts w:asciiTheme="majorBidi" w:hAnsiTheme="majorBidi" w:cstheme="majorBidi"/>
        </w:rPr>
        <w:t xml:space="preserve"> </w:t>
      </w:r>
      <w:proofErr w:type="spellStart"/>
      <w:r>
        <w:t>SAMtools</w:t>
      </w:r>
      <w:proofErr w:type="spellEnd"/>
      <w:r>
        <w:t xml:space="preserve"> </w:t>
      </w:r>
      <w:proofErr w:type="spellStart"/>
      <w:r>
        <w:t>mpileup</w:t>
      </w:r>
      <w:proofErr w:type="spellEnd"/>
      <w:r>
        <w:t xml:space="preserve"> generated a pileup of aligned reads, summarizing base calls and quality scores at each </w:t>
      </w:r>
      <w:proofErr w:type="spellStart"/>
      <w:r>
        <w:t>mtDNA</w:t>
      </w:r>
      <w:proofErr w:type="spellEnd"/>
      <w:r>
        <w:t xml:space="preserve"> position. </w:t>
      </w:r>
      <w:proofErr w:type="spellStart"/>
      <w:r>
        <w:t>VarScan</w:t>
      </w:r>
      <w:proofErr w:type="spellEnd"/>
      <w:r>
        <w:t xml:space="preserve"> processed these data to call high-confidence single nucleotide polymorphisms (SNPs) and insertions/deletions (indels), applying a minimum minor allele frequency (MAF) threshold of 5% for potential </w:t>
      </w:r>
      <w:proofErr w:type="spellStart"/>
      <w:r>
        <w:t>heteroplasmy</w:t>
      </w:r>
      <w:proofErr w:type="spellEnd"/>
      <w:r>
        <w:t xml:space="preserve"> detection, a minimum read depth of 100×, and a p-value threshold of &lt;0.05 for variant significance. Variants were retained only if detected by both </w:t>
      </w:r>
      <w:proofErr w:type="spellStart"/>
      <w:r>
        <w:t>SAMtools</w:t>
      </w:r>
      <w:proofErr w:type="spellEnd"/>
      <w:r>
        <w:t xml:space="preserve"> and </w:t>
      </w:r>
      <w:proofErr w:type="spellStart"/>
      <w:r>
        <w:t>VarScan</w:t>
      </w:r>
      <w:proofErr w:type="spellEnd"/>
      <w:r>
        <w:t xml:space="preserve">, and the resulting calls were merged into a unified variant call format (VCF) file using </w:t>
      </w:r>
      <w:proofErr w:type="spellStart"/>
      <w:r>
        <w:t>BCFTools</w:t>
      </w:r>
      <w:proofErr w:type="spellEnd"/>
      <w:r>
        <w:t xml:space="preserve"> (version 1.10, Li et al., 2009) </w:t>
      </w:r>
      <w:r>
        <w:rPr>
          <w:rFonts w:asciiTheme="majorBidi" w:hAnsiTheme="majorBidi" w:cstheme="majorBidi"/>
        </w:rPr>
        <w:fldChar w:fldCharType="begin"/>
      </w:r>
      <w:r>
        <w:rPr>
          <w:rFonts w:asciiTheme="majorBidi" w:hAnsiTheme="majorBidi" w:cstheme="majorBidi"/>
        </w:rPr>
        <w:instrText xml:space="preserve"> ADDIN ZOTERO_ITEM CSL_CITATION {"citationID":"kSabqUAb","properties":{"formattedCitation":"[9]","plainCitation":"[9]","noteIndex":0},"citationItems":[{"id":2374,"uris":["http://zotero.org/users/1723825/items/G4TIECGX"],"itemData":{"id":2374,"type":"article-journal","abstract":"Abstract\n            Summary: The Sequence Alignment/Map (SAM) format is a generic alignment format for storing read alignments against reference sequences, supporting short and long reads (up to 128 Mbp) produced by different sequencing platforms. It is flexible in style, compact in size, efficient in random access and is the format in which alignments from the 1000 Genomes Project are released. SAMtools implements various utilities for post-processing alignments in the SAM format, such as indexing, variant caller and alignment viewer, and thus provides universal tools for processing read alignments.\n            Availability:  http://samtools.sourceforge.net\n            Contact:  rd@sanger.ac.uk","container-title":"Bioinformatics","DOI":"10.1093/bioinformatics/btp352","ISSN":"1367-4811, 1367-4803","issue":"16","language":"en","license":"http://creativecommons.org/licenses/by-nc/2.0/uk/","page":"2078-2079","source":"DOI.org (Crossref)","title":"The Sequence Alignment/Map format and SAMtools","volume":"25","author":[{"family":"Li","given":"Heng"},{"family":"Handsaker","given":"Bob"},{"family":"Wysoker","given":"Alec"},{"family":"Fennell","given":"Tim"},{"family":"Ruan","given":"Jue"},{"family":"Homer","given":"Nils"},{"family":"Marth","given":"Gabor"},{"family":"Abecasis","given":"Goncalo"},{"family":"Durbin","given":"Richard"},{"literal":"1000 Genome Project Data Processing Subgroup"}],"issued":{"date-parts":[["2009",8,15]]}}}],"schema":"https://github.com/citation-style-language/schema/raw/master/csl-citation.json"} </w:instrText>
      </w:r>
      <w:r>
        <w:rPr>
          <w:rFonts w:asciiTheme="majorBidi" w:hAnsiTheme="majorBidi" w:cstheme="majorBidi"/>
        </w:rPr>
        <w:fldChar w:fldCharType="separate"/>
      </w:r>
      <w:r w:rsidRPr="00E76219">
        <w:t>[9]</w:t>
      </w:r>
      <w:r>
        <w:rPr>
          <w:rFonts w:asciiTheme="majorBidi" w:hAnsiTheme="majorBidi" w:cstheme="majorBidi"/>
        </w:rPr>
        <w:fldChar w:fldCharType="end"/>
      </w:r>
      <w:r w:rsidRPr="007F7ABA">
        <w:rPr>
          <w:rFonts w:asciiTheme="majorBidi" w:hAnsiTheme="majorBidi" w:cstheme="majorBidi" w:hint="eastAsia"/>
        </w:rPr>
        <w:t>.</w:t>
      </w:r>
      <w:r>
        <w:rPr>
          <w:rFonts w:asciiTheme="majorBidi" w:hAnsiTheme="majorBidi" w:cstheme="majorBidi"/>
        </w:rPr>
        <w:t xml:space="preserve"> </w:t>
      </w:r>
      <w:r w:rsidRPr="007E2539">
        <w:rPr>
          <w:rFonts w:asciiTheme="majorBidi" w:hAnsiTheme="majorBidi" w:cstheme="majorBidi"/>
        </w:rPr>
        <w:t xml:space="preserve">While </w:t>
      </w:r>
      <w:proofErr w:type="spellStart"/>
      <w:r w:rsidRPr="007E2539">
        <w:rPr>
          <w:rFonts w:asciiTheme="majorBidi" w:hAnsiTheme="majorBidi" w:cstheme="majorBidi"/>
        </w:rPr>
        <w:t>mtDNA</w:t>
      </w:r>
      <w:proofErr w:type="spellEnd"/>
      <w:r w:rsidRPr="007E2539">
        <w:rPr>
          <w:rFonts w:asciiTheme="majorBidi" w:hAnsiTheme="majorBidi" w:cstheme="majorBidi"/>
        </w:rPr>
        <w:t xml:space="preserve">-Server 2 offers advanced features for </w:t>
      </w:r>
      <w:proofErr w:type="spellStart"/>
      <w:r w:rsidRPr="007E2539">
        <w:rPr>
          <w:rFonts w:asciiTheme="majorBidi" w:hAnsiTheme="majorBidi" w:cstheme="majorBidi"/>
        </w:rPr>
        <w:t>heteroplasmy</w:t>
      </w:r>
      <w:proofErr w:type="spellEnd"/>
      <w:r w:rsidRPr="007E2539">
        <w:rPr>
          <w:rFonts w:asciiTheme="majorBidi" w:hAnsiTheme="majorBidi" w:cstheme="majorBidi"/>
        </w:rPr>
        <w:t xml:space="preserve"> quantification and interactive analytics </w:t>
      </w:r>
      <w:r>
        <w:rPr>
          <w:rFonts w:asciiTheme="majorBidi" w:hAnsiTheme="majorBidi" w:cstheme="majorBidi"/>
        </w:rPr>
        <w:fldChar w:fldCharType="begin"/>
      </w:r>
      <w:r>
        <w:rPr>
          <w:rFonts w:asciiTheme="majorBidi" w:hAnsiTheme="majorBidi" w:cstheme="majorBidi"/>
        </w:rPr>
        <w:instrText xml:space="preserve"> ADDIN ZOTERO_ITEM CSL_CITATION {"citationID":"pkTWvuYV","properties":{"formattedCitation":"[12]","plainCitation":"[12]","noteIndex":0},"citationItems":[{"id":2576,"uris":["http://zotero.org/users/1723825/items/Q2G2ZTG3"],"itemData":{"id":2576,"type":"article-journal","abstract":"Abstract\n            Over the past decade, mtDNA-Server established itself as one of the most widely used variant calling web-services for human mitochondrial genomes. The service accepts sequencing data in BAM format and returns an annotated variant analysis report for both homoplasmic and heteroplasmic variants. In this work we present mtDNA-Server 2, which includes several new features highly requested by the community. Most importantly, it includes (a) the integration of a novel variant calling mode that accurately call insertions, deletions and single nucleotide variants at once, (b) the integration of additional quality control and input validation modules, (c) a method to estimate the required coverage to minimize false positives and (d) an interactive analytics dashboard. Furthermore, we migrated the complete analysis workflow to the Nextflow workflow manager for improved parallelization, reproducibility and local execution. Recognizing the importance of insertions and deletions as well as offering novel quality control, validation and reporting features, mtDNA-Server 2 provides researchers and clinicians a new state-of-the-art analysis platform for interpreting mitochondrial genomes. mtDNA-Server 2 is available via mitoverse, our analysis platform that offers a centralized place for mtDNA analysis in the cloud. The web-service, source code and its documentation are freely accessible at https://mitoverse.i-med.ac.at.","container-title":"Nucleic Acids Research","DOI":"10.1093/nar/gkae296","ISSN":"0305-1048, 1362-4962","issue":"W1","language":"en","license":"https://creativecommons.org/licenses/by/4.0/","page":"W102-W107","source":"DOI.org (Crossref)","title":"mtDNA-Server 2: advancing mitochondrial DNA analysis through highly parallelized data processing and interactive analytics","title-short":"mtDNA-Server 2","volume":"52","author":[{"family":"Weissensteiner","given":"Hansi"},{"family":"Forer","given":"Lukas"},{"family":"Kronenberg","given":"Florian"},{"family":"Schönherr","given":"Sebastian"}],"issued":{"date-parts":[["2024",7,5]]}}}],"schema":"https://github.com/citation-style-language/schema/raw/master/csl-citation.json"} </w:instrText>
      </w:r>
      <w:r>
        <w:rPr>
          <w:rFonts w:asciiTheme="majorBidi" w:hAnsiTheme="majorBidi" w:cstheme="majorBidi"/>
        </w:rPr>
        <w:fldChar w:fldCharType="separate"/>
      </w:r>
      <w:r w:rsidRPr="00E76219">
        <w:t>[12]</w:t>
      </w:r>
      <w:r>
        <w:rPr>
          <w:rFonts w:asciiTheme="majorBidi" w:hAnsiTheme="majorBidi" w:cstheme="majorBidi"/>
        </w:rPr>
        <w:fldChar w:fldCharType="end"/>
      </w:r>
      <w:r w:rsidRPr="007E2539">
        <w:rPr>
          <w:rFonts w:asciiTheme="majorBidi" w:hAnsiTheme="majorBidi" w:cstheme="majorBidi"/>
        </w:rPr>
        <w:t xml:space="preserve">, </w:t>
      </w:r>
      <w:r>
        <w:t xml:space="preserve">our pipeline was selected for its seamless integration with whole-genome alignments and custom NUMT filtering; future analyses could leverage </w:t>
      </w:r>
      <w:proofErr w:type="spellStart"/>
      <w:r>
        <w:t>mtDNA</w:t>
      </w:r>
      <w:proofErr w:type="spellEnd"/>
      <w:r>
        <w:t>-Server 2 for enhanced low-level variant detection. Pathogenicity was further classified using the Mitochondrial DNA Mutation Database (MITOMAP), Mitochondrial Variant Database (</w:t>
      </w:r>
      <w:proofErr w:type="spellStart"/>
      <w:r>
        <w:t>MSeqDR</w:t>
      </w:r>
      <w:proofErr w:type="spellEnd"/>
      <w:r>
        <w:t>), and Mitochondrial Phenotype Database (</w:t>
      </w:r>
      <w:proofErr w:type="spellStart"/>
      <w:r>
        <w:t>MitoPhenoDB</w:t>
      </w:r>
      <w:proofErr w:type="spellEnd"/>
      <w:r>
        <w:t>), assigning statuses such as 'Confirmed Pathogenic' or 'Variant of Uncertain Significance' (VUS) based on curated evidence</w:t>
      </w:r>
      <w:r w:rsidRPr="00D40884">
        <w:t xml:space="preserve"> </w:t>
      </w:r>
      <w:r>
        <w:fldChar w:fldCharType="begin"/>
      </w:r>
      <w:r>
        <w:instrText xml:space="preserve"> ADDIN ZOTERO_ITEM CSL_CITATION {"citationID":"fVUcYdun","properties":{"formattedCitation":"[13\\uc0\\u8211{}16]","plainCitation":"[13–16]","noteIndex":0},"citationItems":[{"id":2577,"uris":["http://zotero.org/users/1723825/items/7TNWVWCC"],"itemData":{"id":2577,"type":"article-journal","abstract":"Abstract\n            \n              The Mitomap database of human mitochondrial DNA (mtDNA) information has been an important compilation of mtDNA variation for researchers, clinicians, and genetic counselors for the past 25 years. The Mitomap protocol shows how users may look up human mitochondrial gene loci, search for public mitochondrial sequences, and browse or search for reported general population nucleotide variants as well as those reported in clinical disease. Within Mitomap is the powerful sequence analysis tool for human mitochondrial DNA, Mitomaster. The Mitomaster protocol gives step‐by‐step instructions showing how to submit sequences to identify nucleotide variants relative to the rCRS, determine the haplogroup, and view species conservation. User‐supplied sequences, GenBank identifiers, and single‐nucleotide variants may be analyzed.\n              Curr. Protoc. Bioinform\n              . 44:1.23.1‐1.23.26. © 2013 by John Wiley &amp; Sons, Inc.","container-title":"Current Protocols in Bioinformatics","DOI":"10.1002/0471250953.bi0123s44","ISSN":"1934-3396, 1934-340X","issue":"1","journalAbbreviation":"CP in Bioinformatics","language":"en","license":"http://onlinelibrary.wiley.com/termsAndConditions#vor","source":"DOI.org (Crossref)","title":"mtDNA Variation and Analysis Using Mitomap and Mitomaster","URL":"https://currentprotocols.onlinelibrary.wiley.com/doi/10.1002/0471250953.bi0123s44","volume":"44","author":[{"family":"Lott","given":"Marie T."},{"family":"Leipzig","given":"Jeremy N."},{"family":"Derbeneva","given":"Olga"},{"family":"Xie","given":"H. Michael"},{"family":"Chalkia","given":"Dimitra"},{"family":"Sarmady","given":"Mahdi"},{"family":"Procaccio","given":"Vincent"},{"family":"Wallace","given":"Douglas C."}],"accessed":{"date-parts":[["2025",10,3]]},"issued":{"date-parts":[["2013",12]]}}},{"id":2579,"uris":["http://zotero.org/users/1723825/items/IALSC5PD"],"itemData":{"id":2579,"type":"article-journal","container-title":"Human Mutation","DOI":"10.1002/humu.22974","ISSN":"10597794","issue":"6","journalAbbreviation":"Human Mutation","language":"en","license":"http://doi.wiley.com/10.1002/tdm_license_1.1","page":"540-548","source":"DOI.org (Crossref)","title":"MSeqDR: A Centralized Knowledge Repository and Bioinformatics Web Resource to Facilitate Genomic Investigations in Mitochondrial Disease","title-short":"MSeqDR","volume":"37","author":[{"family":"Shen","given":"Lishuang"},{"family":"Diroma","given":"Maria Angela"},{"family":"Gonzalez","given":"Michael"},{"family":"Navarro-Gomez","given":"Daniel"},{"family":"Leipzig","given":"Jeremy"},{"family":"Lott","given":"Marie T."},{"family":"Van Oven","given":"Mannis"},{"family":"Wallace","given":"Douglas C."},{"family":"Muraresku","given":"Colleen Clarke"},{"family":"Zolkipli-Cunningham","given":"Zarazuela"},{"family":"Chinnery","given":"Patrick F."},{"family":"Attimonelli","given":"Marcella"},{"family":"Zuchner","given":"Stephan"},{"family":"Falk","given":"Marni J."},{"family":"Gai","given":"Xiaowu"}],"issued":{"date-parts":[["2016",6]]}}},{"id":2581,"uris":["http://zotero.org/users/1723825/items/45SWHC2B"],"itemData":{"id":2581,"type":"article-journal","container-title":"PLoS ONE","DOI":"10.1371/journal.pone.0060066","ISSN":"1932-6203","issue":"4","journalAbbreviation":"PLoS ONE","language":"en","page":"e60066","source":"DOI.org (Crossref)","title":"MitoLSDB: A Comprehensive Resource to Study Genotype to Phenotype Correlations in Human Mitochondrial DNA Variations","title-short":"MitoLSDB","volume":"8","author":[{"family":"K","given":"Shamnamole"},{"family":"Jalali","given":"Saakshi"},{"family":"Scaria","given":"Vinod"},{"family":"Bhardwaj","given":"Anshu"}],"editor":[{"family":"Crockett","given":"David K."}],"issued":{"date-parts":[["2013",4,9]]}}},{"id":2585,"uris":["http://zotero.org/users/1723825/items/J4RAJLMS"],"itemData":{"id":2585,"type":"article-journal","abstract":"Abstract\n            Diagnosing mitochondrial disorders remains challenging. This is partly because the clinical phenotypes of patients overlap with those of other sporadic and inherited disorders. Although the widespread availability of genetic testing has increased the rate of diagnosis, the combination of phenotypic and genetic heterogeneity still makes it difficult to reach a timely molecular diagnosis with confidence. An objective, systematic method for describing the phenotypic spectra for each variant provides a potential solution to this problem. We curated the clinical phenotypes of 6688 published individuals with 89 pathogenic mitochondrial DNA (mtDNA) mutations, collating 26 348 human phenotype ontology (HPO) terms to establish the MitoPhen database. This enabled a hypothesis-free definition of mtDNA clinical syndromes, an overview of heteroplasmy-phenotype relationships, the identification of under-recognized phenotypes, and provides a publicly available reference dataset for objective clinical comparison with new patients using the HPO. Studying 77 patients with independently confirmed positive mtDNA diagnoses and 1083 confirmed rare disease cases with a non-mitochondrial nuclear genetic diagnosis, we show that HPO-based phenotype similarity scores can distinguish these two classes of rare disease patients with a false discovery rate &amp;lt;10% at a sensitivity of 80%. Enriching the MitoPhen database with more patients will improve predictions for increasingly rare variants.","container-title":"Nucleic Acids Research","DOI":"10.1093/nar/gkab726","ISSN":"0305-1048, 1362-4962","issue":"17","language":"en","license":"https://creativecommons.org/licenses/by/4.0/","page":"9686-9695","source":"DOI.org (Crossref)","title":"MitoPhen database: a human phenotype ontology-based approach to identify mitochondrial DNA diseases","title-short":"MitoPhen database","volume":"49","author":[{"family":"Ratnaike","given":"Thiloka E"},{"family":"Greene","given":"Daniel"},{"family":"Wei","given":"Wei"},{"family":"Sanchis-Juan","given":"Alba"},{"family":"Schon","given":"Katherine R"},{"family":"van den Ameele","given":"Jelle"},{"family":"Raymond","given":"Lucy"},{"family":"Horvath","given":"Rita"},{"family":"Turro","given":"Ernest"},{"family":"Chinnery","given":"Patrick F"}],"issued":{"date-parts":[["2021",9,27]]}}}],"schema":"https://github.com/citation-style-language/schema/raw/master/csl-citation.json"} </w:instrText>
      </w:r>
      <w:r>
        <w:fldChar w:fldCharType="separate"/>
      </w:r>
      <w:r w:rsidRPr="00E76219">
        <w:t>[13–16]</w:t>
      </w:r>
      <w:r>
        <w:fldChar w:fldCharType="end"/>
      </w:r>
      <w:r w:rsidRPr="00D40884">
        <w:t>.</w:t>
      </w:r>
      <w:r>
        <w:t xml:space="preserve"> </w:t>
      </w:r>
      <w:proofErr w:type="spellStart"/>
      <w:r>
        <w:t>Heteroplasmy</w:t>
      </w:r>
      <w:proofErr w:type="spellEnd"/>
      <w:r>
        <w:t xml:space="preserve"> was called for variants with alternate allele frequency (AF) between 0.01 and 0.99, requiring ≥3 supporting reads for the minor allele. Reliable detection thresholds were calculated per sample using a binomial model: minimum </w:t>
      </w:r>
      <w:proofErr w:type="spellStart"/>
      <w:r>
        <w:t>heteroplasmy</w:t>
      </w:r>
      <w:proofErr w:type="spellEnd"/>
      <w:r>
        <w:t xml:space="preserve"> % = max (5%, 3 / √</w:t>
      </w:r>
      <w:proofErr w:type="spellStart"/>
      <w:r>
        <w:t>mean_coverage</w:t>
      </w:r>
      <w:proofErr w:type="spellEnd"/>
      <w:r>
        <w:t xml:space="preserve">) for 95% confidence (p=0.5), resulting in ≥5% across all samples due to high depth (&gt;3,600×). Variants were binned into ranges (0–5%, 5–10%, 10–20%, &gt;20%) using </w:t>
      </w:r>
      <w:proofErr w:type="spellStart"/>
      <w:r>
        <w:t>bcftools</w:t>
      </w:r>
      <w:proofErr w:type="spellEnd"/>
      <w:r>
        <w:t xml:space="preserve"> query</w:t>
      </w:r>
      <w:r w:rsidRPr="00111225">
        <w:t xml:space="preserve"> </w:t>
      </w:r>
      <w:r>
        <w:rPr>
          <w:rFonts w:asciiTheme="majorBidi" w:hAnsiTheme="majorBidi" w:cstheme="majorBidi"/>
        </w:rPr>
        <w:fldChar w:fldCharType="begin"/>
      </w:r>
      <w:r>
        <w:rPr>
          <w:rFonts w:asciiTheme="majorBidi" w:hAnsiTheme="majorBidi" w:cstheme="majorBidi"/>
        </w:rPr>
        <w:instrText xml:space="preserve"> ADDIN ZOTERO_ITEM CSL_CITATION {"citationID":"cYK1A585","properties":{"formattedCitation":"[17]","plainCitation":"[17]","noteIndex":0},"citationItems":[{"id":2572,"uris":["http://zotero.org/users/1723825/items/TJWR3S82"],"itemData":{"id":2572,"type":"article-journal","abstract":"Abstract\n            Primary mitochondrial disease describes a diverse group of neuro-metabolic disorders characterised by impaired oxidative phosphorylation. Diagnosis is challenging; &gt;350 genes, both nuclear and mitochondrial DNA (mtDNA) encoded, are known to cause mitochondrial disease, leading to all possible inheritance patterns and further complicated by heteroplasmy of the multicopy mitochondrial genome. Technological advances, particularly next-generation sequencing, have driven a shift in diagnostic practice from ‘biopsy first’ to genome-wide analyses of blood and/or urine DNA. This has led to the need for a reference framework for laboratories involved in mitochondrial genetic testing to facilitate a consistent high-quality service. In the United Kingdom, consensus guidelines have been prepared by a working group of Clinical Scientists from the NHS Highly Specialised Service followed by national laboratory consultation. These guidelines summarise current recommended technologies and methodologies for the analysis of mtDNA and nuclear-encoded genes in patients with suspected mitochondrial disease. Genetic testing strategies for diagnosis, family testing and reproductive options including prenatal diagnosis are outlined. Importantly, recommendations for the minimum levels of mtDNA testing for the most common referral reasons are included, as well as guidance on appropriate referrals and information on the minimal appropriate gene content of panels when analysing nuclear mitochondrial genes. Finally, variant interpretation and recommendations for reporting of results are discussed, focussing particularly on the challenges of interpreting and reporting mtDNA variants.","container-title":"European Journal of Human Genetics","DOI":"10.1038/s41431-022-01249-w","ISSN":"1018-4813, 1476-5438","issue":"2","journalAbbreviation":"Eur J Hum Genet","language":"en","page":"148-163","source":"DOI.org (Crossref)","title":"Genetic testing for mitochondrial disease: the United Kingdom best practice guidelines","title-short":"Genetic testing for mitochondrial disease","volume":"31","author":[{"family":"Mavraki","given":"Eleni"},{"family":"Labrum","given":"Robyn"},{"family":"Sergeant","given":"Kate"},{"family":"Alston","given":"Charlotte L."},{"family":"Woodward","given":"Cathy"},{"family":"Smith","given":"Conrad"},{"family":"Knowles","given":"Charlotte V. Y."},{"family":"Patel","given":"Yogen"},{"family":"Hodsdon","given":"Philip"},{"family":"Baines","given":"Jack P."},{"family":"Blakely","given":"Emma L."},{"family":"Polke","given":"James"},{"family":"Taylor","given":"Robert W."},{"family":"Fratter","given":"Carl"}],"issued":{"date-parts":[["2023",2]]}}}],"schema":"https://github.com/citation-style-language/schema/raw/master/csl-citation.json"} </w:instrText>
      </w:r>
      <w:r>
        <w:rPr>
          <w:rFonts w:asciiTheme="majorBidi" w:hAnsiTheme="majorBidi" w:cstheme="majorBidi"/>
        </w:rPr>
        <w:fldChar w:fldCharType="separate"/>
      </w:r>
      <w:r w:rsidRPr="00E76219">
        <w:t>[17]</w:t>
      </w:r>
      <w:r>
        <w:rPr>
          <w:rFonts w:asciiTheme="majorBidi" w:hAnsiTheme="majorBidi" w:cstheme="majorBidi"/>
        </w:rPr>
        <w:fldChar w:fldCharType="end"/>
      </w:r>
      <w:r w:rsidRPr="00D26A41">
        <w:rPr>
          <w:rFonts w:asciiTheme="majorBidi" w:hAnsiTheme="majorBidi" w:cstheme="majorBidi"/>
        </w:rPr>
        <w:t>,</w:t>
      </w:r>
      <w:r>
        <w:rPr>
          <w:rFonts w:asciiTheme="majorBidi" w:hAnsiTheme="majorBidi" w:cstheme="majorBidi"/>
        </w:rPr>
        <w:t xml:space="preserve"> </w:t>
      </w:r>
      <w:r>
        <w:t xml:space="preserve">with counts aggregated by population in </w:t>
      </w:r>
      <w:r w:rsidRPr="00830C18">
        <w:rPr>
          <w:b/>
          <w:bCs/>
        </w:rPr>
        <w:t xml:space="preserve">Supplementary Table </w:t>
      </w:r>
      <w:r>
        <w:rPr>
          <w:b/>
          <w:bCs/>
        </w:rPr>
        <w:t>1</w:t>
      </w:r>
      <w:r>
        <w:t xml:space="preserve">. </w:t>
      </w:r>
      <w:r w:rsidRPr="00D95A82">
        <w:rPr>
          <w:rFonts w:hint="eastAsia"/>
        </w:rPr>
        <w:t xml:space="preserve">These include 21 low-confidence calls (&lt;5% MAF), while no reliable </w:t>
      </w:r>
      <w:proofErr w:type="spellStart"/>
      <w:r w:rsidRPr="00D95A82">
        <w:rPr>
          <w:rFonts w:hint="eastAsia"/>
        </w:rPr>
        <w:t>heteroplasmy</w:t>
      </w:r>
      <w:proofErr w:type="spellEnd"/>
      <w:r w:rsidRPr="00D95A82">
        <w:rPr>
          <w:rFonts w:hint="eastAsia"/>
        </w:rPr>
        <w:t xml:space="preserve"> (≥5%) was prominent.</w:t>
      </w:r>
      <w:r>
        <w:t xml:space="preserve"> No prominent </w:t>
      </w:r>
      <w:proofErr w:type="spellStart"/>
      <w:r>
        <w:t>heteroplasmic</w:t>
      </w:r>
      <w:proofErr w:type="spellEnd"/>
      <w:r>
        <w:t xml:space="preserve"> variants exceeding the reliable detection threshold (MAF ≥5%) were detected, indicating all major identified </w:t>
      </w:r>
      <w:proofErr w:type="spellStart"/>
      <w:r>
        <w:t>mtDNA</w:t>
      </w:r>
      <w:proofErr w:type="spellEnd"/>
      <w:r>
        <w:t xml:space="preserve"> variants were </w:t>
      </w:r>
      <w:proofErr w:type="spellStart"/>
      <w:r>
        <w:t>homoplasmic</w:t>
      </w:r>
      <w:proofErr w:type="spellEnd"/>
      <w:r>
        <w:t xml:space="preserve"> (MAF ≈100%), likely due to strong purifying selection, the use of whole blood samples, or limitations in detecting low-level </w:t>
      </w:r>
      <w:proofErr w:type="spellStart"/>
      <w:r>
        <w:t>heteroplasmy</w:t>
      </w:r>
      <w:proofErr w:type="spellEnd"/>
      <w:r>
        <w:t xml:space="preserve"> at the sequencing depth (mean 3,911 ± 1,965×); 21 low-confidence calls (&lt;5%). For the Kohistani population, polymorphism lists were cross-checked with </w:t>
      </w:r>
      <w:proofErr w:type="spellStart"/>
      <w:r>
        <w:t>SAMtools</w:t>
      </w:r>
      <w:proofErr w:type="spellEnd"/>
      <w:r>
        <w:t>/</w:t>
      </w:r>
      <w:proofErr w:type="spellStart"/>
      <w:r>
        <w:t>VarScan</w:t>
      </w:r>
      <w:proofErr w:type="spellEnd"/>
      <w:r>
        <w:t xml:space="preserve"> outputs to ensure accuracy </w:t>
      </w:r>
      <w:r>
        <w:rPr>
          <w:rFonts w:asciiTheme="majorBidi" w:hAnsiTheme="majorBidi" w:cstheme="majorBidi"/>
        </w:rPr>
        <w:fldChar w:fldCharType="begin"/>
      </w:r>
      <w:r>
        <w:rPr>
          <w:rFonts w:asciiTheme="majorBidi" w:hAnsiTheme="majorBidi" w:cstheme="majorBidi"/>
        </w:rPr>
        <w:instrText xml:space="preserve"> ADDIN ZOTERO_ITEM CSL_CITATION {"citationID":"wHdwNUVm","properties":{"formattedCitation":"[9]","plainCitation":"[9]","noteIndex":0},"citationItems":[{"id":2374,"uris":["http://zotero.org/users/1723825/items/G4TIECGX"],"itemData":{"id":2374,"type":"article-journal","abstract":"Abstract\n            Summary: The Sequence Alignment/Map (SAM) format is a generic alignment format for storing read alignments against reference sequences, supporting short and long reads (up to 128 Mbp) produced by different sequencing platforms. It is flexible in style, compact in size, efficient in random access and is the format in which alignments from the 1000 Genomes Project are released. SAMtools implements various utilities for post-processing alignments in the SAM format, such as indexing, variant caller and alignment viewer, and thus provides universal tools for processing read alignments.\n            Availability:  http://samtools.sourceforge.net\n            Contact:  rd@sanger.ac.uk","container-title":"Bioinformatics","DOI":"10.1093/bioinformatics/btp352","ISSN":"1367-4811, 1367-4803","issue":"16","language":"en","license":"http://creativecommons.org/licenses/by-nc/2.0/uk/","page":"2078-2079","source":"DOI.org (Crossref)","title":"The Sequence Alignment/Map format and SAMtools","volume":"25","author":[{"family":"Li","given":"Heng"},{"family":"Handsaker","given":"Bob"},{"family":"Wysoker","given":"Alec"},{"family":"Fennell","given":"Tim"},{"family":"Ruan","given":"Jue"},{"family":"Homer","given":"Nils"},{"family":"Marth","given":"Gabor"},{"family":"Abecasis","given":"Goncalo"},{"family":"Durbin","given":"Richard"},{"literal":"1000 Genome Project Data Processing Subgroup"}],"issued":{"date-parts":[["2009",8,15]]}}}],"schema":"https://github.com/citation-style-language/schema/raw/master/csl-citation.json"} </w:instrText>
      </w:r>
      <w:r>
        <w:rPr>
          <w:rFonts w:asciiTheme="majorBidi" w:hAnsiTheme="majorBidi" w:cstheme="majorBidi"/>
        </w:rPr>
        <w:fldChar w:fldCharType="separate"/>
      </w:r>
      <w:r w:rsidRPr="00E76219">
        <w:t>[9]</w:t>
      </w:r>
      <w:r>
        <w:rPr>
          <w:rFonts w:asciiTheme="majorBidi" w:hAnsiTheme="majorBidi" w:cstheme="majorBidi"/>
        </w:rPr>
        <w:fldChar w:fldCharType="end"/>
      </w:r>
      <w:r w:rsidRPr="00F76C89">
        <w:rPr>
          <w:rFonts w:asciiTheme="majorBidi" w:hAnsiTheme="majorBidi" w:cstheme="majorBidi"/>
        </w:rPr>
        <w:t>.</w:t>
      </w:r>
      <w:r>
        <w:rPr>
          <w:rFonts w:asciiTheme="majorBidi" w:hAnsiTheme="majorBidi" w:cstheme="majorBidi"/>
        </w:rPr>
        <w:t xml:space="preserve"> </w:t>
      </w:r>
      <w:r w:rsidRPr="00111225">
        <w:t xml:space="preserve">The merged VCF file was cross-validated against the EMPOP database </w:t>
      </w:r>
      <w:r>
        <w:rPr>
          <w:rFonts w:asciiTheme="majorBidi" w:hAnsiTheme="majorBidi" w:cstheme="majorBidi"/>
        </w:rPr>
        <w:fldChar w:fldCharType="begin"/>
      </w:r>
      <w:r>
        <w:rPr>
          <w:rFonts w:asciiTheme="majorBidi" w:hAnsiTheme="majorBidi" w:cstheme="majorBidi"/>
        </w:rPr>
        <w:instrText xml:space="preserve"> ADDIN ZOTERO_ITEM CSL_CITATION {"citationID":"VdMGLG2r","properties":{"formattedCitation":"[18]","plainCitation":"[18]","noteIndex":0},"citationItems":[{"id":2381,"uris":["http://zotero.org/users/1723825/items/MULRG2V9"],"itemData":{"id":2381,"type":"article-journal","container-title":"Forensic Science International","DOI":"10.1016/j.forsciint.2003.11.008","ISSN":"03790738","issue":"2-3","journalAbbreviation":"Forensic Science International","language":"en","license":"https://www.elsevier.com/tdm/userlicense/1.0/","page":"215-226","source":"DOI.org (Crossref)","title":"The EDNAP mitochondrial DNA population database (EMPOP) collaborative exercises: organisation, results and perspectives","title-short":"The EDNAP mitochondrial DNA population database (EMPOP) collaborative exercises","volume":"139","author":[{"family":"Parson","given":"Walther"},{"family":"Brandstätter","given":"Anita"},{"family":"Alonso","given":"Antonio"},{"family":"Brandt","given":"Nathalie"},{"family":"Brinkmann","given":"Bernd"},{"family":"Carracedo","given":"Angel"},{"family":"Corach","given":"Daniel"},{"family":"Froment","given":"Olivier"},{"family":"Furac","given":"Ivana"},{"family":"Grzybowski","given":"Tomasz"},{"family":"Hedberg","given":"Karin"},{"family":"Keyser-Tracqui","given":"Christine"},{"family":"Kupiec","given":"Tomasz"},{"family":"Lutz-Bonengel","given":"Sabine"},{"family":"Mevag","given":"Bente"},{"family":"Ploski","given":"Rafal"},{"family":"Schmitter","given":"Hermann"},{"family":"Schneider","given":"Peter"},{"family":"Syndercombe-Court","given":"Denise"},{"family":"Sørensen","given":"Eric"},{"family":"Thew","given":"Heather"},{"family":"Tully","given":"Gillian"},{"family":"Scheithauer","given":"Richard"}],"issued":{"date-parts":[["2004",1]]}}}],"schema":"https://github.com/citation-style-language/schema/raw/master/csl-citation.json"} </w:instrText>
      </w:r>
      <w:r>
        <w:rPr>
          <w:rFonts w:asciiTheme="majorBidi" w:hAnsiTheme="majorBidi" w:cstheme="majorBidi"/>
        </w:rPr>
        <w:fldChar w:fldCharType="separate"/>
      </w:r>
      <w:r w:rsidRPr="00E76219">
        <w:t>[18]</w:t>
      </w:r>
      <w:r>
        <w:rPr>
          <w:rFonts w:asciiTheme="majorBidi" w:hAnsiTheme="majorBidi" w:cstheme="majorBidi"/>
        </w:rPr>
        <w:fldChar w:fldCharType="end"/>
      </w:r>
      <w:r w:rsidRPr="007F7ABA">
        <w:rPr>
          <w:rFonts w:asciiTheme="majorBidi" w:hAnsiTheme="majorBidi" w:cstheme="majorBidi"/>
        </w:rPr>
        <w:t xml:space="preserve"> </w:t>
      </w:r>
      <w:r w:rsidRPr="00111225">
        <w:t>for consistency, and consensus sequences in FASTA format were generate</w:t>
      </w:r>
      <w:r w:rsidRPr="00111225">
        <w:rPr>
          <w:rFonts w:hint="eastAsia"/>
        </w:rPr>
        <w:t xml:space="preserve">d using </w:t>
      </w:r>
      <w:proofErr w:type="spellStart"/>
      <w:r w:rsidRPr="00111225">
        <w:rPr>
          <w:rFonts w:hint="eastAsia"/>
        </w:rPr>
        <w:t>BCFTools</w:t>
      </w:r>
      <w:proofErr w:type="spellEnd"/>
      <w:r w:rsidRPr="00111225">
        <w:rPr>
          <w:rFonts w:hint="eastAsia"/>
        </w:rPr>
        <w:t xml:space="preserve"> </w:t>
      </w:r>
      <w:r>
        <w:fldChar w:fldCharType="begin"/>
      </w:r>
      <w:r>
        <w:instrText xml:space="preserve"> ADDIN ZOTERO_ITEM CSL_CITATION {"citationID":"Kabf2aCW","properties":{"formattedCitation":"[19]","plainCitation":"[19]","noteIndex":0},"citationItems":[{"id":2583,"uris":["http://zotero.org/users/1723825/items/UEKTBU4I"],"itemData":{"id":2583,"type":"article-journal","abstract":"Abstract\n            Motivation: Most existing methods for DNA sequence analysis rely on accurate sequences or genotypes. However, in applications of the next-generation sequencing (NGS), accurate genotypes may not be easily obtained (e.g. multi-sample low-coverage sequencing or somatic mutation discovery). These applications press for the development of new methods for analyzing sequence data with uncertainty.\n            Results: We present a statistical framework for calling SNPs, discovering somatic mutations, inferring population genetical parameters and performing association tests directly based on sequencing data without explicit genotyping or linkage-based imputation. On real data, we demonstrate that our method achieves comparable accuracy to alternative methods for estimating site allele count, for inferring allele frequency spectrum and for association mapping. We also highlight the necessity of using symmetric datasets for finding somatic mutations and confirm that for discovering rare events, mismapping is frequently the leading source of errors.\n            Availability:  http://samtools.sourceforge.net\n            Contact:  hengli@broadinstitute.org","container-title":"Bioinformatics","DOI":"10.1093/bioinformatics/btr509","ISSN":"1367-4811, 1367-4803","issue":"21","language":"en","page":"2987-2993","source":"DOI.org (Crossref)","title":"A statistical framework for SNP calling, mutation discovery, association mapping and population genetical parameter estimation from sequencing data","volume":"27","author":[{"family":"Li","given":"Heng"}],"issued":{"date-parts":[["2011",11,1]]}}}],"schema":"https://github.com/citation-style-language/schema/raw/master/csl-citation.json"} </w:instrText>
      </w:r>
      <w:r>
        <w:fldChar w:fldCharType="separate"/>
      </w:r>
      <w:r w:rsidRPr="00E76219">
        <w:t>[19]</w:t>
      </w:r>
      <w:r>
        <w:fldChar w:fldCharType="end"/>
      </w:r>
      <w:r w:rsidRPr="007F7ABA">
        <w:rPr>
          <w:rFonts w:asciiTheme="majorBidi" w:hAnsiTheme="majorBidi" w:cstheme="majorBidi"/>
        </w:rPr>
        <w:t>.</w:t>
      </w:r>
    </w:p>
    <w:p w14:paraId="40AF3354" w14:textId="1C50F6D5" w:rsidR="00E76219" w:rsidRDefault="00E76219" w:rsidP="00E76219">
      <w:pPr>
        <w:pStyle w:val="NormalWeb"/>
        <w:jc w:val="both"/>
        <w:rPr>
          <w:rFonts w:asciiTheme="majorBidi" w:hAnsiTheme="majorBidi" w:cstheme="majorBidi"/>
        </w:rPr>
      </w:pPr>
    </w:p>
    <w:p w14:paraId="691A10A2" w14:textId="1E664B7A" w:rsidR="00E76219" w:rsidRDefault="00E76219" w:rsidP="00E76219">
      <w:pPr>
        <w:pStyle w:val="NormalWeb"/>
        <w:jc w:val="both"/>
        <w:rPr>
          <w:rFonts w:asciiTheme="majorBidi" w:hAnsiTheme="majorBidi" w:cstheme="majorBidi"/>
        </w:rPr>
      </w:pPr>
      <w:r>
        <w:rPr>
          <w:rFonts w:asciiTheme="majorBidi" w:hAnsiTheme="majorBidi" w:cstheme="majorBidi"/>
        </w:rPr>
        <w:t xml:space="preserve">References </w:t>
      </w:r>
    </w:p>
    <w:p w14:paraId="352B38C3" w14:textId="77777777" w:rsidR="00E76219" w:rsidRPr="00E76219" w:rsidRDefault="00E76219" w:rsidP="00E76219">
      <w:pPr>
        <w:pStyle w:val="Bibliography"/>
        <w:rPr>
          <w:rFonts w:ascii="Times New Roman" w:hAnsi="Times New Roman" w:cs="Times New Roman"/>
          <w:sz w:val="24"/>
        </w:rPr>
      </w:pPr>
      <w:r>
        <w:rPr>
          <w:rFonts w:asciiTheme="majorBidi" w:hAnsiTheme="majorBidi" w:cstheme="majorBidi"/>
        </w:rPr>
        <w:fldChar w:fldCharType="begin"/>
      </w:r>
      <w:r>
        <w:rPr>
          <w:rFonts w:asciiTheme="majorBidi" w:hAnsiTheme="majorBidi" w:cstheme="majorBidi"/>
        </w:rPr>
        <w:instrText xml:space="preserve"> ADDIN ZOTERO_BIBL {"uncited":[],"omitted":[],"custom":[]} CSL_BIBLIOGRAPHY </w:instrText>
      </w:r>
      <w:r>
        <w:rPr>
          <w:rFonts w:asciiTheme="majorBidi" w:hAnsiTheme="majorBidi" w:cstheme="majorBidi"/>
        </w:rPr>
        <w:fldChar w:fldCharType="separate"/>
      </w:r>
      <w:r w:rsidRPr="00E76219">
        <w:rPr>
          <w:rFonts w:ascii="Times New Roman" w:hAnsi="Times New Roman" w:cs="Times New Roman"/>
          <w:sz w:val="24"/>
        </w:rPr>
        <w:t xml:space="preserve">1. Martin M. </w:t>
      </w:r>
      <w:proofErr w:type="spellStart"/>
      <w:r w:rsidRPr="00E76219">
        <w:rPr>
          <w:rFonts w:ascii="Times New Roman" w:hAnsi="Times New Roman" w:cs="Times New Roman"/>
          <w:sz w:val="24"/>
        </w:rPr>
        <w:t>Cutadapt</w:t>
      </w:r>
      <w:proofErr w:type="spellEnd"/>
      <w:r w:rsidRPr="00E76219">
        <w:rPr>
          <w:rFonts w:ascii="Times New Roman" w:hAnsi="Times New Roman" w:cs="Times New Roman"/>
          <w:sz w:val="24"/>
        </w:rPr>
        <w:t xml:space="preserve"> removes adapter sequences from high-throughput sequencing reads. </w:t>
      </w:r>
      <w:proofErr w:type="spellStart"/>
      <w:r w:rsidRPr="00E76219">
        <w:rPr>
          <w:rFonts w:ascii="Times New Roman" w:hAnsi="Times New Roman" w:cs="Times New Roman"/>
          <w:sz w:val="24"/>
        </w:rPr>
        <w:t>EMBnet</w:t>
      </w:r>
      <w:proofErr w:type="spellEnd"/>
      <w:r w:rsidRPr="00E76219">
        <w:rPr>
          <w:rFonts w:ascii="Times New Roman" w:hAnsi="Times New Roman" w:cs="Times New Roman"/>
          <w:sz w:val="24"/>
        </w:rPr>
        <w:t xml:space="preserve"> j. </w:t>
      </w:r>
      <w:proofErr w:type="gramStart"/>
      <w:r w:rsidRPr="00E76219">
        <w:rPr>
          <w:rFonts w:ascii="Times New Roman" w:hAnsi="Times New Roman" w:cs="Times New Roman"/>
          <w:sz w:val="24"/>
        </w:rPr>
        <w:t>2011;17:10</w:t>
      </w:r>
      <w:proofErr w:type="gramEnd"/>
      <w:r w:rsidRPr="00E76219">
        <w:rPr>
          <w:rFonts w:ascii="Times New Roman" w:hAnsi="Times New Roman" w:cs="Times New Roman"/>
          <w:sz w:val="24"/>
        </w:rPr>
        <w:t>. https://doi.org/10.14806/ej.17.1.200.</w:t>
      </w:r>
    </w:p>
    <w:p w14:paraId="562D6163" w14:textId="77777777" w:rsidR="00E76219" w:rsidRPr="00E76219" w:rsidRDefault="00E76219" w:rsidP="00E76219">
      <w:pPr>
        <w:pStyle w:val="Bibliography"/>
        <w:rPr>
          <w:rFonts w:ascii="Times New Roman" w:hAnsi="Times New Roman" w:cs="Times New Roman"/>
          <w:sz w:val="24"/>
        </w:rPr>
      </w:pPr>
      <w:r w:rsidRPr="00E76219">
        <w:rPr>
          <w:rFonts w:ascii="Times New Roman" w:hAnsi="Times New Roman" w:cs="Times New Roman"/>
          <w:sz w:val="24"/>
        </w:rPr>
        <w:t xml:space="preserve">2. Li M, </w:t>
      </w:r>
      <w:proofErr w:type="spellStart"/>
      <w:r w:rsidRPr="00E76219">
        <w:rPr>
          <w:rFonts w:ascii="Times New Roman" w:hAnsi="Times New Roman" w:cs="Times New Roman"/>
          <w:sz w:val="24"/>
        </w:rPr>
        <w:t>Schönberg</w:t>
      </w:r>
      <w:proofErr w:type="spellEnd"/>
      <w:r w:rsidRPr="00E76219">
        <w:rPr>
          <w:rFonts w:ascii="Times New Roman" w:hAnsi="Times New Roman" w:cs="Times New Roman"/>
          <w:sz w:val="24"/>
        </w:rPr>
        <w:t xml:space="preserve"> A, Schaefer M, Schroeder R, </w:t>
      </w:r>
      <w:proofErr w:type="spellStart"/>
      <w:r w:rsidRPr="00E76219">
        <w:rPr>
          <w:rFonts w:ascii="Times New Roman" w:hAnsi="Times New Roman" w:cs="Times New Roman"/>
          <w:sz w:val="24"/>
        </w:rPr>
        <w:t>Nasidze</w:t>
      </w:r>
      <w:proofErr w:type="spellEnd"/>
      <w:r w:rsidRPr="00E76219">
        <w:rPr>
          <w:rFonts w:ascii="Times New Roman" w:hAnsi="Times New Roman" w:cs="Times New Roman"/>
          <w:sz w:val="24"/>
        </w:rPr>
        <w:t xml:space="preserve"> I, </w:t>
      </w:r>
      <w:proofErr w:type="spellStart"/>
      <w:r w:rsidRPr="00E76219">
        <w:rPr>
          <w:rFonts w:ascii="Times New Roman" w:hAnsi="Times New Roman" w:cs="Times New Roman"/>
          <w:sz w:val="24"/>
        </w:rPr>
        <w:t>Stoneking</w:t>
      </w:r>
      <w:proofErr w:type="spellEnd"/>
      <w:r w:rsidRPr="00E76219">
        <w:rPr>
          <w:rFonts w:ascii="Times New Roman" w:hAnsi="Times New Roman" w:cs="Times New Roman"/>
          <w:sz w:val="24"/>
        </w:rPr>
        <w:t xml:space="preserve"> M. Detecting </w:t>
      </w:r>
      <w:proofErr w:type="spellStart"/>
      <w:r w:rsidRPr="00E76219">
        <w:rPr>
          <w:rFonts w:ascii="Times New Roman" w:hAnsi="Times New Roman" w:cs="Times New Roman"/>
          <w:sz w:val="24"/>
        </w:rPr>
        <w:t>Heteroplasmy</w:t>
      </w:r>
      <w:proofErr w:type="spellEnd"/>
      <w:r w:rsidRPr="00E76219">
        <w:rPr>
          <w:rFonts w:ascii="Times New Roman" w:hAnsi="Times New Roman" w:cs="Times New Roman"/>
          <w:sz w:val="24"/>
        </w:rPr>
        <w:t xml:space="preserve"> from High-Throughput Sequencing of Complete Human Mitochondrial DNA Genomes. The American Journal of Human Genetics. </w:t>
      </w:r>
      <w:proofErr w:type="gramStart"/>
      <w:r w:rsidRPr="00E76219">
        <w:rPr>
          <w:rFonts w:ascii="Times New Roman" w:hAnsi="Times New Roman" w:cs="Times New Roman"/>
          <w:sz w:val="24"/>
        </w:rPr>
        <w:t>2010;87:237</w:t>
      </w:r>
      <w:proofErr w:type="gramEnd"/>
      <w:r w:rsidRPr="00E76219">
        <w:rPr>
          <w:rFonts w:ascii="Times New Roman" w:hAnsi="Times New Roman" w:cs="Times New Roman"/>
          <w:sz w:val="24"/>
        </w:rPr>
        <w:t>–49. https://doi.org/10.1016/j.ajhg.2010.07.014.</w:t>
      </w:r>
    </w:p>
    <w:p w14:paraId="25FDF6EC" w14:textId="77777777" w:rsidR="00E76219" w:rsidRPr="00E76219" w:rsidRDefault="00E76219" w:rsidP="00E76219">
      <w:pPr>
        <w:pStyle w:val="Bibliography"/>
        <w:rPr>
          <w:rFonts w:ascii="Times New Roman" w:hAnsi="Times New Roman" w:cs="Times New Roman"/>
          <w:sz w:val="24"/>
        </w:rPr>
      </w:pPr>
      <w:r w:rsidRPr="00E76219">
        <w:rPr>
          <w:rFonts w:ascii="Times New Roman" w:hAnsi="Times New Roman" w:cs="Times New Roman"/>
          <w:sz w:val="24"/>
        </w:rPr>
        <w:t xml:space="preserve">3. Bolger AM, Lohse M, </w:t>
      </w:r>
      <w:proofErr w:type="spellStart"/>
      <w:r w:rsidRPr="00E76219">
        <w:rPr>
          <w:rFonts w:ascii="Times New Roman" w:hAnsi="Times New Roman" w:cs="Times New Roman"/>
          <w:sz w:val="24"/>
        </w:rPr>
        <w:t>Usadel</w:t>
      </w:r>
      <w:proofErr w:type="spellEnd"/>
      <w:r w:rsidRPr="00E76219">
        <w:rPr>
          <w:rFonts w:ascii="Times New Roman" w:hAnsi="Times New Roman" w:cs="Times New Roman"/>
          <w:sz w:val="24"/>
        </w:rPr>
        <w:t xml:space="preserve"> B. </w:t>
      </w:r>
      <w:proofErr w:type="spellStart"/>
      <w:r w:rsidRPr="00E76219">
        <w:rPr>
          <w:rFonts w:ascii="Times New Roman" w:hAnsi="Times New Roman" w:cs="Times New Roman"/>
          <w:sz w:val="24"/>
        </w:rPr>
        <w:t>Trimmomatic</w:t>
      </w:r>
      <w:proofErr w:type="spellEnd"/>
      <w:r w:rsidRPr="00E76219">
        <w:rPr>
          <w:rFonts w:ascii="Times New Roman" w:hAnsi="Times New Roman" w:cs="Times New Roman"/>
          <w:sz w:val="24"/>
        </w:rPr>
        <w:t xml:space="preserve">: a flexible trimmer for Illumina sequence data. Bioinformatics. </w:t>
      </w:r>
      <w:proofErr w:type="gramStart"/>
      <w:r w:rsidRPr="00E76219">
        <w:rPr>
          <w:rFonts w:ascii="Times New Roman" w:hAnsi="Times New Roman" w:cs="Times New Roman"/>
          <w:sz w:val="24"/>
        </w:rPr>
        <w:t>2014;30:2114</w:t>
      </w:r>
      <w:proofErr w:type="gramEnd"/>
      <w:r w:rsidRPr="00E76219">
        <w:rPr>
          <w:rFonts w:ascii="Times New Roman" w:hAnsi="Times New Roman" w:cs="Times New Roman"/>
          <w:sz w:val="24"/>
        </w:rPr>
        <w:t>–20. https://doi.org/10.1093/bioinformatics/btu170.</w:t>
      </w:r>
    </w:p>
    <w:p w14:paraId="1AF67B0D" w14:textId="77777777" w:rsidR="00E76219" w:rsidRPr="00E76219" w:rsidRDefault="00E76219" w:rsidP="00E76219">
      <w:pPr>
        <w:pStyle w:val="Bibliography"/>
        <w:rPr>
          <w:rFonts w:ascii="Times New Roman" w:hAnsi="Times New Roman" w:cs="Times New Roman"/>
          <w:sz w:val="24"/>
        </w:rPr>
      </w:pPr>
      <w:r w:rsidRPr="00E76219">
        <w:rPr>
          <w:rFonts w:ascii="Times New Roman" w:hAnsi="Times New Roman" w:cs="Times New Roman"/>
          <w:sz w:val="24"/>
        </w:rPr>
        <w:lastRenderedPageBreak/>
        <w:t xml:space="preserve">4. Andrews RM, </w:t>
      </w:r>
      <w:proofErr w:type="spellStart"/>
      <w:r w:rsidRPr="00E76219">
        <w:rPr>
          <w:rFonts w:ascii="Times New Roman" w:hAnsi="Times New Roman" w:cs="Times New Roman"/>
          <w:sz w:val="24"/>
        </w:rPr>
        <w:t>Kubacka</w:t>
      </w:r>
      <w:proofErr w:type="spellEnd"/>
      <w:r w:rsidRPr="00E76219">
        <w:rPr>
          <w:rFonts w:ascii="Times New Roman" w:hAnsi="Times New Roman" w:cs="Times New Roman"/>
          <w:sz w:val="24"/>
        </w:rPr>
        <w:t xml:space="preserve"> I, Chinnery PF, </w:t>
      </w:r>
      <w:proofErr w:type="spellStart"/>
      <w:r w:rsidRPr="00E76219">
        <w:rPr>
          <w:rFonts w:ascii="Times New Roman" w:hAnsi="Times New Roman" w:cs="Times New Roman"/>
          <w:sz w:val="24"/>
        </w:rPr>
        <w:t>Lightowlers</w:t>
      </w:r>
      <w:proofErr w:type="spellEnd"/>
      <w:r w:rsidRPr="00E76219">
        <w:rPr>
          <w:rFonts w:ascii="Times New Roman" w:hAnsi="Times New Roman" w:cs="Times New Roman"/>
          <w:sz w:val="24"/>
        </w:rPr>
        <w:t xml:space="preserve"> RN, Turnbull DM, Howell N. Reanalysis and revision of the Cambridge reference sequence for human mitochondrial DNA. Nat Genet. </w:t>
      </w:r>
      <w:proofErr w:type="gramStart"/>
      <w:r w:rsidRPr="00E76219">
        <w:rPr>
          <w:rFonts w:ascii="Times New Roman" w:hAnsi="Times New Roman" w:cs="Times New Roman"/>
          <w:sz w:val="24"/>
        </w:rPr>
        <w:t>1999;23:147</w:t>
      </w:r>
      <w:proofErr w:type="gramEnd"/>
      <w:r w:rsidRPr="00E76219">
        <w:rPr>
          <w:rFonts w:ascii="Times New Roman" w:hAnsi="Times New Roman" w:cs="Times New Roman"/>
          <w:sz w:val="24"/>
        </w:rPr>
        <w:t>–147. https://doi.org/10.1038/13779.</w:t>
      </w:r>
    </w:p>
    <w:p w14:paraId="7CDB67DA" w14:textId="77777777" w:rsidR="00E76219" w:rsidRPr="00E76219" w:rsidRDefault="00E76219" w:rsidP="00E76219">
      <w:pPr>
        <w:pStyle w:val="Bibliography"/>
        <w:rPr>
          <w:rFonts w:ascii="Times New Roman" w:hAnsi="Times New Roman" w:cs="Times New Roman"/>
          <w:sz w:val="24"/>
        </w:rPr>
      </w:pPr>
      <w:r w:rsidRPr="00E76219">
        <w:rPr>
          <w:rFonts w:ascii="Times New Roman" w:hAnsi="Times New Roman" w:cs="Times New Roman"/>
          <w:sz w:val="24"/>
        </w:rPr>
        <w:t xml:space="preserve">5. Li H, Durbin R. Fast and accurate short read alignment with Burrows–Wheeler transform. Bioinformatics. </w:t>
      </w:r>
      <w:proofErr w:type="gramStart"/>
      <w:r w:rsidRPr="00E76219">
        <w:rPr>
          <w:rFonts w:ascii="Times New Roman" w:hAnsi="Times New Roman" w:cs="Times New Roman"/>
          <w:sz w:val="24"/>
        </w:rPr>
        <w:t>2009;25:1754</w:t>
      </w:r>
      <w:proofErr w:type="gramEnd"/>
      <w:r w:rsidRPr="00E76219">
        <w:rPr>
          <w:rFonts w:ascii="Times New Roman" w:hAnsi="Times New Roman" w:cs="Times New Roman"/>
          <w:sz w:val="24"/>
        </w:rPr>
        <w:t>–60. https://doi.org/10.1093/bioinformatics/btp324.</w:t>
      </w:r>
    </w:p>
    <w:p w14:paraId="082C1700" w14:textId="77777777" w:rsidR="00E76219" w:rsidRPr="00E76219" w:rsidRDefault="00E76219" w:rsidP="00E76219">
      <w:pPr>
        <w:pStyle w:val="Bibliography"/>
        <w:rPr>
          <w:rFonts w:ascii="Times New Roman" w:hAnsi="Times New Roman" w:cs="Times New Roman"/>
          <w:sz w:val="24"/>
        </w:rPr>
      </w:pPr>
      <w:r w:rsidRPr="00E76219">
        <w:rPr>
          <w:rFonts w:ascii="Times New Roman" w:hAnsi="Times New Roman" w:cs="Times New Roman"/>
          <w:sz w:val="24"/>
        </w:rPr>
        <w:t xml:space="preserve">6. </w:t>
      </w:r>
      <w:proofErr w:type="spellStart"/>
      <w:r w:rsidRPr="00E76219">
        <w:rPr>
          <w:rFonts w:ascii="Times New Roman" w:hAnsi="Times New Roman" w:cs="Times New Roman"/>
          <w:sz w:val="24"/>
        </w:rPr>
        <w:t>Dayama</w:t>
      </w:r>
      <w:proofErr w:type="spellEnd"/>
      <w:r w:rsidRPr="00E76219">
        <w:rPr>
          <w:rFonts w:ascii="Times New Roman" w:hAnsi="Times New Roman" w:cs="Times New Roman"/>
          <w:sz w:val="24"/>
        </w:rPr>
        <w:t xml:space="preserve"> G, Emery SB, Kidd JM, Mills RE. The genomic landscape of polymorphic human nuclear mitochondrial insertions. Nucleic Acids Research. </w:t>
      </w:r>
      <w:proofErr w:type="gramStart"/>
      <w:r w:rsidRPr="00E76219">
        <w:rPr>
          <w:rFonts w:ascii="Times New Roman" w:hAnsi="Times New Roman" w:cs="Times New Roman"/>
          <w:sz w:val="24"/>
        </w:rPr>
        <w:t>2014;42:12640</w:t>
      </w:r>
      <w:proofErr w:type="gramEnd"/>
      <w:r w:rsidRPr="00E76219">
        <w:rPr>
          <w:rFonts w:ascii="Times New Roman" w:hAnsi="Times New Roman" w:cs="Times New Roman"/>
          <w:sz w:val="24"/>
        </w:rPr>
        <w:t>–9. https://doi.org/10.1093/nar/gku1038.</w:t>
      </w:r>
    </w:p>
    <w:p w14:paraId="1E7B17C5" w14:textId="77777777" w:rsidR="00E76219" w:rsidRPr="00E76219" w:rsidRDefault="00E76219" w:rsidP="00E76219">
      <w:pPr>
        <w:pStyle w:val="Bibliography"/>
        <w:rPr>
          <w:rFonts w:ascii="Times New Roman" w:hAnsi="Times New Roman" w:cs="Times New Roman"/>
          <w:sz w:val="24"/>
        </w:rPr>
      </w:pPr>
      <w:r w:rsidRPr="00E76219">
        <w:rPr>
          <w:rFonts w:ascii="Times New Roman" w:hAnsi="Times New Roman" w:cs="Times New Roman"/>
          <w:sz w:val="24"/>
        </w:rPr>
        <w:t xml:space="preserve">7. Quinlan AR, Hall IM. </w:t>
      </w:r>
      <w:proofErr w:type="spellStart"/>
      <w:r w:rsidRPr="00E76219">
        <w:rPr>
          <w:rFonts w:ascii="Times New Roman" w:hAnsi="Times New Roman" w:cs="Times New Roman"/>
          <w:sz w:val="24"/>
        </w:rPr>
        <w:t>BEDTools</w:t>
      </w:r>
      <w:proofErr w:type="spellEnd"/>
      <w:r w:rsidRPr="00E76219">
        <w:rPr>
          <w:rFonts w:ascii="Times New Roman" w:hAnsi="Times New Roman" w:cs="Times New Roman"/>
          <w:sz w:val="24"/>
        </w:rPr>
        <w:t xml:space="preserve">: a flexible suite of utilities for comparing genomic features. Bioinformatics. </w:t>
      </w:r>
      <w:proofErr w:type="gramStart"/>
      <w:r w:rsidRPr="00E76219">
        <w:rPr>
          <w:rFonts w:ascii="Times New Roman" w:hAnsi="Times New Roman" w:cs="Times New Roman"/>
          <w:sz w:val="24"/>
        </w:rPr>
        <w:t>2010;26:841</w:t>
      </w:r>
      <w:proofErr w:type="gramEnd"/>
      <w:r w:rsidRPr="00E76219">
        <w:rPr>
          <w:rFonts w:ascii="Times New Roman" w:hAnsi="Times New Roman" w:cs="Times New Roman"/>
          <w:sz w:val="24"/>
        </w:rPr>
        <w:t>–2. https://doi.org/10.1093/bioinformatics/btq033.</w:t>
      </w:r>
    </w:p>
    <w:p w14:paraId="734B9FF4" w14:textId="77777777" w:rsidR="00E76219" w:rsidRPr="00E76219" w:rsidRDefault="00E76219" w:rsidP="00E76219">
      <w:pPr>
        <w:pStyle w:val="Bibliography"/>
        <w:rPr>
          <w:rFonts w:ascii="Times New Roman" w:hAnsi="Times New Roman" w:cs="Times New Roman"/>
          <w:sz w:val="24"/>
        </w:rPr>
      </w:pPr>
      <w:r w:rsidRPr="00E76219">
        <w:rPr>
          <w:rFonts w:ascii="Times New Roman" w:hAnsi="Times New Roman" w:cs="Times New Roman"/>
          <w:sz w:val="24"/>
        </w:rPr>
        <w:t xml:space="preserve">8. Langmead B, </w:t>
      </w:r>
      <w:proofErr w:type="spellStart"/>
      <w:r w:rsidRPr="00E76219">
        <w:rPr>
          <w:rFonts w:ascii="Times New Roman" w:hAnsi="Times New Roman" w:cs="Times New Roman"/>
          <w:sz w:val="24"/>
        </w:rPr>
        <w:t>Salzberg</w:t>
      </w:r>
      <w:proofErr w:type="spellEnd"/>
      <w:r w:rsidRPr="00E76219">
        <w:rPr>
          <w:rFonts w:ascii="Times New Roman" w:hAnsi="Times New Roman" w:cs="Times New Roman"/>
          <w:sz w:val="24"/>
        </w:rPr>
        <w:t xml:space="preserve"> SL. Fast gapped-read alignment with Bowtie 2. Nat Methods. </w:t>
      </w:r>
      <w:proofErr w:type="gramStart"/>
      <w:r w:rsidRPr="00E76219">
        <w:rPr>
          <w:rFonts w:ascii="Times New Roman" w:hAnsi="Times New Roman" w:cs="Times New Roman"/>
          <w:sz w:val="24"/>
        </w:rPr>
        <w:t>2012;9:357</w:t>
      </w:r>
      <w:proofErr w:type="gramEnd"/>
      <w:r w:rsidRPr="00E76219">
        <w:rPr>
          <w:rFonts w:ascii="Times New Roman" w:hAnsi="Times New Roman" w:cs="Times New Roman"/>
          <w:sz w:val="24"/>
        </w:rPr>
        <w:t>–9. https://doi.org/10.1038/nmeth.1923.</w:t>
      </w:r>
    </w:p>
    <w:p w14:paraId="3744471B" w14:textId="77777777" w:rsidR="00E76219" w:rsidRPr="00E76219" w:rsidRDefault="00E76219" w:rsidP="00E76219">
      <w:pPr>
        <w:pStyle w:val="Bibliography"/>
        <w:rPr>
          <w:rFonts w:ascii="Times New Roman" w:hAnsi="Times New Roman" w:cs="Times New Roman"/>
          <w:sz w:val="24"/>
        </w:rPr>
      </w:pPr>
      <w:r w:rsidRPr="00E76219">
        <w:rPr>
          <w:rFonts w:ascii="Times New Roman" w:hAnsi="Times New Roman" w:cs="Times New Roman"/>
          <w:sz w:val="24"/>
        </w:rPr>
        <w:t xml:space="preserve">9. Li H, </w:t>
      </w:r>
      <w:proofErr w:type="spellStart"/>
      <w:r w:rsidRPr="00E76219">
        <w:rPr>
          <w:rFonts w:ascii="Times New Roman" w:hAnsi="Times New Roman" w:cs="Times New Roman"/>
          <w:sz w:val="24"/>
        </w:rPr>
        <w:t>Handsaker</w:t>
      </w:r>
      <w:proofErr w:type="spellEnd"/>
      <w:r w:rsidRPr="00E76219">
        <w:rPr>
          <w:rFonts w:ascii="Times New Roman" w:hAnsi="Times New Roman" w:cs="Times New Roman"/>
          <w:sz w:val="24"/>
        </w:rPr>
        <w:t xml:space="preserve"> B, </w:t>
      </w:r>
      <w:proofErr w:type="spellStart"/>
      <w:r w:rsidRPr="00E76219">
        <w:rPr>
          <w:rFonts w:ascii="Times New Roman" w:hAnsi="Times New Roman" w:cs="Times New Roman"/>
          <w:sz w:val="24"/>
        </w:rPr>
        <w:t>Wysoker</w:t>
      </w:r>
      <w:proofErr w:type="spellEnd"/>
      <w:r w:rsidRPr="00E76219">
        <w:rPr>
          <w:rFonts w:ascii="Times New Roman" w:hAnsi="Times New Roman" w:cs="Times New Roman"/>
          <w:sz w:val="24"/>
        </w:rPr>
        <w:t xml:space="preserve"> A, Fennell T, </w:t>
      </w:r>
      <w:proofErr w:type="spellStart"/>
      <w:r w:rsidRPr="00E76219">
        <w:rPr>
          <w:rFonts w:ascii="Times New Roman" w:hAnsi="Times New Roman" w:cs="Times New Roman"/>
          <w:sz w:val="24"/>
        </w:rPr>
        <w:t>Ruan</w:t>
      </w:r>
      <w:proofErr w:type="spellEnd"/>
      <w:r w:rsidRPr="00E76219">
        <w:rPr>
          <w:rFonts w:ascii="Times New Roman" w:hAnsi="Times New Roman" w:cs="Times New Roman"/>
          <w:sz w:val="24"/>
        </w:rPr>
        <w:t xml:space="preserve"> J, Homer N, et al. The Sequence Alignment/Map format and </w:t>
      </w:r>
      <w:proofErr w:type="spellStart"/>
      <w:r w:rsidRPr="00E76219">
        <w:rPr>
          <w:rFonts w:ascii="Times New Roman" w:hAnsi="Times New Roman" w:cs="Times New Roman"/>
          <w:sz w:val="24"/>
        </w:rPr>
        <w:t>SAMtools</w:t>
      </w:r>
      <w:proofErr w:type="spellEnd"/>
      <w:r w:rsidRPr="00E76219">
        <w:rPr>
          <w:rFonts w:ascii="Times New Roman" w:hAnsi="Times New Roman" w:cs="Times New Roman"/>
          <w:sz w:val="24"/>
        </w:rPr>
        <w:t xml:space="preserve">. Bioinformatics. </w:t>
      </w:r>
      <w:proofErr w:type="gramStart"/>
      <w:r w:rsidRPr="00E76219">
        <w:rPr>
          <w:rFonts w:ascii="Times New Roman" w:hAnsi="Times New Roman" w:cs="Times New Roman"/>
          <w:sz w:val="24"/>
        </w:rPr>
        <w:t>2009;25:2078</w:t>
      </w:r>
      <w:proofErr w:type="gramEnd"/>
      <w:r w:rsidRPr="00E76219">
        <w:rPr>
          <w:rFonts w:ascii="Times New Roman" w:hAnsi="Times New Roman" w:cs="Times New Roman"/>
          <w:sz w:val="24"/>
        </w:rPr>
        <w:t>–9. https://doi.org/10.1093/bioinformatics/btp352.</w:t>
      </w:r>
    </w:p>
    <w:p w14:paraId="5168AD33" w14:textId="77777777" w:rsidR="00E76219" w:rsidRPr="00E76219" w:rsidRDefault="00E76219" w:rsidP="00E76219">
      <w:pPr>
        <w:pStyle w:val="Bibliography"/>
        <w:rPr>
          <w:rFonts w:ascii="Times New Roman" w:hAnsi="Times New Roman" w:cs="Times New Roman"/>
          <w:sz w:val="24"/>
        </w:rPr>
      </w:pPr>
      <w:r w:rsidRPr="00E76219">
        <w:rPr>
          <w:rFonts w:ascii="Times New Roman" w:hAnsi="Times New Roman" w:cs="Times New Roman"/>
          <w:sz w:val="24"/>
        </w:rPr>
        <w:t xml:space="preserve">10. </w:t>
      </w:r>
      <w:proofErr w:type="spellStart"/>
      <w:r w:rsidRPr="00E76219">
        <w:rPr>
          <w:rFonts w:ascii="Times New Roman" w:hAnsi="Times New Roman" w:cs="Times New Roman"/>
          <w:sz w:val="24"/>
        </w:rPr>
        <w:t>Koboldt</w:t>
      </w:r>
      <w:proofErr w:type="spellEnd"/>
      <w:r w:rsidRPr="00E76219">
        <w:rPr>
          <w:rFonts w:ascii="Times New Roman" w:hAnsi="Times New Roman" w:cs="Times New Roman"/>
          <w:sz w:val="24"/>
        </w:rPr>
        <w:t xml:space="preserve"> DC, Zhang Q, Larson DE, Shen D, McLellan MD, Lin L, et al. </w:t>
      </w:r>
      <w:proofErr w:type="spellStart"/>
      <w:r w:rsidRPr="00E76219">
        <w:rPr>
          <w:rFonts w:ascii="Times New Roman" w:hAnsi="Times New Roman" w:cs="Times New Roman"/>
          <w:sz w:val="24"/>
        </w:rPr>
        <w:t>VarScan</w:t>
      </w:r>
      <w:proofErr w:type="spellEnd"/>
      <w:r w:rsidRPr="00E76219">
        <w:rPr>
          <w:rFonts w:ascii="Times New Roman" w:hAnsi="Times New Roman" w:cs="Times New Roman"/>
          <w:sz w:val="24"/>
        </w:rPr>
        <w:t xml:space="preserve"> 2: Somatic mutation and copy number alteration discovery in cancer by exome sequencing. Genome Res. </w:t>
      </w:r>
      <w:proofErr w:type="gramStart"/>
      <w:r w:rsidRPr="00E76219">
        <w:rPr>
          <w:rFonts w:ascii="Times New Roman" w:hAnsi="Times New Roman" w:cs="Times New Roman"/>
          <w:sz w:val="24"/>
        </w:rPr>
        <w:t>2012;22:568</w:t>
      </w:r>
      <w:proofErr w:type="gramEnd"/>
      <w:r w:rsidRPr="00E76219">
        <w:rPr>
          <w:rFonts w:ascii="Times New Roman" w:hAnsi="Times New Roman" w:cs="Times New Roman"/>
          <w:sz w:val="24"/>
        </w:rPr>
        <w:t>–76. https://doi.org/10.1101/gr.129684.111.</w:t>
      </w:r>
    </w:p>
    <w:p w14:paraId="37C967ED" w14:textId="77777777" w:rsidR="00E76219" w:rsidRPr="00E76219" w:rsidRDefault="00E76219" w:rsidP="00E76219">
      <w:pPr>
        <w:pStyle w:val="Bibliography"/>
        <w:rPr>
          <w:rFonts w:ascii="Times New Roman" w:hAnsi="Times New Roman" w:cs="Times New Roman"/>
          <w:sz w:val="24"/>
        </w:rPr>
      </w:pPr>
      <w:r w:rsidRPr="00E76219">
        <w:rPr>
          <w:rFonts w:ascii="Times New Roman" w:hAnsi="Times New Roman" w:cs="Times New Roman"/>
          <w:sz w:val="24"/>
        </w:rPr>
        <w:t xml:space="preserve">11. Den </w:t>
      </w:r>
      <w:proofErr w:type="spellStart"/>
      <w:r w:rsidRPr="00E76219">
        <w:rPr>
          <w:rFonts w:ascii="Times New Roman" w:hAnsi="Times New Roman" w:cs="Times New Roman"/>
          <w:sz w:val="24"/>
        </w:rPr>
        <w:t>Dunnen</w:t>
      </w:r>
      <w:proofErr w:type="spellEnd"/>
      <w:r w:rsidRPr="00E76219">
        <w:rPr>
          <w:rFonts w:ascii="Times New Roman" w:hAnsi="Times New Roman" w:cs="Times New Roman"/>
          <w:sz w:val="24"/>
        </w:rPr>
        <w:t xml:space="preserve"> JT, Dalgleish R, </w:t>
      </w:r>
      <w:proofErr w:type="spellStart"/>
      <w:r w:rsidRPr="00E76219">
        <w:rPr>
          <w:rFonts w:ascii="Times New Roman" w:hAnsi="Times New Roman" w:cs="Times New Roman"/>
          <w:sz w:val="24"/>
        </w:rPr>
        <w:t>Maglott</w:t>
      </w:r>
      <w:proofErr w:type="spellEnd"/>
      <w:r w:rsidRPr="00E76219">
        <w:rPr>
          <w:rFonts w:ascii="Times New Roman" w:hAnsi="Times New Roman" w:cs="Times New Roman"/>
          <w:sz w:val="24"/>
        </w:rPr>
        <w:t xml:space="preserve"> DR, Hart RK, Greenblatt MS, McGowan-Jordan J, et al. HGVS Recommendations for the Description of Sequence Variants: 2016 Update. Human Mutation. </w:t>
      </w:r>
      <w:proofErr w:type="gramStart"/>
      <w:r w:rsidRPr="00E76219">
        <w:rPr>
          <w:rFonts w:ascii="Times New Roman" w:hAnsi="Times New Roman" w:cs="Times New Roman"/>
          <w:sz w:val="24"/>
        </w:rPr>
        <w:t>2016;37:564</w:t>
      </w:r>
      <w:proofErr w:type="gramEnd"/>
      <w:r w:rsidRPr="00E76219">
        <w:rPr>
          <w:rFonts w:ascii="Times New Roman" w:hAnsi="Times New Roman" w:cs="Times New Roman"/>
          <w:sz w:val="24"/>
        </w:rPr>
        <w:t>–9. https://doi.org/10.1002/humu.22981.</w:t>
      </w:r>
    </w:p>
    <w:p w14:paraId="44A4C63D" w14:textId="77777777" w:rsidR="00E76219" w:rsidRPr="00E76219" w:rsidRDefault="00E76219" w:rsidP="00E76219">
      <w:pPr>
        <w:pStyle w:val="Bibliography"/>
        <w:rPr>
          <w:rFonts w:ascii="Times New Roman" w:hAnsi="Times New Roman" w:cs="Times New Roman"/>
          <w:sz w:val="24"/>
        </w:rPr>
      </w:pPr>
      <w:r w:rsidRPr="00E76219">
        <w:rPr>
          <w:rFonts w:ascii="Times New Roman" w:hAnsi="Times New Roman" w:cs="Times New Roman"/>
          <w:sz w:val="24"/>
        </w:rPr>
        <w:t xml:space="preserve">12. </w:t>
      </w:r>
      <w:proofErr w:type="spellStart"/>
      <w:r w:rsidRPr="00E76219">
        <w:rPr>
          <w:rFonts w:ascii="Times New Roman" w:hAnsi="Times New Roman" w:cs="Times New Roman"/>
          <w:sz w:val="24"/>
        </w:rPr>
        <w:t>Weissensteiner</w:t>
      </w:r>
      <w:proofErr w:type="spellEnd"/>
      <w:r w:rsidRPr="00E76219">
        <w:rPr>
          <w:rFonts w:ascii="Times New Roman" w:hAnsi="Times New Roman" w:cs="Times New Roman"/>
          <w:sz w:val="24"/>
        </w:rPr>
        <w:t xml:space="preserve"> H, Forer L, </w:t>
      </w:r>
      <w:proofErr w:type="spellStart"/>
      <w:r w:rsidRPr="00E76219">
        <w:rPr>
          <w:rFonts w:ascii="Times New Roman" w:hAnsi="Times New Roman" w:cs="Times New Roman"/>
          <w:sz w:val="24"/>
        </w:rPr>
        <w:t>Kronenberg</w:t>
      </w:r>
      <w:proofErr w:type="spellEnd"/>
      <w:r w:rsidRPr="00E76219">
        <w:rPr>
          <w:rFonts w:ascii="Times New Roman" w:hAnsi="Times New Roman" w:cs="Times New Roman"/>
          <w:sz w:val="24"/>
        </w:rPr>
        <w:t xml:space="preserve"> F, </w:t>
      </w:r>
      <w:proofErr w:type="spellStart"/>
      <w:r w:rsidRPr="00E76219">
        <w:rPr>
          <w:rFonts w:ascii="Times New Roman" w:hAnsi="Times New Roman" w:cs="Times New Roman"/>
          <w:sz w:val="24"/>
        </w:rPr>
        <w:t>Schönherr</w:t>
      </w:r>
      <w:proofErr w:type="spellEnd"/>
      <w:r w:rsidRPr="00E76219">
        <w:rPr>
          <w:rFonts w:ascii="Times New Roman" w:hAnsi="Times New Roman" w:cs="Times New Roman"/>
          <w:sz w:val="24"/>
        </w:rPr>
        <w:t xml:space="preserve"> S. </w:t>
      </w:r>
      <w:proofErr w:type="spellStart"/>
      <w:r w:rsidRPr="00E76219">
        <w:rPr>
          <w:rFonts w:ascii="Times New Roman" w:hAnsi="Times New Roman" w:cs="Times New Roman"/>
          <w:sz w:val="24"/>
        </w:rPr>
        <w:t>mtDNA</w:t>
      </w:r>
      <w:proofErr w:type="spellEnd"/>
      <w:r w:rsidRPr="00E76219">
        <w:rPr>
          <w:rFonts w:ascii="Times New Roman" w:hAnsi="Times New Roman" w:cs="Times New Roman"/>
          <w:sz w:val="24"/>
        </w:rPr>
        <w:t>-Server 2: advancing mitochondrial DNA analysis through highly parallelized data processing and interactive analytics. Nucleic Acids Research. 2024;</w:t>
      </w:r>
      <w:proofErr w:type="gramStart"/>
      <w:r w:rsidRPr="00E76219">
        <w:rPr>
          <w:rFonts w:ascii="Times New Roman" w:hAnsi="Times New Roman" w:cs="Times New Roman"/>
          <w:sz w:val="24"/>
        </w:rPr>
        <w:t>52:W</w:t>
      </w:r>
      <w:proofErr w:type="gramEnd"/>
      <w:r w:rsidRPr="00E76219">
        <w:rPr>
          <w:rFonts w:ascii="Times New Roman" w:hAnsi="Times New Roman" w:cs="Times New Roman"/>
          <w:sz w:val="24"/>
        </w:rPr>
        <w:t>102–7. https://doi.org/10.1093/nar/gkae296.</w:t>
      </w:r>
    </w:p>
    <w:p w14:paraId="0055F585" w14:textId="77777777" w:rsidR="00E76219" w:rsidRPr="00E76219" w:rsidRDefault="00E76219" w:rsidP="00E76219">
      <w:pPr>
        <w:pStyle w:val="Bibliography"/>
        <w:rPr>
          <w:rFonts w:ascii="Times New Roman" w:hAnsi="Times New Roman" w:cs="Times New Roman"/>
          <w:sz w:val="24"/>
        </w:rPr>
      </w:pPr>
      <w:r w:rsidRPr="00E76219">
        <w:rPr>
          <w:rFonts w:ascii="Times New Roman" w:hAnsi="Times New Roman" w:cs="Times New Roman"/>
          <w:sz w:val="24"/>
        </w:rPr>
        <w:t xml:space="preserve">13. Lott MT, Leipzig JN, </w:t>
      </w:r>
      <w:proofErr w:type="spellStart"/>
      <w:r w:rsidRPr="00E76219">
        <w:rPr>
          <w:rFonts w:ascii="Times New Roman" w:hAnsi="Times New Roman" w:cs="Times New Roman"/>
          <w:sz w:val="24"/>
        </w:rPr>
        <w:t>Derbeneva</w:t>
      </w:r>
      <w:proofErr w:type="spellEnd"/>
      <w:r w:rsidRPr="00E76219">
        <w:rPr>
          <w:rFonts w:ascii="Times New Roman" w:hAnsi="Times New Roman" w:cs="Times New Roman"/>
          <w:sz w:val="24"/>
        </w:rPr>
        <w:t xml:space="preserve"> O, </w:t>
      </w:r>
      <w:proofErr w:type="spellStart"/>
      <w:r w:rsidRPr="00E76219">
        <w:rPr>
          <w:rFonts w:ascii="Times New Roman" w:hAnsi="Times New Roman" w:cs="Times New Roman"/>
          <w:sz w:val="24"/>
        </w:rPr>
        <w:t>Xie</w:t>
      </w:r>
      <w:proofErr w:type="spellEnd"/>
      <w:r w:rsidRPr="00E76219">
        <w:rPr>
          <w:rFonts w:ascii="Times New Roman" w:hAnsi="Times New Roman" w:cs="Times New Roman"/>
          <w:sz w:val="24"/>
        </w:rPr>
        <w:t xml:space="preserve"> HM, </w:t>
      </w:r>
      <w:proofErr w:type="spellStart"/>
      <w:r w:rsidRPr="00E76219">
        <w:rPr>
          <w:rFonts w:ascii="Times New Roman" w:hAnsi="Times New Roman" w:cs="Times New Roman"/>
          <w:sz w:val="24"/>
        </w:rPr>
        <w:t>Chalkia</w:t>
      </w:r>
      <w:proofErr w:type="spellEnd"/>
      <w:r w:rsidRPr="00E76219">
        <w:rPr>
          <w:rFonts w:ascii="Times New Roman" w:hAnsi="Times New Roman" w:cs="Times New Roman"/>
          <w:sz w:val="24"/>
        </w:rPr>
        <w:t xml:space="preserve"> D, </w:t>
      </w:r>
      <w:proofErr w:type="spellStart"/>
      <w:r w:rsidRPr="00E76219">
        <w:rPr>
          <w:rFonts w:ascii="Times New Roman" w:hAnsi="Times New Roman" w:cs="Times New Roman"/>
          <w:sz w:val="24"/>
        </w:rPr>
        <w:t>Sarmady</w:t>
      </w:r>
      <w:proofErr w:type="spellEnd"/>
      <w:r w:rsidRPr="00E76219">
        <w:rPr>
          <w:rFonts w:ascii="Times New Roman" w:hAnsi="Times New Roman" w:cs="Times New Roman"/>
          <w:sz w:val="24"/>
        </w:rPr>
        <w:t xml:space="preserve"> M, et al. </w:t>
      </w:r>
      <w:proofErr w:type="spellStart"/>
      <w:r w:rsidRPr="00E76219">
        <w:rPr>
          <w:rFonts w:ascii="Times New Roman" w:hAnsi="Times New Roman" w:cs="Times New Roman"/>
          <w:sz w:val="24"/>
        </w:rPr>
        <w:t>mtDNA</w:t>
      </w:r>
      <w:proofErr w:type="spellEnd"/>
      <w:r w:rsidRPr="00E76219">
        <w:rPr>
          <w:rFonts w:ascii="Times New Roman" w:hAnsi="Times New Roman" w:cs="Times New Roman"/>
          <w:sz w:val="24"/>
        </w:rPr>
        <w:t xml:space="preserve"> Variation and Analysis Using </w:t>
      </w:r>
      <w:proofErr w:type="spellStart"/>
      <w:r w:rsidRPr="00E76219">
        <w:rPr>
          <w:rFonts w:ascii="Times New Roman" w:hAnsi="Times New Roman" w:cs="Times New Roman"/>
          <w:sz w:val="24"/>
        </w:rPr>
        <w:t>Mitomap</w:t>
      </w:r>
      <w:proofErr w:type="spellEnd"/>
      <w:r w:rsidRPr="00E76219">
        <w:rPr>
          <w:rFonts w:ascii="Times New Roman" w:hAnsi="Times New Roman" w:cs="Times New Roman"/>
          <w:sz w:val="24"/>
        </w:rPr>
        <w:t xml:space="preserve"> and </w:t>
      </w:r>
      <w:proofErr w:type="spellStart"/>
      <w:r w:rsidRPr="00E76219">
        <w:rPr>
          <w:rFonts w:ascii="Times New Roman" w:hAnsi="Times New Roman" w:cs="Times New Roman"/>
          <w:sz w:val="24"/>
        </w:rPr>
        <w:t>Mitomaster</w:t>
      </w:r>
      <w:proofErr w:type="spellEnd"/>
      <w:r w:rsidRPr="00E76219">
        <w:rPr>
          <w:rFonts w:ascii="Times New Roman" w:hAnsi="Times New Roman" w:cs="Times New Roman"/>
          <w:sz w:val="24"/>
        </w:rPr>
        <w:t>. CP in Bioinformatics. 2013;44. https://doi.org/10.1002/0471250953.bi0123s44.</w:t>
      </w:r>
    </w:p>
    <w:p w14:paraId="7CB89D3E" w14:textId="77777777" w:rsidR="00E76219" w:rsidRPr="00E76219" w:rsidRDefault="00E76219" w:rsidP="00E76219">
      <w:pPr>
        <w:pStyle w:val="Bibliography"/>
        <w:rPr>
          <w:rFonts w:ascii="Times New Roman" w:hAnsi="Times New Roman" w:cs="Times New Roman"/>
          <w:sz w:val="24"/>
        </w:rPr>
      </w:pPr>
      <w:r w:rsidRPr="00E76219">
        <w:rPr>
          <w:rFonts w:ascii="Times New Roman" w:hAnsi="Times New Roman" w:cs="Times New Roman"/>
          <w:sz w:val="24"/>
        </w:rPr>
        <w:t xml:space="preserve">14. Shen L, </w:t>
      </w:r>
      <w:proofErr w:type="spellStart"/>
      <w:r w:rsidRPr="00E76219">
        <w:rPr>
          <w:rFonts w:ascii="Times New Roman" w:hAnsi="Times New Roman" w:cs="Times New Roman"/>
          <w:sz w:val="24"/>
        </w:rPr>
        <w:t>Diroma</w:t>
      </w:r>
      <w:proofErr w:type="spellEnd"/>
      <w:r w:rsidRPr="00E76219">
        <w:rPr>
          <w:rFonts w:ascii="Times New Roman" w:hAnsi="Times New Roman" w:cs="Times New Roman"/>
          <w:sz w:val="24"/>
        </w:rPr>
        <w:t xml:space="preserve"> MA, Gonzalez M, Navarro-Gomez D, Leipzig J, Lott MT, et al. </w:t>
      </w:r>
      <w:proofErr w:type="spellStart"/>
      <w:r w:rsidRPr="00E76219">
        <w:rPr>
          <w:rFonts w:ascii="Times New Roman" w:hAnsi="Times New Roman" w:cs="Times New Roman"/>
          <w:sz w:val="24"/>
        </w:rPr>
        <w:t>MSeqDR</w:t>
      </w:r>
      <w:proofErr w:type="spellEnd"/>
      <w:r w:rsidRPr="00E76219">
        <w:rPr>
          <w:rFonts w:ascii="Times New Roman" w:hAnsi="Times New Roman" w:cs="Times New Roman"/>
          <w:sz w:val="24"/>
        </w:rPr>
        <w:t xml:space="preserve">: A Centralized Knowledge Repository and Bioinformatics Web Resource to Facilitate Genomic Investigations in Mitochondrial Disease. Human Mutation. </w:t>
      </w:r>
      <w:proofErr w:type="gramStart"/>
      <w:r w:rsidRPr="00E76219">
        <w:rPr>
          <w:rFonts w:ascii="Times New Roman" w:hAnsi="Times New Roman" w:cs="Times New Roman"/>
          <w:sz w:val="24"/>
        </w:rPr>
        <w:t>2016;37:540</w:t>
      </w:r>
      <w:proofErr w:type="gramEnd"/>
      <w:r w:rsidRPr="00E76219">
        <w:rPr>
          <w:rFonts w:ascii="Times New Roman" w:hAnsi="Times New Roman" w:cs="Times New Roman"/>
          <w:sz w:val="24"/>
        </w:rPr>
        <w:t>–8. https://doi.org/10.1002/humu.22974.</w:t>
      </w:r>
    </w:p>
    <w:p w14:paraId="517560FD" w14:textId="77777777" w:rsidR="00E76219" w:rsidRPr="00E76219" w:rsidRDefault="00E76219" w:rsidP="00E76219">
      <w:pPr>
        <w:pStyle w:val="Bibliography"/>
        <w:rPr>
          <w:rFonts w:ascii="Times New Roman" w:hAnsi="Times New Roman" w:cs="Times New Roman"/>
          <w:sz w:val="24"/>
        </w:rPr>
      </w:pPr>
      <w:r w:rsidRPr="00E76219">
        <w:rPr>
          <w:rFonts w:ascii="Times New Roman" w:hAnsi="Times New Roman" w:cs="Times New Roman"/>
          <w:sz w:val="24"/>
        </w:rPr>
        <w:t xml:space="preserve">15. K S, </w:t>
      </w:r>
      <w:proofErr w:type="spellStart"/>
      <w:r w:rsidRPr="00E76219">
        <w:rPr>
          <w:rFonts w:ascii="Times New Roman" w:hAnsi="Times New Roman" w:cs="Times New Roman"/>
          <w:sz w:val="24"/>
        </w:rPr>
        <w:t>Jalali</w:t>
      </w:r>
      <w:proofErr w:type="spellEnd"/>
      <w:r w:rsidRPr="00E76219">
        <w:rPr>
          <w:rFonts w:ascii="Times New Roman" w:hAnsi="Times New Roman" w:cs="Times New Roman"/>
          <w:sz w:val="24"/>
        </w:rPr>
        <w:t xml:space="preserve"> S, </w:t>
      </w:r>
      <w:proofErr w:type="spellStart"/>
      <w:r w:rsidRPr="00E76219">
        <w:rPr>
          <w:rFonts w:ascii="Times New Roman" w:hAnsi="Times New Roman" w:cs="Times New Roman"/>
          <w:sz w:val="24"/>
        </w:rPr>
        <w:t>Scaria</w:t>
      </w:r>
      <w:proofErr w:type="spellEnd"/>
      <w:r w:rsidRPr="00E76219">
        <w:rPr>
          <w:rFonts w:ascii="Times New Roman" w:hAnsi="Times New Roman" w:cs="Times New Roman"/>
          <w:sz w:val="24"/>
        </w:rPr>
        <w:t xml:space="preserve"> V, Bhardwaj A. </w:t>
      </w:r>
      <w:proofErr w:type="spellStart"/>
      <w:r w:rsidRPr="00E76219">
        <w:rPr>
          <w:rFonts w:ascii="Times New Roman" w:hAnsi="Times New Roman" w:cs="Times New Roman"/>
          <w:sz w:val="24"/>
        </w:rPr>
        <w:t>MitoLSDB</w:t>
      </w:r>
      <w:proofErr w:type="spellEnd"/>
      <w:r w:rsidRPr="00E76219">
        <w:rPr>
          <w:rFonts w:ascii="Times New Roman" w:hAnsi="Times New Roman" w:cs="Times New Roman"/>
          <w:sz w:val="24"/>
        </w:rPr>
        <w:t xml:space="preserve">: A Comprehensive Resource to Study Genotype to Phenotype Correlations in Human Mitochondrial DNA Variations. </w:t>
      </w:r>
      <w:proofErr w:type="spellStart"/>
      <w:r w:rsidRPr="00E76219">
        <w:rPr>
          <w:rFonts w:ascii="Times New Roman" w:hAnsi="Times New Roman" w:cs="Times New Roman"/>
          <w:sz w:val="24"/>
        </w:rPr>
        <w:t>PLoS</w:t>
      </w:r>
      <w:proofErr w:type="spellEnd"/>
      <w:r w:rsidRPr="00E76219">
        <w:rPr>
          <w:rFonts w:ascii="Times New Roman" w:hAnsi="Times New Roman" w:cs="Times New Roman"/>
          <w:sz w:val="24"/>
        </w:rPr>
        <w:t xml:space="preserve"> ONE. 2013;</w:t>
      </w:r>
      <w:proofErr w:type="gramStart"/>
      <w:r w:rsidRPr="00E76219">
        <w:rPr>
          <w:rFonts w:ascii="Times New Roman" w:hAnsi="Times New Roman" w:cs="Times New Roman"/>
          <w:sz w:val="24"/>
        </w:rPr>
        <w:t>8:e</w:t>
      </w:r>
      <w:proofErr w:type="gramEnd"/>
      <w:r w:rsidRPr="00E76219">
        <w:rPr>
          <w:rFonts w:ascii="Times New Roman" w:hAnsi="Times New Roman" w:cs="Times New Roman"/>
          <w:sz w:val="24"/>
        </w:rPr>
        <w:t>60066. https://doi.org/10.1371/journal.pone.0060066.</w:t>
      </w:r>
    </w:p>
    <w:p w14:paraId="1F16AFBD" w14:textId="77777777" w:rsidR="00E76219" w:rsidRPr="00E76219" w:rsidRDefault="00E76219" w:rsidP="00E76219">
      <w:pPr>
        <w:pStyle w:val="Bibliography"/>
        <w:rPr>
          <w:rFonts w:ascii="Times New Roman" w:hAnsi="Times New Roman" w:cs="Times New Roman"/>
          <w:sz w:val="24"/>
        </w:rPr>
      </w:pPr>
      <w:r w:rsidRPr="00E76219">
        <w:rPr>
          <w:rFonts w:ascii="Times New Roman" w:hAnsi="Times New Roman" w:cs="Times New Roman"/>
          <w:sz w:val="24"/>
        </w:rPr>
        <w:lastRenderedPageBreak/>
        <w:t xml:space="preserve">16. </w:t>
      </w:r>
      <w:proofErr w:type="spellStart"/>
      <w:r w:rsidRPr="00E76219">
        <w:rPr>
          <w:rFonts w:ascii="Times New Roman" w:hAnsi="Times New Roman" w:cs="Times New Roman"/>
          <w:sz w:val="24"/>
        </w:rPr>
        <w:t>Ratnaike</w:t>
      </w:r>
      <w:proofErr w:type="spellEnd"/>
      <w:r w:rsidRPr="00E76219">
        <w:rPr>
          <w:rFonts w:ascii="Times New Roman" w:hAnsi="Times New Roman" w:cs="Times New Roman"/>
          <w:sz w:val="24"/>
        </w:rPr>
        <w:t xml:space="preserve"> TE, Greene D, Wei W, </w:t>
      </w:r>
      <w:proofErr w:type="spellStart"/>
      <w:r w:rsidRPr="00E76219">
        <w:rPr>
          <w:rFonts w:ascii="Times New Roman" w:hAnsi="Times New Roman" w:cs="Times New Roman"/>
          <w:sz w:val="24"/>
        </w:rPr>
        <w:t>Sanchis</w:t>
      </w:r>
      <w:proofErr w:type="spellEnd"/>
      <w:r w:rsidRPr="00E76219">
        <w:rPr>
          <w:rFonts w:ascii="Times New Roman" w:hAnsi="Times New Roman" w:cs="Times New Roman"/>
          <w:sz w:val="24"/>
        </w:rPr>
        <w:t>-Juan A, Schon KR, van den </w:t>
      </w:r>
      <w:proofErr w:type="spellStart"/>
      <w:r w:rsidRPr="00E76219">
        <w:rPr>
          <w:rFonts w:ascii="Times New Roman" w:hAnsi="Times New Roman" w:cs="Times New Roman"/>
          <w:sz w:val="24"/>
        </w:rPr>
        <w:t>Ameele</w:t>
      </w:r>
      <w:proofErr w:type="spellEnd"/>
      <w:r w:rsidRPr="00E76219">
        <w:rPr>
          <w:rFonts w:ascii="Times New Roman" w:hAnsi="Times New Roman" w:cs="Times New Roman"/>
          <w:sz w:val="24"/>
        </w:rPr>
        <w:t xml:space="preserve"> J, et al. </w:t>
      </w:r>
      <w:proofErr w:type="spellStart"/>
      <w:r w:rsidRPr="00E76219">
        <w:rPr>
          <w:rFonts w:ascii="Times New Roman" w:hAnsi="Times New Roman" w:cs="Times New Roman"/>
          <w:sz w:val="24"/>
        </w:rPr>
        <w:t>MitoPhen</w:t>
      </w:r>
      <w:proofErr w:type="spellEnd"/>
      <w:r w:rsidRPr="00E76219">
        <w:rPr>
          <w:rFonts w:ascii="Times New Roman" w:hAnsi="Times New Roman" w:cs="Times New Roman"/>
          <w:sz w:val="24"/>
        </w:rPr>
        <w:t xml:space="preserve"> database: a human phenotype ontology-based approach to identify mitochondrial DNA diseases. Nucleic Acids Research. </w:t>
      </w:r>
      <w:proofErr w:type="gramStart"/>
      <w:r w:rsidRPr="00E76219">
        <w:rPr>
          <w:rFonts w:ascii="Times New Roman" w:hAnsi="Times New Roman" w:cs="Times New Roman"/>
          <w:sz w:val="24"/>
        </w:rPr>
        <w:t>2021;49:9686</w:t>
      </w:r>
      <w:proofErr w:type="gramEnd"/>
      <w:r w:rsidRPr="00E76219">
        <w:rPr>
          <w:rFonts w:ascii="Times New Roman" w:hAnsi="Times New Roman" w:cs="Times New Roman"/>
          <w:sz w:val="24"/>
        </w:rPr>
        <w:t>–95. https://doi.org/10.1093/nar/gkab726.</w:t>
      </w:r>
    </w:p>
    <w:p w14:paraId="4460B9BB" w14:textId="77777777" w:rsidR="00E76219" w:rsidRPr="00E76219" w:rsidRDefault="00E76219" w:rsidP="00E76219">
      <w:pPr>
        <w:pStyle w:val="Bibliography"/>
        <w:rPr>
          <w:rFonts w:ascii="Times New Roman" w:hAnsi="Times New Roman" w:cs="Times New Roman"/>
          <w:sz w:val="24"/>
        </w:rPr>
      </w:pPr>
      <w:r w:rsidRPr="00E76219">
        <w:rPr>
          <w:rFonts w:ascii="Times New Roman" w:hAnsi="Times New Roman" w:cs="Times New Roman"/>
          <w:sz w:val="24"/>
        </w:rPr>
        <w:t xml:space="preserve">17. </w:t>
      </w:r>
      <w:proofErr w:type="spellStart"/>
      <w:r w:rsidRPr="00E76219">
        <w:rPr>
          <w:rFonts w:ascii="Times New Roman" w:hAnsi="Times New Roman" w:cs="Times New Roman"/>
          <w:sz w:val="24"/>
        </w:rPr>
        <w:t>Mavraki</w:t>
      </w:r>
      <w:proofErr w:type="spellEnd"/>
      <w:r w:rsidRPr="00E76219">
        <w:rPr>
          <w:rFonts w:ascii="Times New Roman" w:hAnsi="Times New Roman" w:cs="Times New Roman"/>
          <w:sz w:val="24"/>
        </w:rPr>
        <w:t xml:space="preserve"> E, Labrum R, Sergeant K, Alston CL, Woodward C, Smith C, et al. Genetic testing for mitochondrial disease: the United Kingdom best practice guidelines. Eur J Hum Genet. </w:t>
      </w:r>
      <w:proofErr w:type="gramStart"/>
      <w:r w:rsidRPr="00E76219">
        <w:rPr>
          <w:rFonts w:ascii="Times New Roman" w:hAnsi="Times New Roman" w:cs="Times New Roman"/>
          <w:sz w:val="24"/>
        </w:rPr>
        <w:t>2023;31:148</w:t>
      </w:r>
      <w:proofErr w:type="gramEnd"/>
      <w:r w:rsidRPr="00E76219">
        <w:rPr>
          <w:rFonts w:ascii="Times New Roman" w:hAnsi="Times New Roman" w:cs="Times New Roman"/>
          <w:sz w:val="24"/>
        </w:rPr>
        <w:t>–63. https://doi.org/10.1038/s41431-022-01249-w.</w:t>
      </w:r>
    </w:p>
    <w:p w14:paraId="4DC20D21" w14:textId="77777777" w:rsidR="00E76219" w:rsidRPr="00E76219" w:rsidRDefault="00E76219" w:rsidP="00E76219">
      <w:pPr>
        <w:pStyle w:val="Bibliography"/>
        <w:rPr>
          <w:rFonts w:ascii="Times New Roman" w:hAnsi="Times New Roman" w:cs="Times New Roman"/>
          <w:sz w:val="24"/>
        </w:rPr>
      </w:pPr>
      <w:r w:rsidRPr="00E76219">
        <w:rPr>
          <w:rFonts w:ascii="Times New Roman" w:hAnsi="Times New Roman" w:cs="Times New Roman"/>
          <w:sz w:val="24"/>
        </w:rPr>
        <w:t xml:space="preserve">18. Parson W, </w:t>
      </w:r>
      <w:proofErr w:type="spellStart"/>
      <w:r w:rsidRPr="00E76219">
        <w:rPr>
          <w:rFonts w:ascii="Times New Roman" w:hAnsi="Times New Roman" w:cs="Times New Roman"/>
          <w:sz w:val="24"/>
        </w:rPr>
        <w:t>Brandstätter</w:t>
      </w:r>
      <w:proofErr w:type="spellEnd"/>
      <w:r w:rsidRPr="00E76219">
        <w:rPr>
          <w:rFonts w:ascii="Times New Roman" w:hAnsi="Times New Roman" w:cs="Times New Roman"/>
          <w:sz w:val="24"/>
        </w:rPr>
        <w:t xml:space="preserve"> A, Alonso A, Brandt N, Brinkmann B, </w:t>
      </w:r>
      <w:proofErr w:type="spellStart"/>
      <w:r w:rsidRPr="00E76219">
        <w:rPr>
          <w:rFonts w:ascii="Times New Roman" w:hAnsi="Times New Roman" w:cs="Times New Roman"/>
          <w:sz w:val="24"/>
        </w:rPr>
        <w:t>Carracedo</w:t>
      </w:r>
      <w:proofErr w:type="spellEnd"/>
      <w:r w:rsidRPr="00E76219">
        <w:rPr>
          <w:rFonts w:ascii="Times New Roman" w:hAnsi="Times New Roman" w:cs="Times New Roman"/>
          <w:sz w:val="24"/>
        </w:rPr>
        <w:t xml:space="preserve"> A, et al. The EDNAP mitochondrial DNA population database (EMPOP) collaborative exercises: </w:t>
      </w:r>
      <w:proofErr w:type="spellStart"/>
      <w:r w:rsidRPr="00E76219">
        <w:rPr>
          <w:rFonts w:ascii="Times New Roman" w:hAnsi="Times New Roman" w:cs="Times New Roman"/>
          <w:sz w:val="24"/>
        </w:rPr>
        <w:t>organisation</w:t>
      </w:r>
      <w:proofErr w:type="spellEnd"/>
      <w:r w:rsidRPr="00E76219">
        <w:rPr>
          <w:rFonts w:ascii="Times New Roman" w:hAnsi="Times New Roman" w:cs="Times New Roman"/>
          <w:sz w:val="24"/>
        </w:rPr>
        <w:t xml:space="preserve">, results and perspectives. Forensic Science International. </w:t>
      </w:r>
      <w:proofErr w:type="gramStart"/>
      <w:r w:rsidRPr="00E76219">
        <w:rPr>
          <w:rFonts w:ascii="Times New Roman" w:hAnsi="Times New Roman" w:cs="Times New Roman"/>
          <w:sz w:val="24"/>
        </w:rPr>
        <w:t>2004;139:215</w:t>
      </w:r>
      <w:proofErr w:type="gramEnd"/>
      <w:r w:rsidRPr="00E76219">
        <w:rPr>
          <w:rFonts w:ascii="Times New Roman" w:hAnsi="Times New Roman" w:cs="Times New Roman"/>
          <w:sz w:val="24"/>
        </w:rPr>
        <w:t>–26. https://doi.org/10.1016/j.forsciint.2003.11.008.</w:t>
      </w:r>
    </w:p>
    <w:p w14:paraId="287E8ECB" w14:textId="77777777" w:rsidR="00E76219" w:rsidRPr="00E76219" w:rsidRDefault="00E76219" w:rsidP="00E76219">
      <w:pPr>
        <w:pStyle w:val="Bibliography"/>
        <w:rPr>
          <w:rFonts w:ascii="Times New Roman" w:hAnsi="Times New Roman" w:cs="Times New Roman"/>
          <w:sz w:val="24"/>
        </w:rPr>
      </w:pPr>
      <w:r w:rsidRPr="00E76219">
        <w:rPr>
          <w:rFonts w:ascii="Times New Roman" w:hAnsi="Times New Roman" w:cs="Times New Roman"/>
          <w:sz w:val="24"/>
        </w:rPr>
        <w:t xml:space="preserve">19. Li H. A statistical framework for SNP calling, mutation discovery, association mapping and population genetical parameter estimation from sequencing data. Bioinformatics. </w:t>
      </w:r>
      <w:proofErr w:type="gramStart"/>
      <w:r w:rsidRPr="00E76219">
        <w:rPr>
          <w:rFonts w:ascii="Times New Roman" w:hAnsi="Times New Roman" w:cs="Times New Roman"/>
          <w:sz w:val="24"/>
        </w:rPr>
        <w:t>2011;27:2987</w:t>
      </w:r>
      <w:proofErr w:type="gramEnd"/>
      <w:r w:rsidRPr="00E76219">
        <w:rPr>
          <w:rFonts w:ascii="Times New Roman" w:hAnsi="Times New Roman" w:cs="Times New Roman"/>
          <w:sz w:val="24"/>
        </w:rPr>
        <w:t>–93. https://doi.org/10.1093/bioinformatics/btr509.</w:t>
      </w:r>
    </w:p>
    <w:p w14:paraId="556A4BBB" w14:textId="19CD1EB6" w:rsidR="00E76219" w:rsidRPr="005C046C" w:rsidRDefault="00E76219" w:rsidP="00E76219">
      <w:pPr>
        <w:pStyle w:val="NormalWeb"/>
        <w:jc w:val="both"/>
        <w:rPr>
          <w:rFonts w:asciiTheme="majorBidi" w:hAnsiTheme="majorBidi" w:cstheme="majorBidi"/>
        </w:rPr>
      </w:pPr>
      <w:r>
        <w:rPr>
          <w:rFonts w:asciiTheme="majorBidi" w:hAnsiTheme="majorBidi" w:cstheme="majorBidi"/>
        </w:rPr>
        <w:fldChar w:fldCharType="end"/>
      </w:r>
    </w:p>
    <w:p w14:paraId="5206E8FD" w14:textId="77777777" w:rsidR="002270DB" w:rsidRDefault="002270DB"/>
    <w:sectPr w:rsidR="002270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5920EB"/>
    <w:multiLevelType w:val="hybridMultilevel"/>
    <w:tmpl w:val="0F26A5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219"/>
    <w:rsid w:val="002270DB"/>
    <w:rsid w:val="00E7621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77A6F"/>
  <w15:chartTrackingRefBased/>
  <w15:docId w15:val="{57EDD48D-216D-480B-973F-3F5655DAB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21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76219"/>
    <w:pPr>
      <w:spacing w:before="100" w:beforeAutospacing="1" w:after="100" w:afterAutospacing="1" w:line="240" w:lineRule="auto"/>
    </w:pPr>
    <w:rPr>
      <w:rFonts w:ascii="Times New Roman" w:eastAsia="Times New Roman" w:hAnsi="Times New Roman" w:cs="Times New Roman"/>
      <w:sz w:val="24"/>
      <w:szCs w:val="24"/>
    </w:rPr>
  </w:style>
  <w:style w:type="paragraph" w:styleId="Bibliography">
    <w:name w:val="Bibliography"/>
    <w:basedOn w:val="Normal"/>
    <w:next w:val="Normal"/>
    <w:uiPriority w:val="37"/>
    <w:unhideWhenUsed/>
    <w:rsid w:val="00E76219"/>
    <w:pPr>
      <w:spacing w:after="240" w:line="240" w:lineRule="auto"/>
    </w:pPr>
  </w:style>
  <w:style w:type="character" w:customStyle="1" w:styleId="ng-star-inserted1">
    <w:name w:val="ng-star-inserted1"/>
    <w:basedOn w:val="DefaultParagraphFont"/>
    <w:rsid w:val="00E76219"/>
  </w:style>
  <w:style w:type="character" w:styleId="Hyperlink">
    <w:name w:val="Hyperlink"/>
    <w:basedOn w:val="DefaultParagraphFont"/>
    <w:uiPriority w:val="99"/>
    <w:unhideWhenUsed/>
    <w:rsid w:val="00E76219"/>
    <w:rPr>
      <w:color w:val="0563C1" w:themeColor="hyperlink"/>
      <w:u w:val="single"/>
    </w:rPr>
  </w:style>
  <w:style w:type="paragraph" w:styleId="ListParagraph">
    <w:name w:val="List Paragraph"/>
    <w:basedOn w:val="Normal"/>
    <w:uiPriority w:val="34"/>
    <w:qFormat/>
    <w:rsid w:val="00E76219"/>
    <w:pPr>
      <w:widowControl w:val="0"/>
      <w:spacing w:after="0" w:line="240" w:lineRule="auto"/>
      <w:ind w:left="720"/>
      <w:contextualSpacing/>
      <w:jc w:val="both"/>
    </w:pPr>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wanghongbo@symc.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wang@xmu.edu.cn" TargetMode="External"/><Relationship Id="rId5" Type="http://schemas.openxmlformats.org/officeDocument/2006/relationships/hyperlink" Target="mailto:mirzaatifadnan@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7477</Words>
  <Characters>42623</Characters>
  <Application>Microsoft Office Word</Application>
  <DocSecurity>0</DocSecurity>
  <Lines>355</Lines>
  <Paragraphs>99</Paragraphs>
  <ScaleCrop>false</ScaleCrop>
  <Company/>
  <LinksUpToDate>false</LinksUpToDate>
  <CharactersWithSpaces>50001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Atif Adnan</dc:creator>
  <cp:keywords/>
  <dc:description/>
  <cp:lastModifiedBy>Atif Adnan</cp:lastModifiedBy>
  <cp:revision>1</cp:revision>
  <dcterms:created xsi:type="dcterms:W3CDTF">2025-10-05T10:26:00Z</dcterms:created>
  <dcterms:modified xsi:type="dcterms:W3CDTF">2025-10-05T10:30:00Z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zotero-version="7.0.24"&gt;&lt;session id="tgXKDxgJ"/&gt;&lt;style id="http://www.zotero.org/styles/bmc-genomics" hasBibliography="1" bibliographyStyleHasBeenSet="1"/&gt;&lt;prefs&gt;&lt;pref name="fieldType" value="Field"/&gt;&lt;/prefs&gt;&lt;/data&gt;</vt:lpwstr>
  </property>
</Properties>
</file>