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92D" w:rsidRPr="003D2600" w:rsidRDefault="00B2292D" w:rsidP="00B2292D">
      <w:pPr>
        <w:jc w:val="both"/>
        <w:rPr>
          <w:rFonts w:ascii="Times New Roman" w:hAnsi="Times New Roman" w:cs="Times New Roman"/>
          <w:b/>
          <w:sz w:val="24"/>
          <w:szCs w:val="24"/>
        </w:rPr>
      </w:pPr>
      <w:r w:rsidRPr="003D2600">
        <w:rPr>
          <w:rFonts w:ascii="Times New Roman" w:hAnsi="Times New Roman" w:cs="Times New Roman"/>
          <w:b/>
          <w:sz w:val="24"/>
          <w:szCs w:val="24"/>
        </w:rPr>
        <w:t>Supplementary Information</w:t>
      </w:r>
    </w:p>
    <w:p w:rsidR="00B2292D" w:rsidRPr="004A28ED" w:rsidRDefault="00B2292D" w:rsidP="00B2292D">
      <w:pPr>
        <w:ind w:left="17"/>
        <w:jc w:val="both"/>
        <w:rPr>
          <w:rFonts w:ascii="Times New Roman" w:hAnsi="Times New Roman"/>
          <w:iCs/>
          <w:sz w:val="24"/>
          <w:szCs w:val="24"/>
        </w:rPr>
      </w:pPr>
      <w:r w:rsidRPr="0024564C">
        <w:rPr>
          <w:rFonts w:ascii="Times New Roman" w:hAnsi="Times New Roman" w:cs="Times New Roman"/>
          <w:b/>
          <w:sz w:val="24"/>
          <w:szCs w:val="24"/>
        </w:rPr>
        <w:t>Additional file 1: Supplementary Table 1.</w:t>
      </w:r>
      <w:r w:rsidRPr="0024564C">
        <w:rPr>
          <w:rFonts w:ascii="Times New Roman" w:hAnsi="Times New Roman" w:cs="Times New Roman"/>
          <w:sz w:val="24"/>
          <w:szCs w:val="24"/>
        </w:rPr>
        <w:t xml:space="preserve"> </w:t>
      </w:r>
      <w:r w:rsidRPr="004A28ED">
        <w:rPr>
          <w:rFonts w:ascii="Times New Roman" w:hAnsi="Times New Roman"/>
          <w:iCs/>
          <w:sz w:val="24"/>
          <w:szCs w:val="24"/>
        </w:rPr>
        <w:t>A list of bread wheat association panels utilized for assessing phenotypic and genetic diversity, as well as for conducting GWAS rel</w:t>
      </w:r>
      <w:r>
        <w:rPr>
          <w:rFonts w:ascii="Times New Roman" w:hAnsi="Times New Roman"/>
          <w:iCs/>
          <w:sz w:val="24"/>
          <w:szCs w:val="24"/>
        </w:rPr>
        <w:t>ated to yellow rust</w:t>
      </w:r>
      <w:r w:rsidRPr="004A28ED">
        <w:rPr>
          <w:rFonts w:ascii="Times New Roman" w:hAnsi="Times New Roman"/>
          <w:iCs/>
          <w:sz w:val="24"/>
          <w:szCs w:val="24"/>
        </w:rPr>
        <w:t xml:space="preserve">. The table presents the 186 lines of bread wheat </w:t>
      </w:r>
      <w:r>
        <w:rPr>
          <w:rFonts w:ascii="Times New Roman" w:hAnsi="Times New Roman"/>
          <w:iCs/>
          <w:sz w:val="24"/>
          <w:szCs w:val="24"/>
        </w:rPr>
        <w:t>developed</w:t>
      </w:r>
      <w:r w:rsidRPr="004A28ED">
        <w:rPr>
          <w:rFonts w:ascii="Times New Roman" w:hAnsi="Times New Roman"/>
          <w:iCs/>
          <w:sz w:val="24"/>
          <w:szCs w:val="24"/>
        </w:rPr>
        <w:t xml:space="preserve"> by the ICARDA spring bread wheat breeding </w:t>
      </w:r>
      <w:r>
        <w:rPr>
          <w:rFonts w:ascii="Times New Roman" w:hAnsi="Times New Roman"/>
          <w:iCs/>
          <w:sz w:val="24"/>
          <w:szCs w:val="24"/>
        </w:rPr>
        <w:t>program</w:t>
      </w:r>
      <w:r w:rsidRPr="004A28ED">
        <w:rPr>
          <w:rFonts w:ascii="Times New Roman" w:hAnsi="Times New Roman"/>
          <w:iCs/>
          <w:sz w:val="24"/>
          <w:szCs w:val="24"/>
        </w:rPr>
        <w:t>. It includes the genotype code, the pedigree name, and the selection history for each of these lines.</w:t>
      </w:r>
      <w:r w:rsidRPr="0024564C">
        <w:rPr>
          <w:rFonts w:ascii="Times New Roman" w:hAnsi="Times New Roman" w:cs="Times New Roman"/>
          <w:i/>
          <w:sz w:val="24"/>
          <w:szCs w:val="24"/>
        </w:rPr>
        <w:t xml:space="preserve"> </w:t>
      </w:r>
      <w:proofErr w:type="gramStart"/>
      <w:r w:rsidRPr="0024564C">
        <w:rPr>
          <w:rFonts w:ascii="Times New Roman" w:hAnsi="Times New Roman" w:cs="Times New Roman"/>
          <w:b/>
          <w:sz w:val="24"/>
          <w:szCs w:val="24"/>
        </w:rPr>
        <w:t>Supplementary Table 2</w:t>
      </w:r>
      <w:r w:rsidRPr="0024564C">
        <w:rPr>
          <w:rFonts w:ascii="Times New Roman" w:hAnsi="Times New Roman" w:cs="Times New Roman"/>
          <w:sz w:val="24"/>
          <w:szCs w:val="24"/>
        </w:rPr>
        <w:t>.</w:t>
      </w:r>
      <w:proofErr w:type="gramEnd"/>
      <w:r w:rsidRPr="0024564C">
        <w:rPr>
          <w:rFonts w:ascii="Times New Roman" w:hAnsi="Times New Roman" w:cs="Times New Roman"/>
          <w:sz w:val="24"/>
          <w:szCs w:val="24"/>
        </w:rPr>
        <w:t xml:space="preserve"> </w:t>
      </w:r>
      <w:r w:rsidRPr="004A28ED">
        <w:rPr>
          <w:rFonts w:ascii="Times New Roman" w:hAnsi="Times New Roman"/>
          <w:iCs/>
          <w:sz w:val="24"/>
          <w:szCs w:val="24"/>
        </w:rPr>
        <w:t>A list of bread wheat genotypes showing resistance to yellow rust is presented. The table highlights the 33 most resistant bread wheat lines, determined by coefficients of infection (CI) ranging from 0 to 20.</w:t>
      </w:r>
      <w:r w:rsidRPr="0024564C">
        <w:rPr>
          <w:rFonts w:ascii="Times New Roman" w:hAnsi="Times New Roman" w:cs="Times New Roman"/>
          <w:i/>
          <w:sz w:val="24"/>
          <w:szCs w:val="24"/>
        </w:rPr>
        <w:t xml:space="preserve"> </w:t>
      </w:r>
      <w:proofErr w:type="gramStart"/>
      <w:r w:rsidRPr="0024564C">
        <w:rPr>
          <w:rFonts w:ascii="Times New Roman" w:hAnsi="Times New Roman" w:cs="Times New Roman"/>
          <w:b/>
          <w:sz w:val="24"/>
          <w:szCs w:val="24"/>
        </w:rPr>
        <w:t>Supplementary Table 3</w:t>
      </w:r>
      <w:r w:rsidRPr="0024564C">
        <w:rPr>
          <w:rFonts w:ascii="Times New Roman" w:hAnsi="Times New Roman" w:cs="Times New Roman"/>
          <w:sz w:val="24"/>
          <w:szCs w:val="24"/>
        </w:rPr>
        <w:t>.</w:t>
      </w:r>
      <w:proofErr w:type="gramEnd"/>
      <w:r w:rsidRPr="0024564C">
        <w:rPr>
          <w:rFonts w:ascii="Times New Roman" w:eastAsia="Calibri" w:hAnsi="Times New Roman" w:cs="Times New Roman"/>
          <w:sz w:val="24"/>
          <w:szCs w:val="24"/>
        </w:rPr>
        <w:t xml:space="preserve"> </w:t>
      </w:r>
      <w:r w:rsidRPr="004A28ED">
        <w:rPr>
          <w:rFonts w:ascii="Times New Roman" w:hAnsi="Times New Roman"/>
          <w:iCs/>
          <w:sz w:val="24"/>
          <w:szCs w:val="24"/>
        </w:rPr>
        <w:t xml:space="preserve">The association of marker traits (MTAs) with significant SNP markers is presented. The table includes the </w:t>
      </w:r>
      <w:proofErr w:type="spellStart"/>
      <w:r w:rsidRPr="004A28ED">
        <w:rPr>
          <w:rFonts w:ascii="Times New Roman" w:hAnsi="Times New Roman"/>
          <w:iCs/>
          <w:sz w:val="24"/>
          <w:szCs w:val="24"/>
        </w:rPr>
        <w:t>phenotyping</w:t>
      </w:r>
      <w:proofErr w:type="spellEnd"/>
      <w:r w:rsidRPr="004A28ED">
        <w:rPr>
          <w:rFonts w:ascii="Times New Roman" w:hAnsi="Times New Roman"/>
          <w:iCs/>
          <w:sz w:val="24"/>
          <w:szCs w:val="24"/>
        </w:rPr>
        <w:t xml:space="preserve"> environments of </w:t>
      </w:r>
      <w:proofErr w:type="spellStart"/>
      <w:r w:rsidRPr="004A28ED">
        <w:rPr>
          <w:rFonts w:ascii="Times New Roman" w:hAnsi="Times New Roman"/>
          <w:iCs/>
          <w:sz w:val="24"/>
          <w:szCs w:val="24"/>
        </w:rPr>
        <w:t>Adet</w:t>
      </w:r>
      <w:proofErr w:type="spellEnd"/>
      <w:r w:rsidRPr="004A28ED">
        <w:rPr>
          <w:rFonts w:ascii="Times New Roman" w:hAnsi="Times New Roman"/>
          <w:iCs/>
          <w:sz w:val="24"/>
          <w:szCs w:val="24"/>
        </w:rPr>
        <w:t xml:space="preserve">, </w:t>
      </w:r>
      <w:proofErr w:type="spellStart"/>
      <w:r w:rsidRPr="004A28ED">
        <w:rPr>
          <w:rFonts w:ascii="Times New Roman" w:hAnsi="Times New Roman"/>
          <w:iCs/>
          <w:sz w:val="24"/>
          <w:szCs w:val="24"/>
        </w:rPr>
        <w:t>Dabat</w:t>
      </w:r>
      <w:proofErr w:type="spellEnd"/>
      <w:r w:rsidRPr="004A28ED">
        <w:rPr>
          <w:rFonts w:ascii="Times New Roman" w:hAnsi="Times New Roman"/>
          <w:iCs/>
          <w:sz w:val="24"/>
          <w:szCs w:val="24"/>
        </w:rPr>
        <w:t xml:space="preserve">, Koga, </w:t>
      </w:r>
      <w:proofErr w:type="spellStart"/>
      <w:r w:rsidRPr="004A28ED">
        <w:rPr>
          <w:rFonts w:ascii="Times New Roman" w:hAnsi="Times New Roman"/>
          <w:iCs/>
          <w:sz w:val="24"/>
          <w:szCs w:val="24"/>
        </w:rPr>
        <w:t>Kulumsa</w:t>
      </w:r>
      <w:proofErr w:type="spellEnd"/>
      <w:r>
        <w:rPr>
          <w:rFonts w:ascii="Times New Roman" w:hAnsi="Times New Roman"/>
          <w:iCs/>
          <w:sz w:val="24"/>
          <w:szCs w:val="24"/>
        </w:rPr>
        <w:t xml:space="preserve"> </w:t>
      </w:r>
      <w:r w:rsidRPr="004A28ED">
        <w:rPr>
          <w:rFonts w:ascii="Times New Roman" w:hAnsi="Times New Roman"/>
          <w:iCs/>
          <w:sz w:val="24"/>
          <w:szCs w:val="24"/>
        </w:rPr>
        <w:t xml:space="preserve">2023, and </w:t>
      </w:r>
      <w:proofErr w:type="spellStart"/>
      <w:r w:rsidRPr="004A28ED">
        <w:rPr>
          <w:rFonts w:ascii="Times New Roman" w:hAnsi="Times New Roman"/>
          <w:iCs/>
          <w:sz w:val="24"/>
          <w:szCs w:val="24"/>
        </w:rPr>
        <w:t>Kulumsa</w:t>
      </w:r>
      <w:proofErr w:type="spellEnd"/>
      <w:r>
        <w:rPr>
          <w:rFonts w:ascii="Times New Roman" w:hAnsi="Times New Roman"/>
          <w:iCs/>
          <w:sz w:val="24"/>
          <w:szCs w:val="24"/>
        </w:rPr>
        <w:t xml:space="preserve"> </w:t>
      </w:r>
      <w:r w:rsidRPr="004A28ED">
        <w:rPr>
          <w:rFonts w:ascii="Times New Roman" w:hAnsi="Times New Roman"/>
          <w:iCs/>
          <w:sz w:val="24"/>
          <w:szCs w:val="24"/>
        </w:rPr>
        <w:t>2024 in Ethiopia, along with the SNP names of notable markers, the chromosomes where these markers are situated, their positions on the chromosomes, significance values (</w:t>
      </w:r>
      <w:proofErr w:type="spellStart"/>
      <w:r w:rsidRPr="004A28ED">
        <w:rPr>
          <w:rFonts w:ascii="Times New Roman" w:hAnsi="Times New Roman"/>
          <w:iCs/>
          <w:sz w:val="24"/>
          <w:szCs w:val="24"/>
        </w:rPr>
        <w:t>p.value</w:t>
      </w:r>
      <w:proofErr w:type="spellEnd"/>
      <w:r w:rsidRPr="004A28ED">
        <w:rPr>
          <w:rFonts w:ascii="Times New Roman" w:hAnsi="Times New Roman"/>
          <w:iCs/>
          <w:sz w:val="24"/>
          <w:szCs w:val="24"/>
        </w:rPr>
        <w:t>), the effect of each marker on trait values, and the LOD score for the markers.</w:t>
      </w:r>
    </w:p>
    <w:p w:rsidR="00B2292D" w:rsidRPr="007736AA" w:rsidRDefault="00B2292D" w:rsidP="00B2292D">
      <w:pPr>
        <w:ind w:left="17"/>
        <w:jc w:val="both"/>
        <w:rPr>
          <w:rFonts w:ascii="Times New Roman" w:hAnsi="Times New Roman"/>
          <w:iCs/>
          <w:sz w:val="24"/>
          <w:szCs w:val="24"/>
        </w:rPr>
      </w:pPr>
    </w:p>
    <w:p w:rsidR="002427B4" w:rsidRPr="00FF6388" w:rsidRDefault="00B2292D" w:rsidP="0089751E">
      <w:pPr>
        <w:ind w:left="17"/>
        <w:jc w:val="both"/>
        <w:rPr>
          <w:rFonts w:ascii="Times New Roman" w:hAnsi="Times New Roman" w:cs="Times New Roman"/>
          <w:b/>
          <w:sz w:val="24"/>
          <w:szCs w:val="24"/>
        </w:rPr>
      </w:pPr>
      <w:r w:rsidRPr="00FF6388">
        <w:rPr>
          <w:rFonts w:ascii="Times New Roman" w:hAnsi="Times New Roman" w:cs="Times New Roman"/>
          <w:b/>
          <w:sz w:val="24"/>
          <w:szCs w:val="24"/>
        </w:rPr>
        <w:t>Additional f</w:t>
      </w:r>
      <w:r>
        <w:rPr>
          <w:rFonts w:ascii="Times New Roman" w:hAnsi="Times New Roman" w:cs="Times New Roman"/>
          <w:b/>
          <w:sz w:val="24"/>
          <w:szCs w:val="24"/>
        </w:rPr>
        <w:t>i</w:t>
      </w:r>
      <w:r w:rsidRPr="00FF6388">
        <w:rPr>
          <w:rFonts w:ascii="Times New Roman" w:hAnsi="Times New Roman" w:cs="Times New Roman"/>
          <w:b/>
          <w:sz w:val="24"/>
          <w:szCs w:val="24"/>
        </w:rPr>
        <w:t>le 2: Supplementary Fig. 1</w:t>
      </w:r>
      <w:r>
        <w:rPr>
          <w:rFonts w:ascii="Times New Roman" w:hAnsi="Times New Roman" w:cs="Times New Roman"/>
          <w:b/>
          <w:sz w:val="24"/>
          <w:szCs w:val="24"/>
        </w:rPr>
        <w:t>.</w:t>
      </w:r>
      <w:r w:rsidRPr="0024564C">
        <w:rPr>
          <w:rFonts w:ascii="Times New Roman" w:hAnsi="Times New Roman" w:cs="Times New Roman"/>
          <w:b/>
          <w:sz w:val="24"/>
        </w:rPr>
        <w:t xml:space="preserve"> </w:t>
      </w:r>
      <w:r w:rsidRPr="000A6DC0">
        <w:rPr>
          <w:rFonts w:ascii="Times New Roman" w:eastAsia="Calibri" w:hAnsi="Times New Roman" w:cs="Times New Roman"/>
          <w:iCs/>
          <w:sz w:val="24"/>
          <w:szCs w:val="24"/>
        </w:rPr>
        <w:t>The GWAS results for yellow rust resistance in 186 bread wheat lines across five testing environments (</w:t>
      </w:r>
      <w:proofErr w:type="spellStart"/>
      <w:r w:rsidRPr="000A6DC0">
        <w:rPr>
          <w:rFonts w:ascii="Times New Roman" w:eastAsia="Calibri" w:hAnsi="Times New Roman" w:cs="Times New Roman"/>
          <w:iCs/>
          <w:sz w:val="24"/>
          <w:szCs w:val="24"/>
        </w:rPr>
        <w:t>Adet</w:t>
      </w:r>
      <w:proofErr w:type="spellEnd"/>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 xml:space="preserve">2023, </w:t>
      </w:r>
      <w:proofErr w:type="spellStart"/>
      <w:r w:rsidRPr="000A6DC0">
        <w:rPr>
          <w:rFonts w:ascii="Times New Roman" w:eastAsia="Calibri" w:hAnsi="Times New Roman" w:cs="Times New Roman"/>
          <w:iCs/>
          <w:sz w:val="24"/>
          <w:szCs w:val="24"/>
        </w:rPr>
        <w:t>Dabat</w:t>
      </w:r>
      <w:proofErr w:type="spellEnd"/>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2023, Koga</w:t>
      </w:r>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 xml:space="preserve">2023, </w:t>
      </w:r>
      <w:proofErr w:type="spellStart"/>
      <w:r w:rsidRPr="000A6DC0">
        <w:rPr>
          <w:rFonts w:ascii="Times New Roman" w:eastAsia="Calibri" w:hAnsi="Times New Roman" w:cs="Times New Roman"/>
          <w:iCs/>
          <w:sz w:val="24"/>
          <w:szCs w:val="24"/>
        </w:rPr>
        <w:t>Kulumsa</w:t>
      </w:r>
      <w:proofErr w:type="spellEnd"/>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 xml:space="preserve">2023, and </w:t>
      </w:r>
      <w:proofErr w:type="spellStart"/>
      <w:r w:rsidRPr="000A6DC0">
        <w:rPr>
          <w:rFonts w:ascii="Times New Roman" w:eastAsia="Calibri" w:hAnsi="Times New Roman" w:cs="Times New Roman"/>
          <w:iCs/>
          <w:sz w:val="24"/>
          <w:szCs w:val="24"/>
        </w:rPr>
        <w:t>Kulumsa</w:t>
      </w:r>
      <w:proofErr w:type="spellEnd"/>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2024) are illustrated in a Manhattan plot and a Q-Q plot. Each point represents an individual SNP. The x-axis displays the genomic position of the SNPs along their respective chromosomes, which are color-coded. The left side features the Manhattan plot showing the –log10 of the p-values plotted against the genomic distances of the SNPs linked to yellow rust resistance. SNPs that are significantly associated with yellow rust resistance are indicated above the threshold of 3 (above the horizontal brown line). The Q-Q plots on the right side of the Manhattan plots evaluate how effectively the GWAS model accounted for population structure and kinship in relation to the coefficient of infection for yellow rust. In both plots, the observed –log</w:t>
      </w:r>
      <w:r>
        <w:rPr>
          <w:rFonts w:ascii="Times New Roman" w:eastAsia="Calibri" w:hAnsi="Times New Roman" w:cs="Times New Roman"/>
          <w:iCs/>
          <w:sz w:val="24"/>
          <w:szCs w:val="24"/>
        </w:rPr>
        <w:t xml:space="preserve"> </w:t>
      </w:r>
      <w:r w:rsidRPr="000A6DC0">
        <w:rPr>
          <w:rFonts w:ascii="Times New Roman" w:eastAsia="Calibri" w:hAnsi="Times New Roman" w:cs="Times New Roman"/>
          <w:iCs/>
          <w:sz w:val="24"/>
          <w:szCs w:val="24"/>
        </w:rPr>
        <w:t>(p-values) from the GWAS models (y-axis) are compared to their expected values (x-axis), based on the null hypothesis which suggests no relationship with the trait. Every blue dot signifies a single nucleotide polymorphism, while the red line represents the expected model for lack of association.</w:t>
      </w:r>
    </w:p>
    <w:sectPr w:rsidR="002427B4" w:rsidRPr="00FF6388" w:rsidSect="00CE57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2427B4"/>
    <w:rsid w:val="00053D13"/>
    <w:rsid w:val="000C751E"/>
    <w:rsid w:val="001D76FC"/>
    <w:rsid w:val="001F6159"/>
    <w:rsid w:val="002427B4"/>
    <w:rsid w:val="0024564C"/>
    <w:rsid w:val="003D2600"/>
    <w:rsid w:val="004D3253"/>
    <w:rsid w:val="00624D63"/>
    <w:rsid w:val="00734226"/>
    <w:rsid w:val="007F3455"/>
    <w:rsid w:val="008578D8"/>
    <w:rsid w:val="0089751E"/>
    <w:rsid w:val="00B2292D"/>
    <w:rsid w:val="00CE5788"/>
    <w:rsid w:val="00EF2D03"/>
    <w:rsid w:val="00FF4F20"/>
    <w:rsid w:val="00FF63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7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4564C"/>
    <w:pPr>
      <w:spacing w:line="240" w:lineRule="auto"/>
    </w:pPr>
    <w:rPr>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354</Words>
  <Characters>2021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Askal</dc:creator>
  <cp:lastModifiedBy>Askal</cp:lastModifiedBy>
  <cp:revision>2</cp:revision>
  <dcterms:created xsi:type="dcterms:W3CDTF">2025-11-28T06:02:00Z</dcterms:created>
  <dcterms:modified xsi:type="dcterms:W3CDTF">2025-11-28T06:02:00Z</dcterms:modified>
</cp:coreProperties>
</file>