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C2F05" w14:textId="77777777" w:rsidR="00E632E6" w:rsidRPr="00C26D67" w:rsidRDefault="00E632E6" w:rsidP="00E632E6">
      <w:pPr>
        <w:spacing w:after="0" w:line="480" w:lineRule="auto"/>
        <w:jc w:val="center"/>
        <w:rPr>
          <w:rFonts w:cstheme="minorHAnsi"/>
          <w:lang w:val="en-US"/>
        </w:rPr>
      </w:pPr>
      <w:r w:rsidRPr="00C26D67">
        <w:rPr>
          <w:rFonts w:cstheme="minorHAnsi"/>
          <w:b/>
          <w:bCs/>
          <w:sz w:val="24"/>
          <w:szCs w:val="24"/>
          <w:lang w:val="en-US"/>
        </w:rPr>
        <w:t>Integrated Co-expression Analysis of Host–Parasite Transcriptomes Reveals Mechanisms of Host Modulation in an Ant–Cestode System</w:t>
      </w:r>
      <w:r w:rsidRPr="00C26D67">
        <w:rPr>
          <w:rFonts w:cstheme="minorHAnsi"/>
          <w:b/>
          <w:bCs/>
          <w:sz w:val="24"/>
          <w:szCs w:val="24"/>
          <w:lang w:val="en-US"/>
        </w:rPr>
        <w:br/>
      </w:r>
      <w:r w:rsidRPr="00C26D67">
        <w:rPr>
          <w:rFonts w:cstheme="minorHAnsi"/>
          <w:lang w:val="en-US"/>
        </w:rPr>
        <w:t>Tom Sistermans</w:t>
      </w:r>
      <w:r w:rsidRPr="00C26D67">
        <w:rPr>
          <w:rFonts w:cstheme="minorHAnsi"/>
          <w:vertAlign w:val="superscript"/>
          <w:lang w:val="en-US"/>
        </w:rPr>
        <w:t>1</w:t>
      </w:r>
      <w:r w:rsidRPr="00C26D67">
        <w:rPr>
          <w:rFonts w:cstheme="minorHAnsi"/>
          <w:lang w:val="en-US"/>
        </w:rPr>
        <w:t>, Romain Libbrecht</w:t>
      </w:r>
      <w:r w:rsidRPr="00C26D67">
        <w:rPr>
          <w:rFonts w:cstheme="minorHAnsi"/>
          <w:vertAlign w:val="superscript"/>
          <w:lang w:val="en-US"/>
        </w:rPr>
        <w:t>2</w:t>
      </w:r>
      <w:r w:rsidRPr="00C26D67">
        <w:rPr>
          <w:rFonts w:cstheme="minorHAnsi"/>
          <w:lang w:val="en-US"/>
        </w:rPr>
        <w:t>, Susanne Foitzik</w:t>
      </w:r>
      <w:r w:rsidRPr="00C26D67">
        <w:rPr>
          <w:rFonts w:cstheme="minorHAnsi"/>
          <w:vertAlign w:val="superscript"/>
          <w:lang w:val="en-US"/>
        </w:rPr>
        <w:t>1</w:t>
      </w:r>
    </w:p>
    <w:p w14:paraId="3904902F" w14:textId="77777777" w:rsidR="00E632E6" w:rsidRPr="00C26D67" w:rsidRDefault="00E632E6" w:rsidP="00E632E6">
      <w:pPr>
        <w:spacing w:after="0" w:line="480" w:lineRule="auto"/>
        <w:jc w:val="center"/>
        <w:rPr>
          <w:rFonts w:cstheme="minorHAnsi"/>
          <w:lang w:val="en-US"/>
        </w:rPr>
      </w:pPr>
      <w:r w:rsidRPr="00C26D67">
        <w:rPr>
          <w:rFonts w:cstheme="minorHAnsi"/>
          <w:vertAlign w:val="superscript"/>
          <w:lang w:val="en-US"/>
        </w:rPr>
        <w:t>1</w:t>
      </w:r>
      <w:r w:rsidRPr="00C26D67">
        <w:rPr>
          <w:rFonts w:cstheme="minorHAnsi"/>
          <w:lang w:val="en-US"/>
        </w:rPr>
        <w:t>Institute of Organismic and Molecular Evolution, Johannes Gutenberg University, Mainz, Germany</w:t>
      </w:r>
    </w:p>
    <w:p w14:paraId="7F1C2BD8" w14:textId="77777777" w:rsidR="00E632E6" w:rsidRPr="00C26D67" w:rsidRDefault="00E632E6" w:rsidP="00E632E6">
      <w:pPr>
        <w:spacing w:after="0" w:line="480" w:lineRule="auto"/>
        <w:jc w:val="center"/>
        <w:rPr>
          <w:rFonts w:cstheme="minorHAnsi"/>
          <w:lang w:val="en-US"/>
        </w:rPr>
      </w:pPr>
      <w:r w:rsidRPr="00C26D67">
        <w:rPr>
          <w:rFonts w:cstheme="minorHAnsi"/>
          <w:vertAlign w:val="superscript"/>
          <w:lang w:val="en-US"/>
        </w:rPr>
        <w:t>2</w:t>
      </w:r>
      <w:r w:rsidRPr="00C26D67">
        <w:rPr>
          <w:rFonts w:cstheme="minorHAnsi"/>
          <w:lang w:val="en-US"/>
        </w:rPr>
        <w:t>Insect Biology Research Institute, UMR 7261, CNRS, University of Tours, France</w:t>
      </w:r>
    </w:p>
    <w:p w14:paraId="794FD4C7" w14:textId="77777777" w:rsidR="00E632E6" w:rsidRDefault="00E632E6" w:rsidP="000313AA">
      <w:pPr>
        <w:spacing w:after="120" w:line="480" w:lineRule="auto"/>
        <w:jc w:val="both"/>
        <w:rPr>
          <w:rFonts w:ascii="Calibri" w:hAnsi="Calibri" w:cs="Calibri"/>
          <w:b/>
          <w:bCs/>
          <w:lang w:val="en-US"/>
        </w:rPr>
      </w:pPr>
    </w:p>
    <w:p w14:paraId="1D0A08AF" w14:textId="3DCCEA93" w:rsidR="000313AA" w:rsidRPr="00F56116" w:rsidRDefault="000313AA" w:rsidP="000313AA">
      <w:pPr>
        <w:spacing w:after="120" w:line="480" w:lineRule="auto"/>
        <w:jc w:val="both"/>
        <w:rPr>
          <w:rFonts w:ascii="Calibri" w:hAnsi="Calibri" w:cs="Calibri"/>
          <w:b/>
          <w:bCs/>
        </w:rPr>
      </w:pPr>
      <w:r w:rsidRPr="00F56116">
        <w:rPr>
          <w:rFonts w:ascii="Calibri" w:hAnsi="Calibri" w:cs="Calibri"/>
          <w:b/>
          <w:bCs/>
        </w:rPr>
        <w:t>Supplementary materials</w:t>
      </w:r>
    </w:p>
    <w:p w14:paraId="24FBEA7B" w14:textId="77777777" w:rsidR="000313AA" w:rsidRPr="00F56116" w:rsidRDefault="000313AA" w:rsidP="000313AA">
      <w:pPr>
        <w:spacing w:after="120" w:line="480" w:lineRule="auto"/>
        <w:rPr>
          <w:rFonts w:ascii="Calibri" w:hAnsi="Calibri" w:cs="Calibri"/>
        </w:rPr>
      </w:pPr>
    </w:p>
    <w:p w14:paraId="6F5F4068" w14:textId="0FD5A331" w:rsidR="000313AA" w:rsidRPr="00F56116" w:rsidRDefault="00322A7D" w:rsidP="000313AA">
      <w:pPr>
        <w:spacing w:after="120" w:line="480" w:lineRule="auto"/>
        <w:rPr>
          <w:rFonts w:ascii="Calibri" w:hAnsi="Calibri" w:cs="Calibri"/>
          <w:b/>
          <w:bCs/>
        </w:rPr>
      </w:pPr>
      <w:r w:rsidRPr="00F56116">
        <w:rPr>
          <w:rFonts w:ascii="Calibri" w:hAnsi="Calibri" w:cs="Calibri"/>
          <w:noProof/>
          <w:lang w:eastAsia="en-GB"/>
        </w:rPr>
        <w:drawing>
          <wp:inline distT="0" distB="0" distL="0" distR="0" wp14:anchorId="11E2431B" wp14:editId="30350E0B">
            <wp:extent cx="4571429" cy="4571429"/>
            <wp:effectExtent l="0" t="0" r="635" b="635"/>
            <wp:docPr id="1732916882" name="Afbeelding 1" descr="Afbeelding met tekst, schermopname, grafische vormgeving,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16882" name="Afbeelding 1" descr="Afbeelding met tekst, schermopname, grafische vormgeving, Kleurrijkheid&#10;&#10;Automatisch gegenereerde beschrijving"/>
                    <pic:cNvPicPr/>
                  </pic:nvPicPr>
                  <pic:blipFill>
                    <a:blip r:embed="rId7"/>
                    <a:stretch>
                      <a:fillRect/>
                    </a:stretch>
                  </pic:blipFill>
                  <pic:spPr>
                    <a:xfrm>
                      <a:off x="0" y="0"/>
                      <a:ext cx="4571429" cy="4571429"/>
                    </a:xfrm>
                    <a:prstGeom prst="rect">
                      <a:avLst/>
                    </a:prstGeom>
                  </pic:spPr>
                </pic:pic>
              </a:graphicData>
            </a:graphic>
          </wp:inline>
        </w:drawing>
      </w:r>
    </w:p>
    <w:p w14:paraId="3436B9D0" w14:textId="77777777" w:rsidR="000313AA" w:rsidRPr="00F56116" w:rsidRDefault="000313AA" w:rsidP="000313AA">
      <w:pPr>
        <w:spacing w:after="120" w:line="480" w:lineRule="auto"/>
        <w:rPr>
          <w:rFonts w:ascii="Calibri" w:hAnsi="Calibri" w:cs="Calibri"/>
        </w:rPr>
      </w:pPr>
      <w:r w:rsidRPr="00F56116">
        <w:rPr>
          <w:rFonts w:ascii="Calibri" w:hAnsi="Calibri" w:cs="Calibri"/>
          <w:b/>
          <w:bCs/>
        </w:rPr>
        <w:t xml:space="preserve">Figure S1 </w:t>
      </w:r>
      <w:r w:rsidRPr="00F56116">
        <w:rPr>
          <w:rFonts w:ascii="Calibri" w:hAnsi="Calibri" w:cs="Calibri"/>
        </w:rPr>
        <w:t>TOM plot of the merged gene count matrices of both infected ants and their cestodes. The colours representing the constructed modules roughly aligning with the highest correlations in the heatmap.</w:t>
      </w:r>
    </w:p>
    <w:p w14:paraId="6C78F4B6" w14:textId="393430A6" w:rsidR="000313AA" w:rsidRPr="00F56116" w:rsidRDefault="00322A7D" w:rsidP="000313AA">
      <w:pPr>
        <w:spacing w:after="120" w:line="480" w:lineRule="auto"/>
        <w:rPr>
          <w:rFonts w:ascii="Calibri" w:hAnsi="Calibri" w:cs="Calibri"/>
          <w:b/>
          <w:bCs/>
        </w:rPr>
      </w:pPr>
      <w:r w:rsidRPr="00F56116">
        <w:rPr>
          <w:rFonts w:ascii="Calibri" w:hAnsi="Calibri" w:cs="Calibri"/>
          <w:noProof/>
          <w:lang w:eastAsia="en-GB"/>
        </w:rPr>
        <w:lastRenderedPageBreak/>
        <w:drawing>
          <wp:inline distT="0" distB="0" distL="0" distR="0" wp14:anchorId="223B33E3" wp14:editId="61D92F8F">
            <wp:extent cx="5760720" cy="5828030"/>
            <wp:effectExtent l="0" t="0" r="0" b="1270"/>
            <wp:docPr id="7263129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12998" name=""/>
                    <pic:cNvPicPr/>
                  </pic:nvPicPr>
                  <pic:blipFill>
                    <a:blip r:embed="rId8"/>
                    <a:stretch>
                      <a:fillRect/>
                    </a:stretch>
                  </pic:blipFill>
                  <pic:spPr>
                    <a:xfrm>
                      <a:off x="0" y="0"/>
                      <a:ext cx="5760720" cy="5828030"/>
                    </a:xfrm>
                    <a:prstGeom prst="rect">
                      <a:avLst/>
                    </a:prstGeom>
                  </pic:spPr>
                </pic:pic>
              </a:graphicData>
            </a:graphic>
          </wp:inline>
        </w:drawing>
      </w:r>
    </w:p>
    <w:p w14:paraId="7750E72B" w14:textId="77777777" w:rsidR="000313AA" w:rsidRPr="00F56116" w:rsidRDefault="000313AA" w:rsidP="000313AA">
      <w:pPr>
        <w:spacing w:after="120" w:line="480" w:lineRule="auto"/>
        <w:rPr>
          <w:rFonts w:ascii="Calibri" w:hAnsi="Calibri" w:cs="Calibri"/>
        </w:rPr>
      </w:pPr>
      <w:r w:rsidRPr="00F56116">
        <w:rPr>
          <w:rFonts w:ascii="Calibri" w:hAnsi="Calibri" w:cs="Calibri"/>
          <w:b/>
          <w:bCs/>
        </w:rPr>
        <w:t xml:space="preserve">Figure S2 </w:t>
      </w:r>
      <w:r w:rsidRPr="00F56116">
        <w:rPr>
          <w:rFonts w:ascii="Calibri" w:hAnsi="Calibri" w:cs="Calibri"/>
        </w:rPr>
        <w:t xml:space="preserve">Cestode alpha-glucosidase and ant alpha-glucosidase plotted against each other after variance stabilizing transformation. Here we found a negative correlation with an R value of -0.113 and an intercept of 16.5 (p=0.032). </w:t>
      </w:r>
    </w:p>
    <w:p w14:paraId="53372138" w14:textId="77777777" w:rsidR="00F56116" w:rsidRDefault="00F56116">
      <w:pPr>
        <w:spacing w:line="278" w:lineRule="auto"/>
        <w:rPr>
          <w:rFonts w:ascii="Calibri" w:hAnsi="Calibri" w:cs="Calibri"/>
        </w:rPr>
      </w:pPr>
      <w:r>
        <w:rPr>
          <w:rFonts w:ascii="Calibri" w:hAnsi="Calibri" w:cs="Calibri"/>
        </w:rPr>
        <w:br w:type="page"/>
      </w:r>
    </w:p>
    <w:p w14:paraId="4A62D9AB" w14:textId="196029C2" w:rsidR="00891D5E" w:rsidRPr="00891D5E" w:rsidRDefault="00322A7D" w:rsidP="00891D5E">
      <w:pPr>
        <w:spacing w:after="120" w:line="480" w:lineRule="auto"/>
        <w:rPr>
          <w:rFonts w:ascii="Calibri" w:hAnsi="Calibri" w:cs="Calibri"/>
          <w:lang w:val="nl-NL"/>
        </w:rPr>
      </w:pPr>
      <w:r w:rsidRPr="00891D5E">
        <w:rPr>
          <w:rFonts w:ascii="Calibri" w:hAnsi="Calibri" w:cs="Calibri"/>
          <w:noProof/>
          <w:lang w:val="nl-NL"/>
        </w:rPr>
        <w:lastRenderedPageBreak/>
        <w:drawing>
          <wp:inline distT="0" distB="0" distL="0" distR="0" wp14:anchorId="192EB3A6" wp14:editId="298E486D">
            <wp:extent cx="5760720" cy="5760720"/>
            <wp:effectExtent l="0" t="0" r="0" b="0"/>
            <wp:docPr id="92822899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4678F6C8" w14:textId="77777777" w:rsidR="00251BCA" w:rsidRDefault="00891D5E" w:rsidP="000313AA">
      <w:pPr>
        <w:spacing w:after="120" w:line="480" w:lineRule="auto"/>
        <w:rPr>
          <w:rFonts w:ascii="Calibri" w:hAnsi="Calibri" w:cs="Calibri"/>
        </w:rPr>
      </w:pPr>
      <w:r>
        <w:rPr>
          <w:rFonts w:ascii="Calibri" w:hAnsi="Calibri" w:cs="Calibri"/>
          <w:b/>
          <w:bCs/>
        </w:rPr>
        <w:t>Figure S3</w:t>
      </w:r>
      <w:r>
        <w:rPr>
          <w:rFonts w:ascii="Calibri" w:hAnsi="Calibri" w:cs="Calibri"/>
        </w:rPr>
        <w:t xml:space="preserve"> Heatmap of correlations between module eigengene values and (left) parasite load or (right) parasite prevalence. Within every cell of the heatmap the correlation coefficient is mentioned and the P-value behind it between brackets. </w:t>
      </w:r>
    </w:p>
    <w:p w14:paraId="039EF0B9" w14:textId="77777777" w:rsidR="00251BCA" w:rsidRDefault="00251BCA">
      <w:pPr>
        <w:spacing w:line="278" w:lineRule="auto"/>
        <w:rPr>
          <w:rFonts w:ascii="Calibri" w:hAnsi="Calibri" w:cs="Calibri"/>
        </w:rPr>
      </w:pPr>
      <w:r>
        <w:rPr>
          <w:rFonts w:ascii="Calibri" w:hAnsi="Calibri" w:cs="Calibri"/>
        </w:rPr>
        <w:br w:type="page"/>
      </w:r>
    </w:p>
    <w:p w14:paraId="5CB935B7" w14:textId="5CC37A13" w:rsidR="00251BCA" w:rsidRPr="00251BCA" w:rsidRDefault="00322A7D" w:rsidP="00251BCA">
      <w:pPr>
        <w:spacing w:after="120" w:line="480" w:lineRule="auto"/>
        <w:rPr>
          <w:rFonts w:ascii="Calibri" w:hAnsi="Calibri" w:cs="Calibri"/>
          <w:lang w:val="en-US"/>
        </w:rPr>
      </w:pPr>
      <w:r w:rsidRPr="00251BCA">
        <w:rPr>
          <w:rFonts w:ascii="Calibri" w:hAnsi="Calibri" w:cs="Calibri"/>
          <w:noProof/>
          <w:lang w:val="en-US"/>
        </w:rPr>
        <w:lastRenderedPageBreak/>
        <w:drawing>
          <wp:inline distT="0" distB="0" distL="0" distR="0" wp14:anchorId="522F09E9" wp14:editId="719C15C5">
            <wp:extent cx="3299845" cy="5543550"/>
            <wp:effectExtent l="0" t="0" r="0" b="0"/>
            <wp:docPr id="1934565634" name="Picture 2" descr="A comparison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565634" name="Picture 2" descr="A comparison of a bar graph&#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2437" cy="5547905"/>
                    </a:xfrm>
                    <a:prstGeom prst="rect">
                      <a:avLst/>
                    </a:prstGeom>
                    <a:noFill/>
                    <a:ln>
                      <a:noFill/>
                    </a:ln>
                  </pic:spPr>
                </pic:pic>
              </a:graphicData>
            </a:graphic>
          </wp:inline>
        </w:drawing>
      </w:r>
    </w:p>
    <w:p w14:paraId="11525B97" w14:textId="77777777" w:rsidR="005E2D8B" w:rsidRDefault="00251BCA" w:rsidP="000313AA">
      <w:pPr>
        <w:spacing w:after="120" w:line="480" w:lineRule="auto"/>
        <w:rPr>
          <w:rFonts w:ascii="Calibri" w:hAnsi="Calibri" w:cs="Calibri"/>
        </w:rPr>
      </w:pPr>
      <w:r>
        <w:rPr>
          <w:rFonts w:ascii="Calibri" w:hAnsi="Calibri" w:cs="Calibri"/>
          <w:b/>
          <w:bCs/>
        </w:rPr>
        <w:t>Figure S4</w:t>
      </w:r>
      <w:r>
        <w:rPr>
          <w:rFonts w:ascii="Calibri" w:hAnsi="Calibri" w:cs="Calibri"/>
        </w:rPr>
        <w:t xml:space="preserve"> Proportions of genes belonging to which module in (left) the full host transcriptome and (right) all DEGs upon cestode infection.</w:t>
      </w:r>
    </w:p>
    <w:p w14:paraId="033F2E89" w14:textId="77777777" w:rsidR="005E2D8B" w:rsidRDefault="005E2D8B">
      <w:pPr>
        <w:spacing w:line="278" w:lineRule="auto"/>
        <w:rPr>
          <w:rFonts w:ascii="Calibri" w:hAnsi="Calibri" w:cs="Calibri"/>
        </w:rPr>
      </w:pPr>
      <w:r>
        <w:rPr>
          <w:rFonts w:ascii="Calibri" w:hAnsi="Calibri" w:cs="Calibri"/>
        </w:rPr>
        <w:br w:type="page"/>
      </w:r>
    </w:p>
    <w:p w14:paraId="3443F650" w14:textId="48E9F02B" w:rsidR="005E2D8B" w:rsidRPr="005E2D8B" w:rsidRDefault="00322A7D" w:rsidP="005E2D8B">
      <w:pPr>
        <w:spacing w:after="120" w:line="480" w:lineRule="auto"/>
        <w:rPr>
          <w:rFonts w:ascii="Calibri" w:hAnsi="Calibri" w:cs="Calibri"/>
          <w:lang w:val="en-US"/>
        </w:rPr>
      </w:pPr>
      <w:r w:rsidRPr="005E2D8B">
        <w:rPr>
          <w:rFonts w:ascii="Calibri" w:hAnsi="Calibri" w:cs="Calibri"/>
          <w:noProof/>
          <w:lang w:val="en-US"/>
        </w:rPr>
        <w:lastRenderedPageBreak/>
        <w:drawing>
          <wp:inline distT="0" distB="0" distL="0" distR="0" wp14:anchorId="51AF7697" wp14:editId="5C36323D">
            <wp:extent cx="5760720" cy="4163060"/>
            <wp:effectExtent l="0" t="0" r="0" b="8890"/>
            <wp:docPr id="592918569" name="Picture 4" descr="A bar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18569" name="Picture 4" descr="A bar graph with different colored bar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163060"/>
                    </a:xfrm>
                    <a:prstGeom prst="rect">
                      <a:avLst/>
                    </a:prstGeom>
                    <a:noFill/>
                    <a:ln>
                      <a:noFill/>
                    </a:ln>
                  </pic:spPr>
                </pic:pic>
              </a:graphicData>
            </a:graphic>
          </wp:inline>
        </w:drawing>
      </w:r>
    </w:p>
    <w:p w14:paraId="75C162F7" w14:textId="3A62BFA9" w:rsidR="000313AA" w:rsidRPr="00F56116" w:rsidRDefault="005E2D8B" w:rsidP="000313AA">
      <w:pPr>
        <w:spacing w:after="120" w:line="480" w:lineRule="auto"/>
        <w:rPr>
          <w:rFonts w:ascii="Calibri" w:hAnsi="Calibri" w:cs="Calibri"/>
        </w:rPr>
      </w:pPr>
      <w:r>
        <w:rPr>
          <w:rFonts w:ascii="Calibri" w:hAnsi="Calibri" w:cs="Calibri"/>
          <w:b/>
          <w:bCs/>
        </w:rPr>
        <w:t xml:space="preserve">Figure S5 </w:t>
      </w:r>
      <w:r w:rsidR="00E632E6" w:rsidRPr="00E632E6">
        <w:rPr>
          <w:rFonts w:ascii="Calibri" w:hAnsi="Calibri" w:cs="Calibri"/>
        </w:rPr>
        <w:t>KEGG enrichment of differentially expressed genes grouped by modules that correlate more strongly than expected by chance with cestode genes, ant genes, or show no significant correlation bias. Different colours indicate the respective groups.</w:t>
      </w:r>
      <w:r w:rsidR="000313AA" w:rsidRPr="00F56116">
        <w:rPr>
          <w:rFonts w:ascii="Calibri" w:hAnsi="Calibri" w:cs="Calibri"/>
        </w:rPr>
        <w:br w:type="page"/>
      </w:r>
    </w:p>
    <w:p w14:paraId="16FE91CC" w14:textId="77777777" w:rsidR="000313AA" w:rsidRPr="00F56116" w:rsidRDefault="000313AA" w:rsidP="000313AA">
      <w:pPr>
        <w:spacing w:after="120" w:line="480" w:lineRule="auto"/>
        <w:jc w:val="both"/>
        <w:rPr>
          <w:rFonts w:ascii="Calibri" w:hAnsi="Calibri" w:cs="Calibri"/>
        </w:rPr>
      </w:pPr>
      <w:r w:rsidRPr="00F56116">
        <w:rPr>
          <w:rFonts w:ascii="Calibri" w:hAnsi="Calibri" w:cs="Calibri"/>
          <w:b/>
          <w:bCs/>
        </w:rPr>
        <w:lastRenderedPageBreak/>
        <w:t xml:space="preserve">Table S1 </w:t>
      </w:r>
      <w:r w:rsidRPr="00F56116">
        <w:rPr>
          <w:rFonts w:ascii="Calibri" w:hAnsi="Calibri" w:cs="Calibri"/>
        </w:rPr>
        <w:t>overview of all the samples used in this paper with all information used for the analysis.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
        <w:gridCol w:w="957"/>
        <w:gridCol w:w="950"/>
        <w:gridCol w:w="950"/>
        <w:gridCol w:w="896"/>
      </w:tblGrid>
      <w:tr w:rsidR="000313AA" w:rsidRPr="00F56116" w14:paraId="31780E36" w14:textId="77777777" w:rsidTr="00E908E8">
        <w:tc>
          <w:tcPr>
            <w:tcW w:w="894" w:type="dxa"/>
            <w:tcBorders>
              <w:top w:val="single" w:sz="4" w:space="0" w:color="auto"/>
              <w:left w:val="single" w:sz="4" w:space="0" w:color="auto"/>
              <w:bottom w:val="single" w:sz="4" w:space="0" w:color="auto"/>
            </w:tcBorders>
          </w:tcPr>
          <w:p w14:paraId="3F2C0086" w14:textId="77777777" w:rsidR="000313AA" w:rsidRPr="00F56116" w:rsidRDefault="000313AA" w:rsidP="00E908E8">
            <w:pPr>
              <w:spacing w:after="120" w:line="480" w:lineRule="auto"/>
              <w:jc w:val="both"/>
              <w:rPr>
                <w:rFonts w:ascii="Calibri" w:hAnsi="Calibri" w:cs="Calibri"/>
                <w:b/>
                <w:bCs/>
                <w:sz w:val="20"/>
                <w:szCs w:val="20"/>
              </w:rPr>
            </w:pPr>
            <w:r w:rsidRPr="00F56116">
              <w:rPr>
                <w:rFonts w:ascii="Calibri" w:hAnsi="Calibri" w:cs="Calibri"/>
                <w:b/>
                <w:bCs/>
                <w:sz w:val="20"/>
                <w:szCs w:val="20"/>
              </w:rPr>
              <w:t>Colony</w:t>
            </w:r>
          </w:p>
        </w:tc>
        <w:tc>
          <w:tcPr>
            <w:tcW w:w="957" w:type="dxa"/>
            <w:tcBorders>
              <w:top w:val="single" w:sz="4" w:space="0" w:color="auto"/>
              <w:bottom w:val="single" w:sz="4" w:space="0" w:color="auto"/>
            </w:tcBorders>
          </w:tcPr>
          <w:p w14:paraId="161CDE1D" w14:textId="77777777" w:rsidR="000313AA" w:rsidRPr="00F56116" w:rsidRDefault="000313AA" w:rsidP="00E908E8">
            <w:pPr>
              <w:spacing w:after="120" w:line="480" w:lineRule="auto"/>
              <w:jc w:val="both"/>
              <w:rPr>
                <w:rFonts w:ascii="Calibri" w:hAnsi="Calibri" w:cs="Calibri"/>
                <w:b/>
                <w:bCs/>
                <w:sz w:val="20"/>
                <w:szCs w:val="20"/>
              </w:rPr>
            </w:pPr>
            <w:r w:rsidRPr="00F56116">
              <w:rPr>
                <w:rFonts w:ascii="Calibri" w:hAnsi="Calibri" w:cs="Calibri"/>
                <w:b/>
                <w:bCs/>
                <w:sz w:val="20"/>
                <w:szCs w:val="20"/>
              </w:rPr>
              <w:t>Infected sample name</w:t>
            </w:r>
          </w:p>
        </w:tc>
        <w:tc>
          <w:tcPr>
            <w:tcW w:w="950" w:type="dxa"/>
            <w:tcBorders>
              <w:top w:val="single" w:sz="4" w:space="0" w:color="auto"/>
              <w:bottom w:val="single" w:sz="4" w:space="0" w:color="auto"/>
            </w:tcBorders>
          </w:tcPr>
          <w:p w14:paraId="6C81B24F" w14:textId="77777777" w:rsidR="000313AA" w:rsidRPr="00F56116" w:rsidRDefault="000313AA" w:rsidP="00E908E8">
            <w:pPr>
              <w:spacing w:after="120" w:line="480" w:lineRule="auto"/>
              <w:jc w:val="both"/>
              <w:rPr>
                <w:rFonts w:ascii="Calibri" w:hAnsi="Calibri" w:cs="Calibri"/>
                <w:b/>
                <w:bCs/>
                <w:sz w:val="20"/>
                <w:szCs w:val="20"/>
              </w:rPr>
            </w:pPr>
            <w:r w:rsidRPr="00F56116">
              <w:rPr>
                <w:rFonts w:ascii="Calibri" w:hAnsi="Calibri" w:cs="Calibri"/>
                <w:b/>
                <w:bCs/>
                <w:sz w:val="20"/>
                <w:szCs w:val="20"/>
              </w:rPr>
              <w:t>Cestode sample name</w:t>
            </w:r>
          </w:p>
        </w:tc>
        <w:tc>
          <w:tcPr>
            <w:tcW w:w="950" w:type="dxa"/>
            <w:tcBorders>
              <w:top w:val="single" w:sz="4" w:space="0" w:color="auto"/>
              <w:bottom w:val="single" w:sz="4" w:space="0" w:color="auto"/>
            </w:tcBorders>
          </w:tcPr>
          <w:p w14:paraId="46A26E3F" w14:textId="77777777" w:rsidR="000313AA" w:rsidRPr="00F56116" w:rsidRDefault="000313AA" w:rsidP="00E908E8">
            <w:pPr>
              <w:spacing w:after="120" w:line="480" w:lineRule="auto"/>
              <w:jc w:val="both"/>
              <w:rPr>
                <w:rFonts w:ascii="Calibri" w:hAnsi="Calibri" w:cs="Calibri"/>
                <w:b/>
                <w:bCs/>
                <w:sz w:val="20"/>
                <w:szCs w:val="20"/>
              </w:rPr>
            </w:pPr>
            <w:r w:rsidRPr="00F56116">
              <w:rPr>
                <w:rFonts w:ascii="Calibri" w:hAnsi="Calibri" w:cs="Calibri"/>
                <w:b/>
                <w:bCs/>
                <w:sz w:val="20"/>
                <w:szCs w:val="20"/>
              </w:rPr>
              <w:t>Cestode number</w:t>
            </w:r>
          </w:p>
        </w:tc>
        <w:tc>
          <w:tcPr>
            <w:tcW w:w="896" w:type="dxa"/>
            <w:tcBorders>
              <w:top w:val="single" w:sz="4" w:space="0" w:color="auto"/>
              <w:bottom w:val="single" w:sz="4" w:space="0" w:color="auto"/>
              <w:right w:val="single" w:sz="4" w:space="0" w:color="auto"/>
            </w:tcBorders>
          </w:tcPr>
          <w:p w14:paraId="606C2FF1" w14:textId="77777777" w:rsidR="000313AA" w:rsidRPr="00F56116" w:rsidRDefault="000313AA" w:rsidP="00E908E8">
            <w:pPr>
              <w:spacing w:after="120" w:line="480" w:lineRule="auto"/>
              <w:jc w:val="both"/>
              <w:rPr>
                <w:rFonts w:ascii="Calibri" w:hAnsi="Calibri" w:cs="Calibri"/>
                <w:b/>
                <w:bCs/>
                <w:sz w:val="20"/>
                <w:szCs w:val="20"/>
              </w:rPr>
            </w:pPr>
            <w:r w:rsidRPr="00F56116">
              <w:rPr>
                <w:rFonts w:ascii="Calibri" w:hAnsi="Calibri" w:cs="Calibri"/>
                <w:b/>
                <w:bCs/>
                <w:sz w:val="20"/>
                <w:szCs w:val="20"/>
              </w:rPr>
              <w:t>Colony size</w:t>
            </w:r>
          </w:p>
        </w:tc>
      </w:tr>
      <w:tr w:rsidR="000313AA" w:rsidRPr="00F56116" w14:paraId="125CDDA8" w14:textId="77777777" w:rsidTr="00E908E8">
        <w:tc>
          <w:tcPr>
            <w:tcW w:w="894" w:type="dxa"/>
            <w:tcBorders>
              <w:top w:val="single" w:sz="4" w:space="0" w:color="auto"/>
              <w:left w:val="single" w:sz="4" w:space="0" w:color="auto"/>
            </w:tcBorders>
          </w:tcPr>
          <w:p w14:paraId="65C60967"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A</w:t>
            </w:r>
          </w:p>
        </w:tc>
        <w:tc>
          <w:tcPr>
            <w:tcW w:w="957" w:type="dxa"/>
            <w:tcBorders>
              <w:top w:val="single" w:sz="4" w:space="0" w:color="auto"/>
            </w:tcBorders>
          </w:tcPr>
          <w:p w14:paraId="7963A1CF"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A6F</w:t>
            </w:r>
          </w:p>
        </w:tc>
        <w:tc>
          <w:tcPr>
            <w:tcW w:w="950" w:type="dxa"/>
            <w:tcBorders>
              <w:top w:val="single" w:sz="4" w:space="0" w:color="auto"/>
            </w:tcBorders>
          </w:tcPr>
          <w:p w14:paraId="7E4389E4"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A6P</w:t>
            </w:r>
          </w:p>
        </w:tc>
        <w:tc>
          <w:tcPr>
            <w:tcW w:w="950" w:type="dxa"/>
            <w:tcBorders>
              <w:top w:val="single" w:sz="4" w:space="0" w:color="auto"/>
            </w:tcBorders>
          </w:tcPr>
          <w:p w14:paraId="000DEE3D"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8</w:t>
            </w:r>
          </w:p>
        </w:tc>
        <w:tc>
          <w:tcPr>
            <w:tcW w:w="896" w:type="dxa"/>
            <w:tcBorders>
              <w:top w:val="single" w:sz="4" w:space="0" w:color="auto"/>
              <w:right w:val="single" w:sz="4" w:space="0" w:color="auto"/>
            </w:tcBorders>
          </w:tcPr>
          <w:p w14:paraId="317937C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77</w:t>
            </w:r>
          </w:p>
        </w:tc>
      </w:tr>
      <w:tr w:rsidR="000313AA" w:rsidRPr="00F56116" w14:paraId="0D7475F8" w14:textId="77777777" w:rsidTr="00E908E8">
        <w:tc>
          <w:tcPr>
            <w:tcW w:w="894" w:type="dxa"/>
            <w:tcBorders>
              <w:left w:val="single" w:sz="4" w:space="0" w:color="auto"/>
            </w:tcBorders>
          </w:tcPr>
          <w:p w14:paraId="0FB01E6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C</w:t>
            </w:r>
          </w:p>
        </w:tc>
        <w:tc>
          <w:tcPr>
            <w:tcW w:w="957" w:type="dxa"/>
          </w:tcPr>
          <w:p w14:paraId="728BC509"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C1F</w:t>
            </w:r>
          </w:p>
        </w:tc>
        <w:tc>
          <w:tcPr>
            <w:tcW w:w="950" w:type="dxa"/>
          </w:tcPr>
          <w:p w14:paraId="7712E61F"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C1P</w:t>
            </w:r>
          </w:p>
        </w:tc>
        <w:tc>
          <w:tcPr>
            <w:tcW w:w="950" w:type="dxa"/>
          </w:tcPr>
          <w:p w14:paraId="2B133D35"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5</w:t>
            </w:r>
          </w:p>
        </w:tc>
        <w:tc>
          <w:tcPr>
            <w:tcW w:w="896" w:type="dxa"/>
            <w:tcBorders>
              <w:right w:val="single" w:sz="4" w:space="0" w:color="auto"/>
            </w:tcBorders>
          </w:tcPr>
          <w:p w14:paraId="1C1FDD2B"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44</w:t>
            </w:r>
          </w:p>
        </w:tc>
      </w:tr>
      <w:tr w:rsidR="000313AA" w:rsidRPr="00F56116" w14:paraId="3025E8E8" w14:textId="77777777" w:rsidTr="00E908E8">
        <w:tc>
          <w:tcPr>
            <w:tcW w:w="894" w:type="dxa"/>
            <w:tcBorders>
              <w:left w:val="single" w:sz="4" w:space="0" w:color="auto"/>
            </w:tcBorders>
          </w:tcPr>
          <w:p w14:paraId="47DE592D"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D</w:t>
            </w:r>
          </w:p>
        </w:tc>
        <w:tc>
          <w:tcPr>
            <w:tcW w:w="957" w:type="dxa"/>
          </w:tcPr>
          <w:p w14:paraId="380FE20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D5F</w:t>
            </w:r>
          </w:p>
        </w:tc>
        <w:tc>
          <w:tcPr>
            <w:tcW w:w="950" w:type="dxa"/>
          </w:tcPr>
          <w:p w14:paraId="545ECF61"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D5P</w:t>
            </w:r>
          </w:p>
        </w:tc>
        <w:tc>
          <w:tcPr>
            <w:tcW w:w="950" w:type="dxa"/>
          </w:tcPr>
          <w:p w14:paraId="544695D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w:t>
            </w:r>
          </w:p>
        </w:tc>
        <w:tc>
          <w:tcPr>
            <w:tcW w:w="896" w:type="dxa"/>
            <w:tcBorders>
              <w:right w:val="single" w:sz="4" w:space="0" w:color="auto"/>
            </w:tcBorders>
          </w:tcPr>
          <w:p w14:paraId="32EFAF54"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164</w:t>
            </w:r>
          </w:p>
        </w:tc>
      </w:tr>
      <w:tr w:rsidR="000313AA" w:rsidRPr="00F56116" w14:paraId="3B369F5F" w14:textId="77777777" w:rsidTr="00E908E8">
        <w:tc>
          <w:tcPr>
            <w:tcW w:w="894" w:type="dxa"/>
            <w:tcBorders>
              <w:left w:val="single" w:sz="4" w:space="0" w:color="auto"/>
            </w:tcBorders>
          </w:tcPr>
          <w:p w14:paraId="3964D96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F</w:t>
            </w:r>
          </w:p>
        </w:tc>
        <w:tc>
          <w:tcPr>
            <w:tcW w:w="957" w:type="dxa"/>
          </w:tcPr>
          <w:p w14:paraId="6CF45AEB"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F2F</w:t>
            </w:r>
          </w:p>
        </w:tc>
        <w:tc>
          <w:tcPr>
            <w:tcW w:w="950" w:type="dxa"/>
          </w:tcPr>
          <w:p w14:paraId="7550CCC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F2P</w:t>
            </w:r>
          </w:p>
        </w:tc>
        <w:tc>
          <w:tcPr>
            <w:tcW w:w="950" w:type="dxa"/>
          </w:tcPr>
          <w:p w14:paraId="37CDAFD0"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8</w:t>
            </w:r>
          </w:p>
        </w:tc>
        <w:tc>
          <w:tcPr>
            <w:tcW w:w="896" w:type="dxa"/>
            <w:tcBorders>
              <w:right w:val="single" w:sz="4" w:space="0" w:color="auto"/>
            </w:tcBorders>
          </w:tcPr>
          <w:p w14:paraId="68DE8238"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65</w:t>
            </w:r>
          </w:p>
        </w:tc>
      </w:tr>
      <w:tr w:rsidR="000313AA" w:rsidRPr="00F56116" w14:paraId="0D9A85B2" w14:textId="77777777" w:rsidTr="00E908E8">
        <w:tc>
          <w:tcPr>
            <w:tcW w:w="894" w:type="dxa"/>
            <w:tcBorders>
              <w:left w:val="single" w:sz="4" w:space="0" w:color="auto"/>
            </w:tcBorders>
          </w:tcPr>
          <w:p w14:paraId="398CD11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G</w:t>
            </w:r>
          </w:p>
        </w:tc>
        <w:tc>
          <w:tcPr>
            <w:tcW w:w="957" w:type="dxa"/>
          </w:tcPr>
          <w:p w14:paraId="6A3EF197"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G1F</w:t>
            </w:r>
          </w:p>
        </w:tc>
        <w:tc>
          <w:tcPr>
            <w:tcW w:w="950" w:type="dxa"/>
          </w:tcPr>
          <w:p w14:paraId="0BC7269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G1P</w:t>
            </w:r>
          </w:p>
        </w:tc>
        <w:tc>
          <w:tcPr>
            <w:tcW w:w="950" w:type="dxa"/>
          </w:tcPr>
          <w:p w14:paraId="721F540D"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8</w:t>
            </w:r>
          </w:p>
        </w:tc>
        <w:tc>
          <w:tcPr>
            <w:tcW w:w="896" w:type="dxa"/>
            <w:tcBorders>
              <w:right w:val="single" w:sz="4" w:space="0" w:color="auto"/>
            </w:tcBorders>
          </w:tcPr>
          <w:p w14:paraId="36E86C9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93</w:t>
            </w:r>
          </w:p>
        </w:tc>
      </w:tr>
      <w:tr w:rsidR="000313AA" w:rsidRPr="00F56116" w14:paraId="0B28AAA3" w14:textId="77777777" w:rsidTr="00E908E8">
        <w:tc>
          <w:tcPr>
            <w:tcW w:w="894" w:type="dxa"/>
            <w:tcBorders>
              <w:left w:val="single" w:sz="4" w:space="0" w:color="auto"/>
            </w:tcBorders>
          </w:tcPr>
          <w:p w14:paraId="7C07B0E9"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H</w:t>
            </w:r>
          </w:p>
        </w:tc>
        <w:tc>
          <w:tcPr>
            <w:tcW w:w="957" w:type="dxa"/>
          </w:tcPr>
          <w:p w14:paraId="4E1AE423"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H1F</w:t>
            </w:r>
          </w:p>
        </w:tc>
        <w:tc>
          <w:tcPr>
            <w:tcW w:w="950" w:type="dxa"/>
          </w:tcPr>
          <w:p w14:paraId="78AEF88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H1P</w:t>
            </w:r>
          </w:p>
        </w:tc>
        <w:tc>
          <w:tcPr>
            <w:tcW w:w="950" w:type="dxa"/>
          </w:tcPr>
          <w:p w14:paraId="6B81C090"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10</w:t>
            </w:r>
          </w:p>
        </w:tc>
        <w:tc>
          <w:tcPr>
            <w:tcW w:w="896" w:type="dxa"/>
            <w:tcBorders>
              <w:right w:val="single" w:sz="4" w:space="0" w:color="auto"/>
            </w:tcBorders>
          </w:tcPr>
          <w:p w14:paraId="6BC54D05"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129</w:t>
            </w:r>
          </w:p>
        </w:tc>
      </w:tr>
      <w:tr w:rsidR="000313AA" w:rsidRPr="00F56116" w14:paraId="6D904EFB" w14:textId="77777777" w:rsidTr="00E908E8">
        <w:tc>
          <w:tcPr>
            <w:tcW w:w="894" w:type="dxa"/>
            <w:tcBorders>
              <w:left w:val="single" w:sz="4" w:space="0" w:color="auto"/>
            </w:tcBorders>
          </w:tcPr>
          <w:p w14:paraId="3226DF65"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J</w:t>
            </w:r>
          </w:p>
        </w:tc>
        <w:tc>
          <w:tcPr>
            <w:tcW w:w="957" w:type="dxa"/>
          </w:tcPr>
          <w:p w14:paraId="1854F7A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J8F</w:t>
            </w:r>
          </w:p>
        </w:tc>
        <w:tc>
          <w:tcPr>
            <w:tcW w:w="950" w:type="dxa"/>
          </w:tcPr>
          <w:p w14:paraId="0EAE03A9"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J8P</w:t>
            </w:r>
          </w:p>
        </w:tc>
        <w:tc>
          <w:tcPr>
            <w:tcW w:w="950" w:type="dxa"/>
          </w:tcPr>
          <w:p w14:paraId="44CF2823"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w:t>
            </w:r>
          </w:p>
        </w:tc>
        <w:tc>
          <w:tcPr>
            <w:tcW w:w="896" w:type="dxa"/>
            <w:tcBorders>
              <w:right w:val="single" w:sz="4" w:space="0" w:color="auto"/>
            </w:tcBorders>
          </w:tcPr>
          <w:p w14:paraId="5A4393F7"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72</w:t>
            </w:r>
          </w:p>
        </w:tc>
      </w:tr>
      <w:tr w:rsidR="000313AA" w:rsidRPr="00F56116" w14:paraId="695F8757" w14:textId="77777777" w:rsidTr="00E908E8">
        <w:tc>
          <w:tcPr>
            <w:tcW w:w="894" w:type="dxa"/>
            <w:tcBorders>
              <w:left w:val="single" w:sz="4" w:space="0" w:color="auto"/>
            </w:tcBorders>
          </w:tcPr>
          <w:p w14:paraId="5432F4B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K</w:t>
            </w:r>
          </w:p>
        </w:tc>
        <w:tc>
          <w:tcPr>
            <w:tcW w:w="957" w:type="dxa"/>
          </w:tcPr>
          <w:p w14:paraId="41E3AC6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K4F</w:t>
            </w:r>
          </w:p>
        </w:tc>
        <w:tc>
          <w:tcPr>
            <w:tcW w:w="950" w:type="dxa"/>
          </w:tcPr>
          <w:p w14:paraId="56590E8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K4P</w:t>
            </w:r>
          </w:p>
        </w:tc>
        <w:tc>
          <w:tcPr>
            <w:tcW w:w="950" w:type="dxa"/>
          </w:tcPr>
          <w:p w14:paraId="318E6213"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6</w:t>
            </w:r>
          </w:p>
        </w:tc>
        <w:tc>
          <w:tcPr>
            <w:tcW w:w="896" w:type="dxa"/>
            <w:tcBorders>
              <w:right w:val="single" w:sz="4" w:space="0" w:color="auto"/>
            </w:tcBorders>
          </w:tcPr>
          <w:p w14:paraId="3E554C5E"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137</w:t>
            </w:r>
          </w:p>
        </w:tc>
      </w:tr>
      <w:tr w:rsidR="000313AA" w:rsidRPr="00F56116" w14:paraId="1F529A40" w14:textId="77777777" w:rsidTr="00E908E8">
        <w:tc>
          <w:tcPr>
            <w:tcW w:w="894" w:type="dxa"/>
            <w:tcBorders>
              <w:left w:val="single" w:sz="4" w:space="0" w:color="auto"/>
            </w:tcBorders>
          </w:tcPr>
          <w:p w14:paraId="10D8029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L</w:t>
            </w:r>
          </w:p>
        </w:tc>
        <w:tc>
          <w:tcPr>
            <w:tcW w:w="957" w:type="dxa"/>
          </w:tcPr>
          <w:p w14:paraId="49E89A4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L18F</w:t>
            </w:r>
          </w:p>
        </w:tc>
        <w:tc>
          <w:tcPr>
            <w:tcW w:w="950" w:type="dxa"/>
          </w:tcPr>
          <w:p w14:paraId="7B7432F7"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L18P</w:t>
            </w:r>
          </w:p>
        </w:tc>
        <w:tc>
          <w:tcPr>
            <w:tcW w:w="950" w:type="dxa"/>
          </w:tcPr>
          <w:p w14:paraId="33D43A5F"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w:t>
            </w:r>
          </w:p>
        </w:tc>
        <w:tc>
          <w:tcPr>
            <w:tcW w:w="896" w:type="dxa"/>
            <w:tcBorders>
              <w:right w:val="single" w:sz="4" w:space="0" w:color="auto"/>
            </w:tcBorders>
          </w:tcPr>
          <w:p w14:paraId="6FD0261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177</w:t>
            </w:r>
          </w:p>
        </w:tc>
      </w:tr>
      <w:tr w:rsidR="000313AA" w:rsidRPr="00F56116" w14:paraId="0DA0FF19" w14:textId="77777777" w:rsidTr="00E908E8">
        <w:tc>
          <w:tcPr>
            <w:tcW w:w="894" w:type="dxa"/>
            <w:tcBorders>
              <w:left w:val="single" w:sz="4" w:space="0" w:color="auto"/>
            </w:tcBorders>
          </w:tcPr>
          <w:p w14:paraId="3EF444D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M</w:t>
            </w:r>
          </w:p>
        </w:tc>
        <w:tc>
          <w:tcPr>
            <w:tcW w:w="957" w:type="dxa"/>
          </w:tcPr>
          <w:p w14:paraId="3C00EF47"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M16F</w:t>
            </w:r>
          </w:p>
        </w:tc>
        <w:tc>
          <w:tcPr>
            <w:tcW w:w="950" w:type="dxa"/>
          </w:tcPr>
          <w:p w14:paraId="0AE8391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M16P</w:t>
            </w:r>
          </w:p>
        </w:tc>
        <w:tc>
          <w:tcPr>
            <w:tcW w:w="950" w:type="dxa"/>
          </w:tcPr>
          <w:p w14:paraId="09E39123"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6</w:t>
            </w:r>
          </w:p>
        </w:tc>
        <w:tc>
          <w:tcPr>
            <w:tcW w:w="896" w:type="dxa"/>
            <w:tcBorders>
              <w:right w:val="single" w:sz="4" w:space="0" w:color="auto"/>
            </w:tcBorders>
          </w:tcPr>
          <w:p w14:paraId="7A43946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121</w:t>
            </w:r>
          </w:p>
        </w:tc>
      </w:tr>
      <w:tr w:rsidR="000313AA" w:rsidRPr="00F56116" w14:paraId="0FB03CB8" w14:textId="77777777" w:rsidTr="00E908E8">
        <w:tc>
          <w:tcPr>
            <w:tcW w:w="894" w:type="dxa"/>
            <w:tcBorders>
              <w:left w:val="single" w:sz="4" w:space="0" w:color="auto"/>
            </w:tcBorders>
          </w:tcPr>
          <w:p w14:paraId="7467273D"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O</w:t>
            </w:r>
          </w:p>
        </w:tc>
        <w:tc>
          <w:tcPr>
            <w:tcW w:w="957" w:type="dxa"/>
          </w:tcPr>
          <w:p w14:paraId="3459421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O1F</w:t>
            </w:r>
          </w:p>
        </w:tc>
        <w:tc>
          <w:tcPr>
            <w:tcW w:w="950" w:type="dxa"/>
          </w:tcPr>
          <w:p w14:paraId="5F49AB7F"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O1P</w:t>
            </w:r>
          </w:p>
        </w:tc>
        <w:tc>
          <w:tcPr>
            <w:tcW w:w="950" w:type="dxa"/>
          </w:tcPr>
          <w:p w14:paraId="28450EFD"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w:t>
            </w:r>
          </w:p>
        </w:tc>
        <w:tc>
          <w:tcPr>
            <w:tcW w:w="896" w:type="dxa"/>
            <w:tcBorders>
              <w:right w:val="single" w:sz="4" w:space="0" w:color="auto"/>
            </w:tcBorders>
          </w:tcPr>
          <w:p w14:paraId="7C5CD04E"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86</w:t>
            </w:r>
          </w:p>
        </w:tc>
      </w:tr>
      <w:tr w:rsidR="000313AA" w:rsidRPr="00F56116" w14:paraId="69A1CE40" w14:textId="77777777" w:rsidTr="00E908E8">
        <w:tc>
          <w:tcPr>
            <w:tcW w:w="894" w:type="dxa"/>
            <w:tcBorders>
              <w:left w:val="single" w:sz="4" w:space="0" w:color="auto"/>
            </w:tcBorders>
          </w:tcPr>
          <w:p w14:paraId="7716266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P</w:t>
            </w:r>
          </w:p>
        </w:tc>
        <w:tc>
          <w:tcPr>
            <w:tcW w:w="957" w:type="dxa"/>
          </w:tcPr>
          <w:p w14:paraId="27CC02CE"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P2F</w:t>
            </w:r>
          </w:p>
        </w:tc>
        <w:tc>
          <w:tcPr>
            <w:tcW w:w="950" w:type="dxa"/>
          </w:tcPr>
          <w:p w14:paraId="5894541A"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P2P</w:t>
            </w:r>
          </w:p>
        </w:tc>
        <w:tc>
          <w:tcPr>
            <w:tcW w:w="950" w:type="dxa"/>
          </w:tcPr>
          <w:p w14:paraId="4D6B5D49"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5</w:t>
            </w:r>
          </w:p>
        </w:tc>
        <w:tc>
          <w:tcPr>
            <w:tcW w:w="896" w:type="dxa"/>
            <w:tcBorders>
              <w:right w:val="single" w:sz="4" w:space="0" w:color="auto"/>
            </w:tcBorders>
          </w:tcPr>
          <w:p w14:paraId="2AE68C51"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16</w:t>
            </w:r>
          </w:p>
        </w:tc>
      </w:tr>
      <w:tr w:rsidR="000313AA" w:rsidRPr="00F56116" w14:paraId="672AC996" w14:textId="77777777" w:rsidTr="00E908E8">
        <w:tc>
          <w:tcPr>
            <w:tcW w:w="894" w:type="dxa"/>
            <w:tcBorders>
              <w:left w:val="single" w:sz="4" w:space="0" w:color="auto"/>
            </w:tcBorders>
          </w:tcPr>
          <w:p w14:paraId="7F724A62"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Q</w:t>
            </w:r>
          </w:p>
        </w:tc>
        <w:tc>
          <w:tcPr>
            <w:tcW w:w="957" w:type="dxa"/>
          </w:tcPr>
          <w:p w14:paraId="5E9C895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Q4F</w:t>
            </w:r>
          </w:p>
        </w:tc>
        <w:tc>
          <w:tcPr>
            <w:tcW w:w="950" w:type="dxa"/>
          </w:tcPr>
          <w:p w14:paraId="364D8C4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Q4P</w:t>
            </w:r>
          </w:p>
        </w:tc>
        <w:tc>
          <w:tcPr>
            <w:tcW w:w="950" w:type="dxa"/>
          </w:tcPr>
          <w:p w14:paraId="580B1FB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8</w:t>
            </w:r>
          </w:p>
        </w:tc>
        <w:tc>
          <w:tcPr>
            <w:tcW w:w="896" w:type="dxa"/>
            <w:tcBorders>
              <w:right w:val="single" w:sz="4" w:space="0" w:color="auto"/>
            </w:tcBorders>
          </w:tcPr>
          <w:p w14:paraId="3DCC717E"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72</w:t>
            </w:r>
          </w:p>
        </w:tc>
      </w:tr>
      <w:tr w:rsidR="000313AA" w:rsidRPr="00F56116" w14:paraId="1E3791FF" w14:textId="77777777" w:rsidTr="00E908E8">
        <w:tc>
          <w:tcPr>
            <w:tcW w:w="894" w:type="dxa"/>
            <w:tcBorders>
              <w:left w:val="single" w:sz="4" w:space="0" w:color="auto"/>
            </w:tcBorders>
          </w:tcPr>
          <w:p w14:paraId="6F845F0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S</w:t>
            </w:r>
          </w:p>
        </w:tc>
        <w:tc>
          <w:tcPr>
            <w:tcW w:w="957" w:type="dxa"/>
          </w:tcPr>
          <w:p w14:paraId="443E59B9"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S3F</w:t>
            </w:r>
          </w:p>
        </w:tc>
        <w:tc>
          <w:tcPr>
            <w:tcW w:w="950" w:type="dxa"/>
          </w:tcPr>
          <w:p w14:paraId="2704E174"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S3P</w:t>
            </w:r>
          </w:p>
        </w:tc>
        <w:tc>
          <w:tcPr>
            <w:tcW w:w="950" w:type="dxa"/>
          </w:tcPr>
          <w:p w14:paraId="0149F16B"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13</w:t>
            </w:r>
          </w:p>
        </w:tc>
        <w:tc>
          <w:tcPr>
            <w:tcW w:w="896" w:type="dxa"/>
            <w:tcBorders>
              <w:right w:val="single" w:sz="4" w:space="0" w:color="auto"/>
            </w:tcBorders>
          </w:tcPr>
          <w:p w14:paraId="0CBF33EC"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17</w:t>
            </w:r>
          </w:p>
        </w:tc>
      </w:tr>
      <w:tr w:rsidR="000313AA" w:rsidRPr="00F56116" w14:paraId="037842AC" w14:textId="77777777" w:rsidTr="00E908E8">
        <w:tc>
          <w:tcPr>
            <w:tcW w:w="894" w:type="dxa"/>
            <w:tcBorders>
              <w:left w:val="single" w:sz="4" w:space="0" w:color="auto"/>
              <w:bottom w:val="single" w:sz="4" w:space="0" w:color="auto"/>
            </w:tcBorders>
          </w:tcPr>
          <w:p w14:paraId="54E89786"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T</w:t>
            </w:r>
          </w:p>
        </w:tc>
        <w:tc>
          <w:tcPr>
            <w:tcW w:w="957" w:type="dxa"/>
            <w:tcBorders>
              <w:bottom w:val="single" w:sz="4" w:space="0" w:color="auto"/>
            </w:tcBorders>
          </w:tcPr>
          <w:p w14:paraId="7A09D47E"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T1F</w:t>
            </w:r>
          </w:p>
        </w:tc>
        <w:tc>
          <w:tcPr>
            <w:tcW w:w="950" w:type="dxa"/>
            <w:tcBorders>
              <w:bottom w:val="single" w:sz="4" w:space="0" w:color="auto"/>
            </w:tcBorders>
          </w:tcPr>
          <w:p w14:paraId="6629E201"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T1P</w:t>
            </w:r>
          </w:p>
        </w:tc>
        <w:tc>
          <w:tcPr>
            <w:tcW w:w="950" w:type="dxa"/>
            <w:tcBorders>
              <w:bottom w:val="single" w:sz="4" w:space="0" w:color="auto"/>
            </w:tcBorders>
          </w:tcPr>
          <w:p w14:paraId="6FD0207E"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9</w:t>
            </w:r>
          </w:p>
        </w:tc>
        <w:tc>
          <w:tcPr>
            <w:tcW w:w="896" w:type="dxa"/>
            <w:tcBorders>
              <w:bottom w:val="single" w:sz="4" w:space="0" w:color="auto"/>
              <w:right w:val="single" w:sz="4" w:space="0" w:color="auto"/>
            </w:tcBorders>
          </w:tcPr>
          <w:p w14:paraId="1E7B83B4" w14:textId="77777777" w:rsidR="000313AA" w:rsidRPr="00F56116" w:rsidRDefault="000313AA" w:rsidP="00E908E8">
            <w:pPr>
              <w:spacing w:after="120" w:line="480" w:lineRule="auto"/>
              <w:jc w:val="both"/>
              <w:rPr>
                <w:rFonts w:ascii="Calibri" w:hAnsi="Calibri" w:cs="Calibri"/>
                <w:sz w:val="20"/>
                <w:szCs w:val="20"/>
              </w:rPr>
            </w:pPr>
            <w:r w:rsidRPr="00F56116">
              <w:rPr>
                <w:rFonts w:ascii="Calibri" w:hAnsi="Calibri" w:cs="Calibri"/>
                <w:sz w:val="20"/>
                <w:szCs w:val="20"/>
              </w:rPr>
              <w:t>76</w:t>
            </w:r>
          </w:p>
        </w:tc>
      </w:tr>
    </w:tbl>
    <w:p w14:paraId="6D981DED" w14:textId="52EF27EE" w:rsidR="000313AA" w:rsidRPr="00F56116" w:rsidRDefault="000313AA" w:rsidP="000313AA">
      <w:pPr>
        <w:rPr>
          <w:rFonts w:ascii="Calibri" w:hAnsi="Calibri" w:cs="Calibri"/>
        </w:rPr>
      </w:pPr>
    </w:p>
    <w:p w14:paraId="6DF6AF68" w14:textId="77777777" w:rsidR="00E632E6" w:rsidRDefault="00E632E6">
      <w:pPr>
        <w:spacing w:line="278" w:lineRule="auto"/>
        <w:rPr>
          <w:rFonts w:ascii="Calibri" w:hAnsi="Calibri" w:cs="Calibri"/>
          <w:b/>
          <w:bCs/>
        </w:rPr>
      </w:pPr>
      <w:r>
        <w:rPr>
          <w:rFonts w:ascii="Calibri" w:hAnsi="Calibri" w:cs="Calibri"/>
          <w:b/>
          <w:bCs/>
        </w:rPr>
        <w:br w:type="page"/>
      </w:r>
    </w:p>
    <w:p w14:paraId="7FC0FBB0" w14:textId="53794270" w:rsidR="000313AA" w:rsidRPr="00F56116" w:rsidRDefault="000313AA" w:rsidP="000313AA">
      <w:pPr>
        <w:spacing w:after="120" w:line="480" w:lineRule="auto"/>
        <w:jc w:val="both"/>
        <w:rPr>
          <w:rFonts w:ascii="Calibri" w:hAnsi="Calibri" w:cs="Calibri"/>
        </w:rPr>
      </w:pPr>
      <w:r w:rsidRPr="00F56116">
        <w:rPr>
          <w:rFonts w:ascii="Calibri" w:hAnsi="Calibri" w:cs="Calibri"/>
          <w:b/>
          <w:bCs/>
        </w:rPr>
        <w:lastRenderedPageBreak/>
        <w:t xml:space="preserve">Table S2 </w:t>
      </w:r>
      <w:r w:rsidR="00E632E6">
        <w:rPr>
          <w:rFonts w:ascii="Calibri" w:hAnsi="Calibri" w:cs="Calibri"/>
        </w:rPr>
        <w:t>O</w:t>
      </w:r>
      <w:r w:rsidRPr="00F56116">
        <w:rPr>
          <w:rFonts w:ascii="Calibri" w:hAnsi="Calibri" w:cs="Calibri"/>
        </w:rPr>
        <w:t>verview of all GO terms found for all annotated genes in the proteome</w:t>
      </w:r>
    </w:p>
    <w:tbl>
      <w:tblPr>
        <w:tblStyle w:val="Tabelraster"/>
        <w:tblW w:w="11259" w:type="dxa"/>
        <w:tblInd w:w="-1281" w:type="dxa"/>
        <w:tblLook w:val="04A0" w:firstRow="1" w:lastRow="0" w:firstColumn="1" w:lastColumn="0" w:noHBand="0" w:noVBand="1"/>
      </w:tblPr>
      <w:tblGrid>
        <w:gridCol w:w="1418"/>
        <w:gridCol w:w="3119"/>
        <w:gridCol w:w="1477"/>
        <w:gridCol w:w="1230"/>
        <w:gridCol w:w="1102"/>
        <w:gridCol w:w="1102"/>
        <w:gridCol w:w="1811"/>
      </w:tblGrid>
      <w:tr w:rsidR="000313AA" w:rsidRPr="00F56116" w14:paraId="3A3FE784" w14:textId="77777777" w:rsidTr="00E632E6">
        <w:trPr>
          <w:trHeight w:val="288"/>
        </w:trPr>
        <w:tc>
          <w:tcPr>
            <w:tcW w:w="1418" w:type="dxa"/>
            <w:noWrap/>
            <w:hideMark/>
          </w:tcPr>
          <w:p w14:paraId="2984930A"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GO ID</w:t>
            </w:r>
          </w:p>
        </w:tc>
        <w:tc>
          <w:tcPr>
            <w:tcW w:w="3119" w:type="dxa"/>
            <w:noWrap/>
            <w:hideMark/>
          </w:tcPr>
          <w:p w14:paraId="5E09A319"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Term</w:t>
            </w:r>
          </w:p>
        </w:tc>
        <w:tc>
          <w:tcPr>
            <w:tcW w:w="1477" w:type="dxa"/>
            <w:noWrap/>
            <w:hideMark/>
          </w:tcPr>
          <w:p w14:paraId="32C2E653" w14:textId="77777777" w:rsidR="000313AA" w:rsidRPr="00E632E6" w:rsidRDefault="000313AA" w:rsidP="00E632E6">
            <w:pPr>
              <w:jc w:val="cente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Annotated</w:t>
            </w:r>
          </w:p>
        </w:tc>
        <w:tc>
          <w:tcPr>
            <w:tcW w:w="1230" w:type="dxa"/>
            <w:noWrap/>
            <w:hideMark/>
          </w:tcPr>
          <w:p w14:paraId="7A0ADBBC" w14:textId="77777777" w:rsidR="000313AA" w:rsidRPr="00E632E6" w:rsidRDefault="000313AA" w:rsidP="00E632E6">
            <w:pPr>
              <w:jc w:val="cente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Significant</w:t>
            </w:r>
          </w:p>
        </w:tc>
        <w:tc>
          <w:tcPr>
            <w:tcW w:w="1102" w:type="dxa"/>
            <w:noWrap/>
            <w:hideMark/>
          </w:tcPr>
          <w:p w14:paraId="0D9CB67B" w14:textId="77777777" w:rsidR="000313AA" w:rsidRPr="00E632E6" w:rsidRDefault="000313AA" w:rsidP="00E632E6">
            <w:pPr>
              <w:jc w:val="cente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Expected</w:t>
            </w:r>
          </w:p>
        </w:tc>
        <w:tc>
          <w:tcPr>
            <w:tcW w:w="1102" w:type="dxa"/>
            <w:noWrap/>
            <w:hideMark/>
          </w:tcPr>
          <w:p w14:paraId="501157D6" w14:textId="77777777" w:rsidR="000313AA" w:rsidRPr="00E632E6" w:rsidRDefault="000313AA" w:rsidP="00E632E6">
            <w:pPr>
              <w:jc w:val="cente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Fisher</w:t>
            </w:r>
          </w:p>
        </w:tc>
        <w:tc>
          <w:tcPr>
            <w:tcW w:w="1811" w:type="dxa"/>
            <w:noWrap/>
            <w:hideMark/>
          </w:tcPr>
          <w:p w14:paraId="44638DB3" w14:textId="77777777" w:rsidR="000313AA" w:rsidRPr="00E632E6" w:rsidRDefault="000313AA" w:rsidP="00E632E6">
            <w:pPr>
              <w:jc w:val="cente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Gene name</w:t>
            </w:r>
          </w:p>
        </w:tc>
      </w:tr>
      <w:tr w:rsidR="000313AA" w:rsidRPr="00F56116" w14:paraId="5E576498" w14:textId="77777777" w:rsidTr="00E632E6">
        <w:trPr>
          <w:trHeight w:val="288"/>
        </w:trPr>
        <w:tc>
          <w:tcPr>
            <w:tcW w:w="1418" w:type="dxa"/>
            <w:noWrap/>
            <w:hideMark/>
          </w:tcPr>
          <w:p w14:paraId="40A1847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GO:0014878</w:t>
            </w:r>
          </w:p>
        </w:tc>
        <w:tc>
          <w:tcPr>
            <w:tcW w:w="3119" w:type="dxa"/>
            <w:noWrap/>
            <w:hideMark/>
          </w:tcPr>
          <w:p w14:paraId="0F6407C7"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response to electrical stimulus involved in regulation of muscle adaptation</w:t>
            </w:r>
          </w:p>
        </w:tc>
        <w:tc>
          <w:tcPr>
            <w:tcW w:w="1477" w:type="dxa"/>
            <w:noWrap/>
            <w:hideMark/>
          </w:tcPr>
          <w:p w14:paraId="0B8B0D6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230" w:type="dxa"/>
            <w:noWrap/>
            <w:hideMark/>
          </w:tcPr>
          <w:p w14:paraId="708DCD0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0B008B7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0.06</w:t>
            </w:r>
          </w:p>
        </w:tc>
        <w:tc>
          <w:tcPr>
            <w:tcW w:w="1102" w:type="dxa"/>
            <w:noWrap/>
            <w:hideMark/>
          </w:tcPr>
          <w:p w14:paraId="2EF35E5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0.0013</w:t>
            </w:r>
          </w:p>
        </w:tc>
        <w:tc>
          <w:tcPr>
            <w:tcW w:w="1811" w:type="dxa"/>
            <w:noWrap/>
            <w:hideMark/>
          </w:tcPr>
          <w:p w14:paraId="497666E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Superoxide dismutase</w:t>
            </w:r>
          </w:p>
        </w:tc>
      </w:tr>
      <w:tr w:rsidR="000313AA" w:rsidRPr="00F56116" w14:paraId="598BECEE" w14:textId="77777777" w:rsidTr="00E632E6">
        <w:trPr>
          <w:trHeight w:val="288"/>
        </w:trPr>
        <w:tc>
          <w:tcPr>
            <w:tcW w:w="1418" w:type="dxa"/>
            <w:noWrap/>
            <w:hideMark/>
          </w:tcPr>
          <w:p w14:paraId="59BAF48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GO:0070262</w:t>
            </w:r>
          </w:p>
        </w:tc>
        <w:tc>
          <w:tcPr>
            <w:tcW w:w="3119" w:type="dxa"/>
            <w:noWrap/>
            <w:hideMark/>
          </w:tcPr>
          <w:p w14:paraId="7443F30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peptidyl-serine dephosphorylation</w:t>
            </w:r>
          </w:p>
        </w:tc>
        <w:tc>
          <w:tcPr>
            <w:tcW w:w="1477" w:type="dxa"/>
            <w:noWrap/>
            <w:hideMark/>
          </w:tcPr>
          <w:p w14:paraId="6DCF236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230" w:type="dxa"/>
            <w:noWrap/>
            <w:hideMark/>
          </w:tcPr>
          <w:p w14:paraId="3E8E8BA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7D8F452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0.15</w:t>
            </w:r>
          </w:p>
        </w:tc>
        <w:tc>
          <w:tcPr>
            <w:tcW w:w="1102" w:type="dxa"/>
            <w:noWrap/>
            <w:hideMark/>
          </w:tcPr>
          <w:p w14:paraId="7C5DB73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0.0089</w:t>
            </w:r>
          </w:p>
        </w:tc>
        <w:tc>
          <w:tcPr>
            <w:tcW w:w="1811" w:type="dxa"/>
            <w:noWrap/>
            <w:hideMark/>
          </w:tcPr>
          <w:p w14:paraId="3249F01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Superoxide dismutase</w:t>
            </w:r>
          </w:p>
        </w:tc>
      </w:tr>
      <w:tr w:rsidR="000313AA" w:rsidRPr="00F56116" w14:paraId="0DBCC26D" w14:textId="77777777" w:rsidTr="00E632E6">
        <w:trPr>
          <w:trHeight w:val="288"/>
        </w:trPr>
        <w:tc>
          <w:tcPr>
            <w:tcW w:w="1418" w:type="dxa"/>
            <w:noWrap/>
            <w:hideMark/>
          </w:tcPr>
          <w:p w14:paraId="680D531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GO:0007099</w:t>
            </w:r>
          </w:p>
        </w:tc>
        <w:tc>
          <w:tcPr>
            <w:tcW w:w="3119" w:type="dxa"/>
            <w:noWrap/>
            <w:hideMark/>
          </w:tcPr>
          <w:p w14:paraId="623A1B2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centriole replication</w:t>
            </w:r>
          </w:p>
        </w:tc>
        <w:tc>
          <w:tcPr>
            <w:tcW w:w="1477" w:type="dxa"/>
            <w:noWrap/>
            <w:hideMark/>
          </w:tcPr>
          <w:p w14:paraId="6A31B4E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18</w:t>
            </w:r>
          </w:p>
        </w:tc>
        <w:tc>
          <w:tcPr>
            <w:tcW w:w="1230" w:type="dxa"/>
            <w:noWrap/>
            <w:hideMark/>
          </w:tcPr>
          <w:p w14:paraId="0FF5480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02" w:type="dxa"/>
            <w:noWrap/>
            <w:hideMark/>
          </w:tcPr>
          <w:p w14:paraId="4FD7F22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0.39</w:t>
            </w:r>
          </w:p>
        </w:tc>
        <w:tc>
          <w:tcPr>
            <w:tcW w:w="1102" w:type="dxa"/>
            <w:noWrap/>
            <w:hideMark/>
          </w:tcPr>
          <w:p w14:paraId="2A72A1C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0.0061</w:t>
            </w:r>
          </w:p>
        </w:tc>
        <w:tc>
          <w:tcPr>
            <w:tcW w:w="1811" w:type="dxa"/>
            <w:noWrap/>
            <w:hideMark/>
          </w:tcPr>
          <w:p w14:paraId="0AB6468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Superoxide dismutase</w:t>
            </w:r>
          </w:p>
        </w:tc>
      </w:tr>
      <w:tr w:rsidR="000313AA" w:rsidRPr="00F56116" w14:paraId="3252F91E" w14:textId="77777777" w:rsidTr="00E632E6">
        <w:trPr>
          <w:trHeight w:val="288"/>
        </w:trPr>
        <w:tc>
          <w:tcPr>
            <w:tcW w:w="1418" w:type="dxa"/>
            <w:noWrap/>
            <w:hideMark/>
          </w:tcPr>
          <w:p w14:paraId="1D7B7C1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GO:0046718</w:t>
            </w:r>
          </w:p>
        </w:tc>
        <w:tc>
          <w:tcPr>
            <w:tcW w:w="3119" w:type="dxa"/>
            <w:noWrap/>
            <w:hideMark/>
          </w:tcPr>
          <w:p w14:paraId="2554ED9A"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viral entry into host cell</w:t>
            </w:r>
          </w:p>
        </w:tc>
        <w:tc>
          <w:tcPr>
            <w:tcW w:w="1477" w:type="dxa"/>
            <w:noWrap/>
            <w:hideMark/>
          </w:tcPr>
          <w:p w14:paraId="462C05F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18</w:t>
            </w:r>
          </w:p>
        </w:tc>
        <w:tc>
          <w:tcPr>
            <w:tcW w:w="1230" w:type="dxa"/>
            <w:noWrap/>
            <w:hideMark/>
          </w:tcPr>
          <w:p w14:paraId="21ED801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02" w:type="dxa"/>
            <w:noWrap/>
            <w:hideMark/>
          </w:tcPr>
          <w:p w14:paraId="2F58B8E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0.39</w:t>
            </w:r>
          </w:p>
        </w:tc>
        <w:tc>
          <w:tcPr>
            <w:tcW w:w="1102" w:type="dxa"/>
            <w:noWrap/>
            <w:hideMark/>
          </w:tcPr>
          <w:p w14:paraId="79B9F34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0.0061</w:t>
            </w:r>
          </w:p>
        </w:tc>
        <w:tc>
          <w:tcPr>
            <w:tcW w:w="1811" w:type="dxa"/>
            <w:noWrap/>
            <w:hideMark/>
          </w:tcPr>
          <w:p w14:paraId="6DB776B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Superoxide dismutase</w:t>
            </w:r>
          </w:p>
        </w:tc>
      </w:tr>
      <w:tr w:rsidR="000313AA" w:rsidRPr="00F56116" w14:paraId="02858A7F" w14:textId="77777777" w:rsidTr="00E632E6">
        <w:trPr>
          <w:trHeight w:val="288"/>
        </w:trPr>
        <w:tc>
          <w:tcPr>
            <w:tcW w:w="1418" w:type="dxa"/>
            <w:noWrap/>
            <w:hideMark/>
          </w:tcPr>
          <w:p w14:paraId="342BC04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GO:0098655</w:t>
            </w:r>
          </w:p>
        </w:tc>
        <w:tc>
          <w:tcPr>
            <w:tcW w:w="3119" w:type="dxa"/>
            <w:noWrap/>
            <w:hideMark/>
          </w:tcPr>
          <w:p w14:paraId="0D7B349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cation transmembrane transport</w:t>
            </w:r>
          </w:p>
        </w:tc>
        <w:tc>
          <w:tcPr>
            <w:tcW w:w="1477" w:type="dxa"/>
            <w:noWrap/>
            <w:hideMark/>
          </w:tcPr>
          <w:p w14:paraId="4A9E2AF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200</w:t>
            </w:r>
          </w:p>
        </w:tc>
        <w:tc>
          <w:tcPr>
            <w:tcW w:w="1230" w:type="dxa"/>
            <w:noWrap/>
            <w:hideMark/>
          </w:tcPr>
          <w:p w14:paraId="30E283C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10</w:t>
            </w:r>
          </w:p>
        </w:tc>
        <w:tc>
          <w:tcPr>
            <w:tcW w:w="1102" w:type="dxa"/>
            <w:noWrap/>
            <w:hideMark/>
          </w:tcPr>
          <w:p w14:paraId="7CE6E29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4.29</w:t>
            </w:r>
          </w:p>
        </w:tc>
        <w:tc>
          <w:tcPr>
            <w:tcW w:w="1102" w:type="dxa"/>
            <w:noWrap/>
            <w:hideMark/>
          </w:tcPr>
          <w:p w14:paraId="408F2DD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0.0054</w:t>
            </w:r>
          </w:p>
        </w:tc>
        <w:tc>
          <w:tcPr>
            <w:tcW w:w="1811" w:type="dxa"/>
            <w:noWrap/>
            <w:hideMark/>
          </w:tcPr>
          <w:p w14:paraId="4FDD940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Superoxide dismutase</w:t>
            </w:r>
          </w:p>
        </w:tc>
      </w:tr>
      <w:tr w:rsidR="000313AA" w:rsidRPr="00F56116" w14:paraId="05549584" w14:textId="77777777" w:rsidTr="00E632E6">
        <w:trPr>
          <w:trHeight w:val="288"/>
        </w:trPr>
        <w:tc>
          <w:tcPr>
            <w:tcW w:w="1418" w:type="dxa"/>
            <w:noWrap/>
            <w:hideMark/>
          </w:tcPr>
          <w:p w14:paraId="581EE07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GO:0045956</w:t>
            </w:r>
          </w:p>
        </w:tc>
        <w:tc>
          <w:tcPr>
            <w:tcW w:w="3119" w:type="dxa"/>
            <w:noWrap/>
            <w:hideMark/>
          </w:tcPr>
          <w:p w14:paraId="3395DCCC"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calcium ion-dependent exocytosis</w:t>
            </w:r>
          </w:p>
        </w:tc>
        <w:tc>
          <w:tcPr>
            <w:tcW w:w="1477" w:type="dxa"/>
            <w:noWrap/>
            <w:hideMark/>
          </w:tcPr>
          <w:p w14:paraId="174444F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230" w:type="dxa"/>
            <w:noWrap/>
            <w:hideMark/>
          </w:tcPr>
          <w:p w14:paraId="311797A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71225B5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0.08</w:t>
            </w:r>
          </w:p>
        </w:tc>
        <w:tc>
          <w:tcPr>
            <w:tcW w:w="1102" w:type="dxa"/>
            <w:noWrap/>
            <w:hideMark/>
          </w:tcPr>
          <w:p w14:paraId="4E16880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0.0023</w:t>
            </w:r>
          </w:p>
        </w:tc>
        <w:tc>
          <w:tcPr>
            <w:tcW w:w="1811" w:type="dxa"/>
            <w:noWrap/>
            <w:hideMark/>
          </w:tcPr>
          <w:p w14:paraId="516E08C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Disulfide isomerase</w:t>
            </w:r>
          </w:p>
        </w:tc>
      </w:tr>
      <w:tr w:rsidR="000313AA" w:rsidRPr="00F56116" w14:paraId="50E90959" w14:textId="77777777" w:rsidTr="00E632E6">
        <w:trPr>
          <w:trHeight w:val="288"/>
        </w:trPr>
        <w:tc>
          <w:tcPr>
            <w:tcW w:w="1418" w:type="dxa"/>
            <w:noWrap/>
            <w:hideMark/>
          </w:tcPr>
          <w:p w14:paraId="18F891C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GO:0007187</w:t>
            </w:r>
          </w:p>
        </w:tc>
        <w:tc>
          <w:tcPr>
            <w:tcW w:w="3119" w:type="dxa"/>
            <w:noWrap/>
            <w:hideMark/>
          </w:tcPr>
          <w:p w14:paraId="12FDCC00"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 xml:space="preserve">G protein-coupled receptor </w:t>
            </w:r>
            <w:proofErr w:type="spellStart"/>
            <w:r w:rsidRPr="00F56116">
              <w:rPr>
                <w:rFonts w:ascii="Calibri" w:eastAsia="Times New Roman" w:hAnsi="Calibri" w:cs="Calibri"/>
                <w:color w:val="000000"/>
                <w:lang w:eastAsia="nl-NL"/>
              </w:rPr>
              <w:t>signaling</w:t>
            </w:r>
            <w:proofErr w:type="spellEnd"/>
            <w:r w:rsidRPr="00F56116">
              <w:rPr>
                <w:rFonts w:ascii="Calibri" w:eastAsia="Times New Roman" w:hAnsi="Calibri" w:cs="Calibri"/>
                <w:color w:val="000000"/>
                <w:lang w:eastAsia="nl-NL"/>
              </w:rPr>
              <w:t xml:space="preserve"> pathway, coupled to cyclic nucleotide second messenger</w:t>
            </w:r>
          </w:p>
        </w:tc>
        <w:tc>
          <w:tcPr>
            <w:tcW w:w="1477" w:type="dxa"/>
            <w:noWrap/>
            <w:hideMark/>
          </w:tcPr>
          <w:p w14:paraId="2D87D8C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32</w:t>
            </w:r>
          </w:p>
        </w:tc>
        <w:tc>
          <w:tcPr>
            <w:tcW w:w="1230" w:type="dxa"/>
            <w:noWrap/>
            <w:hideMark/>
          </w:tcPr>
          <w:p w14:paraId="4F93BCF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02" w:type="dxa"/>
            <w:noWrap/>
            <w:hideMark/>
          </w:tcPr>
          <w:p w14:paraId="71C4D01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0.35</w:t>
            </w:r>
          </w:p>
        </w:tc>
        <w:tc>
          <w:tcPr>
            <w:tcW w:w="1102" w:type="dxa"/>
            <w:noWrap/>
            <w:hideMark/>
          </w:tcPr>
          <w:p w14:paraId="2670722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811" w:type="dxa"/>
            <w:noWrap/>
            <w:hideMark/>
          </w:tcPr>
          <w:p w14:paraId="42D7190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Disulfide isomerase</w:t>
            </w:r>
          </w:p>
        </w:tc>
      </w:tr>
      <w:tr w:rsidR="000313AA" w:rsidRPr="00F56116" w14:paraId="3292C6A3" w14:textId="77777777" w:rsidTr="00E632E6">
        <w:trPr>
          <w:trHeight w:val="288"/>
        </w:trPr>
        <w:tc>
          <w:tcPr>
            <w:tcW w:w="1418" w:type="dxa"/>
            <w:noWrap/>
            <w:hideMark/>
          </w:tcPr>
          <w:p w14:paraId="17187E5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GO:0007618</w:t>
            </w:r>
          </w:p>
        </w:tc>
        <w:tc>
          <w:tcPr>
            <w:tcW w:w="3119" w:type="dxa"/>
            <w:noWrap/>
            <w:hideMark/>
          </w:tcPr>
          <w:p w14:paraId="21B29AE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mating</w:t>
            </w:r>
          </w:p>
        </w:tc>
        <w:tc>
          <w:tcPr>
            <w:tcW w:w="1477" w:type="dxa"/>
            <w:noWrap/>
            <w:hideMark/>
          </w:tcPr>
          <w:p w14:paraId="5BEC7F1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69</w:t>
            </w:r>
          </w:p>
        </w:tc>
        <w:tc>
          <w:tcPr>
            <w:tcW w:w="1230" w:type="dxa"/>
            <w:noWrap/>
            <w:hideMark/>
          </w:tcPr>
          <w:p w14:paraId="1AD41E3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02" w:type="dxa"/>
            <w:noWrap/>
            <w:hideMark/>
          </w:tcPr>
          <w:p w14:paraId="56974EA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0.75</w:t>
            </w:r>
          </w:p>
        </w:tc>
        <w:tc>
          <w:tcPr>
            <w:tcW w:w="1102" w:type="dxa"/>
            <w:noWrap/>
            <w:hideMark/>
          </w:tcPr>
          <w:p w14:paraId="05B0A15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0.0062</w:t>
            </w:r>
          </w:p>
        </w:tc>
        <w:tc>
          <w:tcPr>
            <w:tcW w:w="1811" w:type="dxa"/>
            <w:noWrap/>
            <w:hideMark/>
          </w:tcPr>
          <w:p w14:paraId="6429CC6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Disulfide isomerase</w:t>
            </w:r>
          </w:p>
        </w:tc>
      </w:tr>
      <w:tr w:rsidR="000313AA" w:rsidRPr="00F56116" w14:paraId="53E6D0EE" w14:textId="77777777" w:rsidTr="00E632E6">
        <w:trPr>
          <w:trHeight w:val="288"/>
        </w:trPr>
        <w:tc>
          <w:tcPr>
            <w:tcW w:w="1418" w:type="dxa"/>
            <w:noWrap/>
            <w:hideMark/>
          </w:tcPr>
          <w:p w14:paraId="43DB186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GO:0015705</w:t>
            </w:r>
          </w:p>
        </w:tc>
        <w:tc>
          <w:tcPr>
            <w:tcW w:w="3119" w:type="dxa"/>
            <w:noWrap/>
            <w:hideMark/>
          </w:tcPr>
          <w:p w14:paraId="47451D2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iodide transport</w:t>
            </w:r>
          </w:p>
        </w:tc>
        <w:tc>
          <w:tcPr>
            <w:tcW w:w="1477" w:type="dxa"/>
            <w:noWrap/>
            <w:hideMark/>
          </w:tcPr>
          <w:p w14:paraId="417C88A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230" w:type="dxa"/>
            <w:noWrap/>
            <w:hideMark/>
          </w:tcPr>
          <w:p w14:paraId="6192876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4D61E22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0.08</w:t>
            </w:r>
          </w:p>
        </w:tc>
        <w:tc>
          <w:tcPr>
            <w:tcW w:w="1102" w:type="dxa"/>
            <w:noWrap/>
            <w:hideMark/>
          </w:tcPr>
          <w:p w14:paraId="3F2E84B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0.0017</w:t>
            </w:r>
          </w:p>
        </w:tc>
        <w:tc>
          <w:tcPr>
            <w:tcW w:w="1811" w:type="dxa"/>
            <w:noWrap/>
            <w:hideMark/>
          </w:tcPr>
          <w:p w14:paraId="76A5DB9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59CD3FA4" w14:textId="77777777" w:rsidTr="00E632E6">
        <w:trPr>
          <w:trHeight w:val="288"/>
        </w:trPr>
        <w:tc>
          <w:tcPr>
            <w:tcW w:w="1418" w:type="dxa"/>
            <w:noWrap/>
            <w:hideMark/>
          </w:tcPr>
          <w:p w14:paraId="58EA0B9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GO:0014878</w:t>
            </w:r>
          </w:p>
        </w:tc>
        <w:tc>
          <w:tcPr>
            <w:tcW w:w="3119" w:type="dxa"/>
            <w:noWrap/>
            <w:hideMark/>
          </w:tcPr>
          <w:p w14:paraId="25CC2EA6"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response to electrical stimulus involved in regulation of muscle adaptation</w:t>
            </w:r>
          </w:p>
        </w:tc>
        <w:tc>
          <w:tcPr>
            <w:tcW w:w="1477" w:type="dxa"/>
            <w:noWrap/>
            <w:hideMark/>
          </w:tcPr>
          <w:p w14:paraId="25265B0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230" w:type="dxa"/>
            <w:noWrap/>
            <w:hideMark/>
          </w:tcPr>
          <w:p w14:paraId="4B7E719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4CD845C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0.13</w:t>
            </w:r>
          </w:p>
        </w:tc>
        <w:tc>
          <w:tcPr>
            <w:tcW w:w="1102" w:type="dxa"/>
            <w:noWrap/>
            <w:hideMark/>
          </w:tcPr>
          <w:p w14:paraId="1FF8FB2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0.0051</w:t>
            </w:r>
          </w:p>
        </w:tc>
        <w:tc>
          <w:tcPr>
            <w:tcW w:w="1811" w:type="dxa"/>
            <w:noWrap/>
            <w:hideMark/>
          </w:tcPr>
          <w:p w14:paraId="2DC781D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3083BEA0" w14:textId="77777777" w:rsidTr="00E632E6">
        <w:trPr>
          <w:trHeight w:val="288"/>
        </w:trPr>
        <w:tc>
          <w:tcPr>
            <w:tcW w:w="1418" w:type="dxa"/>
            <w:noWrap/>
            <w:hideMark/>
          </w:tcPr>
          <w:p w14:paraId="320F604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GO:0015866</w:t>
            </w:r>
          </w:p>
        </w:tc>
        <w:tc>
          <w:tcPr>
            <w:tcW w:w="3119" w:type="dxa"/>
            <w:noWrap/>
            <w:hideMark/>
          </w:tcPr>
          <w:p w14:paraId="12EE4F2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ADP transport</w:t>
            </w:r>
          </w:p>
        </w:tc>
        <w:tc>
          <w:tcPr>
            <w:tcW w:w="1477" w:type="dxa"/>
            <w:noWrap/>
            <w:hideMark/>
          </w:tcPr>
          <w:p w14:paraId="5B5E60B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230" w:type="dxa"/>
            <w:noWrap/>
            <w:hideMark/>
          </w:tcPr>
          <w:p w14:paraId="4EB0D0A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70425D4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0.13</w:t>
            </w:r>
          </w:p>
        </w:tc>
        <w:tc>
          <w:tcPr>
            <w:tcW w:w="1102" w:type="dxa"/>
            <w:noWrap/>
            <w:hideMark/>
          </w:tcPr>
          <w:p w14:paraId="3D01643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0.0051</w:t>
            </w:r>
          </w:p>
        </w:tc>
        <w:tc>
          <w:tcPr>
            <w:tcW w:w="1811" w:type="dxa"/>
            <w:noWrap/>
            <w:hideMark/>
          </w:tcPr>
          <w:p w14:paraId="796EF39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1EBCBB66" w14:textId="77777777" w:rsidTr="00E632E6">
        <w:trPr>
          <w:trHeight w:val="288"/>
        </w:trPr>
        <w:tc>
          <w:tcPr>
            <w:tcW w:w="1418" w:type="dxa"/>
            <w:noWrap/>
            <w:hideMark/>
          </w:tcPr>
          <w:p w14:paraId="4934C0C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GO:0015867</w:t>
            </w:r>
          </w:p>
        </w:tc>
        <w:tc>
          <w:tcPr>
            <w:tcW w:w="3119" w:type="dxa"/>
            <w:noWrap/>
            <w:hideMark/>
          </w:tcPr>
          <w:p w14:paraId="07D4D5D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ATP transport</w:t>
            </w:r>
          </w:p>
        </w:tc>
        <w:tc>
          <w:tcPr>
            <w:tcW w:w="1477" w:type="dxa"/>
            <w:noWrap/>
            <w:hideMark/>
          </w:tcPr>
          <w:p w14:paraId="0B1D0F8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230" w:type="dxa"/>
            <w:noWrap/>
            <w:hideMark/>
          </w:tcPr>
          <w:p w14:paraId="74EA314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5771F65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0.13</w:t>
            </w:r>
          </w:p>
        </w:tc>
        <w:tc>
          <w:tcPr>
            <w:tcW w:w="1102" w:type="dxa"/>
            <w:noWrap/>
            <w:hideMark/>
          </w:tcPr>
          <w:p w14:paraId="4A05522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0.0051</w:t>
            </w:r>
          </w:p>
        </w:tc>
        <w:tc>
          <w:tcPr>
            <w:tcW w:w="1811" w:type="dxa"/>
            <w:noWrap/>
            <w:hideMark/>
          </w:tcPr>
          <w:p w14:paraId="492EAD5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7E4DC6D1" w14:textId="77777777" w:rsidTr="00E632E6">
        <w:trPr>
          <w:trHeight w:val="288"/>
        </w:trPr>
        <w:tc>
          <w:tcPr>
            <w:tcW w:w="1418" w:type="dxa"/>
            <w:noWrap/>
            <w:hideMark/>
          </w:tcPr>
          <w:p w14:paraId="496DF4E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GO:0001178</w:t>
            </w:r>
          </w:p>
        </w:tc>
        <w:tc>
          <w:tcPr>
            <w:tcW w:w="3119" w:type="dxa"/>
            <w:noWrap/>
            <w:hideMark/>
          </w:tcPr>
          <w:p w14:paraId="1A58E1EA"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regulation of transcriptional start site selection at RNA polymerase II promoter</w:t>
            </w:r>
          </w:p>
        </w:tc>
        <w:tc>
          <w:tcPr>
            <w:tcW w:w="1477" w:type="dxa"/>
            <w:noWrap/>
            <w:hideMark/>
          </w:tcPr>
          <w:p w14:paraId="5EDF96F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230" w:type="dxa"/>
            <w:noWrap/>
            <w:hideMark/>
          </w:tcPr>
          <w:p w14:paraId="42B03E9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7E5E79D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0.13</w:t>
            </w:r>
          </w:p>
        </w:tc>
        <w:tc>
          <w:tcPr>
            <w:tcW w:w="1102" w:type="dxa"/>
            <w:noWrap/>
            <w:hideMark/>
          </w:tcPr>
          <w:p w14:paraId="09758D3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0.0051</w:t>
            </w:r>
          </w:p>
        </w:tc>
        <w:tc>
          <w:tcPr>
            <w:tcW w:w="1811" w:type="dxa"/>
            <w:noWrap/>
            <w:hideMark/>
          </w:tcPr>
          <w:p w14:paraId="7DB75BE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0D6CAB73" w14:textId="77777777" w:rsidTr="00E632E6">
        <w:trPr>
          <w:trHeight w:val="288"/>
        </w:trPr>
        <w:tc>
          <w:tcPr>
            <w:tcW w:w="1418" w:type="dxa"/>
            <w:noWrap/>
            <w:hideMark/>
          </w:tcPr>
          <w:p w14:paraId="08D143B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GO:0035970</w:t>
            </w:r>
          </w:p>
        </w:tc>
        <w:tc>
          <w:tcPr>
            <w:tcW w:w="3119" w:type="dxa"/>
            <w:noWrap/>
            <w:hideMark/>
          </w:tcPr>
          <w:p w14:paraId="5F1FFD8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peptidyl-threonine dephosphorylation</w:t>
            </w:r>
          </w:p>
        </w:tc>
        <w:tc>
          <w:tcPr>
            <w:tcW w:w="1477" w:type="dxa"/>
            <w:noWrap/>
            <w:hideMark/>
          </w:tcPr>
          <w:p w14:paraId="694DFE6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230" w:type="dxa"/>
            <w:noWrap/>
            <w:hideMark/>
          </w:tcPr>
          <w:p w14:paraId="7025B7D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720BA28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0.17</w:t>
            </w:r>
          </w:p>
        </w:tc>
        <w:tc>
          <w:tcPr>
            <w:tcW w:w="1102" w:type="dxa"/>
            <w:noWrap/>
            <w:hideMark/>
          </w:tcPr>
          <w:p w14:paraId="4367F26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0.0099</w:t>
            </w:r>
          </w:p>
        </w:tc>
        <w:tc>
          <w:tcPr>
            <w:tcW w:w="1811" w:type="dxa"/>
            <w:noWrap/>
            <w:hideMark/>
          </w:tcPr>
          <w:p w14:paraId="05CC65D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2D73F549" w14:textId="77777777" w:rsidTr="00E632E6">
        <w:trPr>
          <w:trHeight w:val="288"/>
        </w:trPr>
        <w:tc>
          <w:tcPr>
            <w:tcW w:w="1418" w:type="dxa"/>
            <w:noWrap/>
            <w:hideMark/>
          </w:tcPr>
          <w:p w14:paraId="1CFA1E4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GO:1990253</w:t>
            </w:r>
          </w:p>
        </w:tc>
        <w:tc>
          <w:tcPr>
            <w:tcW w:w="3119" w:type="dxa"/>
            <w:noWrap/>
            <w:hideMark/>
          </w:tcPr>
          <w:p w14:paraId="4268C99C"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cellular response to leucine starvation</w:t>
            </w:r>
          </w:p>
        </w:tc>
        <w:tc>
          <w:tcPr>
            <w:tcW w:w="1477" w:type="dxa"/>
            <w:noWrap/>
            <w:hideMark/>
          </w:tcPr>
          <w:p w14:paraId="490B3F8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230" w:type="dxa"/>
            <w:noWrap/>
            <w:hideMark/>
          </w:tcPr>
          <w:p w14:paraId="4F90564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02" w:type="dxa"/>
            <w:noWrap/>
            <w:hideMark/>
          </w:tcPr>
          <w:p w14:paraId="6F4A21B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0.17</w:t>
            </w:r>
          </w:p>
        </w:tc>
        <w:tc>
          <w:tcPr>
            <w:tcW w:w="1102" w:type="dxa"/>
            <w:noWrap/>
            <w:hideMark/>
          </w:tcPr>
          <w:p w14:paraId="09FCD12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0.0099</w:t>
            </w:r>
          </w:p>
        </w:tc>
        <w:tc>
          <w:tcPr>
            <w:tcW w:w="1811" w:type="dxa"/>
            <w:noWrap/>
            <w:hideMark/>
          </w:tcPr>
          <w:p w14:paraId="42F0DDA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5E62E618" w14:textId="77777777" w:rsidTr="00E632E6">
        <w:trPr>
          <w:trHeight w:val="288"/>
        </w:trPr>
        <w:tc>
          <w:tcPr>
            <w:tcW w:w="1418" w:type="dxa"/>
            <w:noWrap/>
            <w:hideMark/>
          </w:tcPr>
          <w:p w14:paraId="5495AC0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GO:0070262</w:t>
            </w:r>
          </w:p>
        </w:tc>
        <w:tc>
          <w:tcPr>
            <w:tcW w:w="3119" w:type="dxa"/>
            <w:noWrap/>
            <w:hideMark/>
          </w:tcPr>
          <w:p w14:paraId="0CF5D02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peptidyl-serine dephosphorylation</w:t>
            </w:r>
          </w:p>
        </w:tc>
        <w:tc>
          <w:tcPr>
            <w:tcW w:w="1477" w:type="dxa"/>
            <w:noWrap/>
            <w:hideMark/>
          </w:tcPr>
          <w:p w14:paraId="4D3F3DC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230" w:type="dxa"/>
            <w:noWrap/>
            <w:hideMark/>
          </w:tcPr>
          <w:p w14:paraId="0E331FA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02" w:type="dxa"/>
            <w:noWrap/>
            <w:hideMark/>
          </w:tcPr>
          <w:p w14:paraId="5A51B09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0.29</w:t>
            </w:r>
          </w:p>
        </w:tc>
        <w:tc>
          <w:tcPr>
            <w:tcW w:w="1102" w:type="dxa"/>
            <w:noWrap/>
            <w:hideMark/>
          </w:tcPr>
          <w:p w14:paraId="0AEF8A4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0.0006</w:t>
            </w:r>
          </w:p>
        </w:tc>
        <w:tc>
          <w:tcPr>
            <w:tcW w:w="1811" w:type="dxa"/>
            <w:noWrap/>
            <w:hideMark/>
          </w:tcPr>
          <w:p w14:paraId="2298E3A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087BB674" w14:textId="77777777" w:rsidTr="00E632E6">
        <w:trPr>
          <w:trHeight w:val="288"/>
        </w:trPr>
        <w:tc>
          <w:tcPr>
            <w:tcW w:w="1418" w:type="dxa"/>
            <w:noWrap/>
            <w:hideMark/>
          </w:tcPr>
          <w:p w14:paraId="132211C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GO:0060078</w:t>
            </w:r>
          </w:p>
        </w:tc>
        <w:tc>
          <w:tcPr>
            <w:tcW w:w="3119" w:type="dxa"/>
            <w:noWrap/>
            <w:hideMark/>
          </w:tcPr>
          <w:p w14:paraId="1D1161E1"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regulation of postsynaptic membrane potential</w:t>
            </w:r>
          </w:p>
        </w:tc>
        <w:tc>
          <w:tcPr>
            <w:tcW w:w="1477" w:type="dxa"/>
            <w:noWrap/>
            <w:hideMark/>
          </w:tcPr>
          <w:p w14:paraId="3EE4B30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36</w:t>
            </w:r>
          </w:p>
        </w:tc>
        <w:tc>
          <w:tcPr>
            <w:tcW w:w="1230" w:type="dxa"/>
            <w:noWrap/>
            <w:hideMark/>
          </w:tcPr>
          <w:p w14:paraId="66B4050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02" w:type="dxa"/>
            <w:noWrap/>
            <w:hideMark/>
          </w:tcPr>
          <w:p w14:paraId="2331CB5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1.5</w:t>
            </w:r>
          </w:p>
        </w:tc>
        <w:tc>
          <w:tcPr>
            <w:tcW w:w="1102" w:type="dxa"/>
            <w:noWrap/>
            <w:hideMark/>
          </w:tcPr>
          <w:p w14:paraId="485199D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0.0098</w:t>
            </w:r>
          </w:p>
        </w:tc>
        <w:tc>
          <w:tcPr>
            <w:tcW w:w="1811" w:type="dxa"/>
            <w:noWrap/>
            <w:hideMark/>
          </w:tcPr>
          <w:p w14:paraId="7D88E9B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3B961C97" w14:textId="77777777" w:rsidTr="00E632E6">
        <w:trPr>
          <w:trHeight w:val="288"/>
        </w:trPr>
        <w:tc>
          <w:tcPr>
            <w:tcW w:w="1418" w:type="dxa"/>
            <w:noWrap/>
            <w:hideMark/>
          </w:tcPr>
          <w:p w14:paraId="0D133C0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GO:0034329</w:t>
            </w:r>
          </w:p>
        </w:tc>
        <w:tc>
          <w:tcPr>
            <w:tcW w:w="3119" w:type="dxa"/>
            <w:noWrap/>
            <w:hideMark/>
          </w:tcPr>
          <w:p w14:paraId="35F1F79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cell junction assembly</w:t>
            </w:r>
          </w:p>
        </w:tc>
        <w:tc>
          <w:tcPr>
            <w:tcW w:w="1477" w:type="dxa"/>
            <w:noWrap/>
            <w:hideMark/>
          </w:tcPr>
          <w:p w14:paraId="1EB40DA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210</w:t>
            </w:r>
          </w:p>
        </w:tc>
        <w:tc>
          <w:tcPr>
            <w:tcW w:w="1230" w:type="dxa"/>
            <w:noWrap/>
            <w:hideMark/>
          </w:tcPr>
          <w:p w14:paraId="7C7DC46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9</w:t>
            </w:r>
          </w:p>
        </w:tc>
        <w:tc>
          <w:tcPr>
            <w:tcW w:w="1102" w:type="dxa"/>
            <w:noWrap/>
            <w:hideMark/>
          </w:tcPr>
          <w:p w14:paraId="7FE43E0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8.78</w:t>
            </w:r>
          </w:p>
        </w:tc>
        <w:tc>
          <w:tcPr>
            <w:tcW w:w="1102" w:type="dxa"/>
            <w:noWrap/>
            <w:hideMark/>
          </w:tcPr>
          <w:p w14:paraId="722C0BD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0.0018</w:t>
            </w:r>
          </w:p>
        </w:tc>
        <w:tc>
          <w:tcPr>
            <w:tcW w:w="1811" w:type="dxa"/>
            <w:noWrap/>
            <w:hideMark/>
          </w:tcPr>
          <w:p w14:paraId="1ED063E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45D08757" w14:textId="77777777" w:rsidTr="00E632E6">
        <w:trPr>
          <w:trHeight w:val="288"/>
        </w:trPr>
        <w:tc>
          <w:tcPr>
            <w:tcW w:w="1418" w:type="dxa"/>
            <w:noWrap/>
            <w:hideMark/>
          </w:tcPr>
          <w:p w14:paraId="08D3AE1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GO:0043161</w:t>
            </w:r>
          </w:p>
        </w:tc>
        <w:tc>
          <w:tcPr>
            <w:tcW w:w="3119" w:type="dxa"/>
            <w:noWrap/>
            <w:hideMark/>
          </w:tcPr>
          <w:p w14:paraId="3BCB5F89"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proteasome-mediated ubiquitin-dependent protein catabolic process</w:t>
            </w:r>
          </w:p>
        </w:tc>
        <w:tc>
          <w:tcPr>
            <w:tcW w:w="1477" w:type="dxa"/>
            <w:noWrap/>
            <w:hideMark/>
          </w:tcPr>
          <w:p w14:paraId="041CCBD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187</w:t>
            </w:r>
          </w:p>
        </w:tc>
        <w:tc>
          <w:tcPr>
            <w:tcW w:w="1230" w:type="dxa"/>
            <w:noWrap/>
            <w:hideMark/>
          </w:tcPr>
          <w:p w14:paraId="5FC3912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12</w:t>
            </w:r>
          </w:p>
        </w:tc>
        <w:tc>
          <w:tcPr>
            <w:tcW w:w="1102" w:type="dxa"/>
            <w:noWrap/>
            <w:hideMark/>
          </w:tcPr>
          <w:p w14:paraId="6CA44D8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7.82</w:t>
            </w:r>
          </w:p>
        </w:tc>
        <w:tc>
          <w:tcPr>
            <w:tcW w:w="1102" w:type="dxa"/>
            <w:noWrap/>
            <w:hideMark/>
          </w:tcPr>
          <w:p w14:paraId="763FDF8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w:t>
            </w:r>
          </w:p>
        </w:tc>
        <w:tc>
          <w:tcPr>
            <w:tcW w:w="1811" w:type="dxa"/>
            <w:noWrap/>
            <w:hideMark/>
          </w:tcPr>
          <w:p w14:paraId="0B6F3F0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Thioredoxin peroxidase</w:t>
            </w:r>
          </w:p>
        </w:tc>
      </w:tr>
      <w:tr w:rsidR="000313AA" w:rsidRPr="00F56116" w14:paraId="7AB346E5" w14:textId="77777777" w:rsidTr="00E632E6">
        <w:trPr>
          <w:trHeight w:val="288"/>
        </w:trPr>
        <w:tc>
          <w:tcPr>
            <w:tcW w:w="1418" w:type="dxa"/>
            <w:noWrap/>
            <w:hideMark/>
          </w:tcPr>
          <w:p w14:paraId="6BE4F21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lastRenderedPageBreak/>
              <w:t>GO:0040039</w:t>
            </w:r>
          </w:p>
        </w:tc>
        <w:tc>
          <w:tcPr>
            <w:tcW w:w="3119" w:type="dxa"/>
            <w:noWrap/>
            <w:hideMark/>
          </w:tcPr>
          <w:p w14:paraId="492936C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inductive cell migration</w:t>
            </w:r>
          </w:p>
        </w:tc>
        <w:tc>
          <w:tcPr>
            <w:tcW w:w="1477" w:type="dxa"/>
            <w:noWrap/>
            <w:hideMark/>
          </w:tcPr>
          <w:p w14:paraId="4D26331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230" w:type="dxa"/>
            <w:noWrap/>
            <w:hideMark/>
          </w:tcPr>
          <w:p w14:paraId="4D832DA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02" w:type="dxa"/>
            <w:noWrap/>
            <w:hideMark/>
          </w:tcPr>
          <w:p w14:paraId="3C7A7AB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1.48</w:t>
            </w:r>
          </w:p>
        </w:tc>
        <w:tc>
          <w:tcPr>
            <w:tcW w:w="1102" w:type="dxa"/>
            <w:noWrap/>
            <w:hideMark/>
          </w:tcPr>
          <w:p w14:paraId="41C38B2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w:t>
            </w:r>
          </w:p>
        </w:tc>
        <w:tc>
          <w:tcPr>
            <w:tcW w:w="1811" w:type="dxa"/>
            <w:noWrap/>
            <w:hideMark/>
          </w:tcPr>
          <w:p w14:paraId="05BE905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5EE02F87" w14:textId="77777777" w:rsidTr="00E632E6">
        <w:trPr>
          <w:trHeight w:val="288"/>
        </w:trPr>
        <w:tc>
          <w:tcPr>
            <w:tcW w:w="1418" w:type="dxa"/>
            <w:noWrap/>
            <w:hideMark/>
          </w:tcPr>
          <w:p w14:paraId="4AB3A65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GO:0032876</w:t>
            </w:r>
          </w:p>
        </w:tc>
        <w:tc>
          <w:tcPr>
            <w:tcW w:w="3119" w:type="dxa"/>
            <w:noWrap/>
            <w:hideMark/>
          </w:tcPr>
          <w:p w14:paraId="690242A1"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negative regulation of DNA endoreduplication</w:t>
            </w:r>
          </w:p>
        </w:tc>
        <w:tc>
          <w:tcPr>
            <w:tcW w:w="1477" w:type="dxa"/>
            <w:noWrap/>
            <w:hideMark/>
          </w:tcPr>
          <w:p w14:paraId="16C31C9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230" w:type="dxa"/>
            <w:noWrap/>
            <w:hideMark/>
          </w:tcPr>
          <w:p w14:paraId="562BA6B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02" w:type="dxa"/>
            <w:noWrap/>
            <w:hideMark/>
          </w:tcPr>
          <w:p w14:paraId="63A8861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1.48</w:t>
            </w:r>
          </w:p>
        </w:tc>
        <w:tc>
          <w:tcPr>
            <w:tcW w:w="1102" w:type="dxa"/>
            <w:noWrap/>
            <w:hideMark/>
          </w:tcPr>
          <w:p w14:paraId="532DDE2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w:t>
            </w:r>
          </w:p>
        </w:tc>
        <w:tc>
          <w:tcPr>
            <w:tcW w:w="1811" w:type="dxa"/>
            <w:noWrap/>
            <w:hideMark/>
          </w:tcPr>
          <w:p w14:paraId="21AF586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4AB7543B" w14:textId="77777777" w:rsidTr="00E632E6">
        <w:trPr>
          <w:trHeight w:val="288"/>
        </w:trPr>
        <w:tc>
          <w:tcPr>
            <w:tcW w:w="1418" w:type="dxa"/>
            <w:noWrap/>
            <w:hideMark/>
          </w:tcPr>
          <w:p w14:paraId="598C376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GO:0006369</w:t>
            </w:r>
          </w:p>
        </w:tc>
        <w:tc>
          <w:tcPr>
            <w:tcW w:w="3119" w:type="dxa"/>
            <w:noWrap/>
            <w:hideMark/>
          </w:tcPr>
          <w:p w14:paraId="7335E000"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termination of RNA polymerase II transcription</w:t>
            </w:r>
          </w:p>
        </w:tc>
        <w:tc>
          <w:tcPr>
            <w:tcW w:w="1477" w:type="dxa"/>
            <w:noWrap/>
            <w:hideMark/>
          </w:tcPr>
          <w:p w14:paraId="74DF56A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9</w:t>
            </w:r>
          </w:p>
        </w:tc>
        <w:tc>
          <w:tcPr>
            <w:tcW w:w="1230" w:type="dxa"/>
            <w:noWrap/>
            <w:hideMark/>
          </w:tcPr>
          <w:p w14:paraId="370D6CF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6</w:t>
            </w:r>
          </w:p>
        </w:tc>
        <w:tc>
          <w:tcPr>
            <w:tcW w:w="1102" w:type="dxa"/>
            <w:noWrap/>
            <w:hideMark/>
          </w:tcPr>
          <w:p w14:paraId="191AF1A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1.91</w:t>
            </w:r>
          </w:p>
        </w:tc>
        <w:tc>
          <w:tcPr>
            <w:tcW w:w="1102" w:type="dxa"/>
            <w:noWrap/>
            <w:hideMark/>
          </w:tcPr>
          <w:p w14:paraId="39B5D2B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0.0041</w:t>
            </w:r>
          </w:p>
        </w:tc>
        <w:tc>
          <w:tcPr>
            <w:tcW w:w="1811" w:type="dxa"/>
            <w:noWrap/>
            <w:hideMark/>
          </w:tcPr>
          <w:p w14:paraId="0F62572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22F6D845" w14:textId="77777777" w:rsidTr="00E632E6">
        <w:trPr>
          <w:trHeight w:val="288"/>
        </w:trPr>
        <w:tc>
          <w:tcPr>
            <w:tcW w:w="1418" w:type="dxa"/>
            <w:noWrap/>
            <w:hideMark/>
          </w:tcPr>
          <w:p w14:paraId="7627311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GO:0030206</w:t>
            </w:r>
          </w:p>
        </w:tc>
        <w:tc>
          <w:tcPr>
            <w:tcW w:w="3119" w:type="dxa"/>
            <w:noWrap/>
            <w:hideMark/>
          </w:tcPr>
          <w:p w14:paraId="5892975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 xml:space="preserve">chondroitin </w:t>
            </w:r>
            <w:proofErr w:type="spellStart"/>
            <w:r w:rsidRPr="00E632E6">
              <w:rPr>
                <w:rFonts w:ascii="Calibri" w:eastAsia="Times New Roman" w:hAnsi="Calibri" w:cs="Calibri"/>
                <w:color w:val="000000"/>
                <w:lang w:eastAsia="nl-NL"/>
              </w:rPr>
              <w:t>sulfate</w:t>
            </w:r>
            <w:proofErr w:type="spellEnd"/>
            <w:r w:rsidRPr="00E632E6">
              <w:rPr>
                <w:rFonts w:ascii="Calibri" w:eastAsia="Times New Roman" w:hAnsi="Calibri" w:cs="Calibri"/>
                <w:color w:val="000000"/>
                <w:lang w:eastAsia="nl-NL"/>
              </w:rPr>
              <w:t xml:space="preserve"> biosynthetic process</w:t>
            </w:r>
          </w:p>
        </w:tc>
        <w:tc>
          <w:tcPr>
            <w:tcW w:w="1477" w:type="dxa"/>
            <w:noWrap/>
            <w:hideMark/>
          </w:tcPr>
          <w:p w14:paraId="0AC4E51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10</w:t>
            </w:r>
          </w:p>
        </w:tc>
        <w:tc>
          <w:tcPr>
            <w:tcW w:w="1230" w:type="dxa"/>
            <w:noWrap/>
            <w:hideMark/>
          </w:tcPr>
          <w:p w14:paraId="3E962A5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6</w:t>
            </w:r>
          </w:p>
        </w:tc>
        <w:tc>
          <w:tcPr>
            <w:tcW w:w="1102" w:type="dxa"/>
            <w:noWrap/>
            <w:hideMark/>
          </w:tcPr>
          <w:p w14:paraId="21E3ADF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2.12</w:t>
            </w:r>
          </w:p>
        </w:tc>
        <w:tc>
          <w:tcPr>
            <w:tcW w:w="1102" w:type="dxa"/>
            <w:noWrap/>
            <w:hideMark/>
          </w:tcPr>
          <w:p w14:paraId="3695AC7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0.0085</w:t>
            </w:r>
          </w:p>
        </w:tc>
        <w:tc>
          <w:tcPr>
            <w:tcW w:w="1811" w:type="dxa"/>
            <w:noWrap/>
            <w:hideMark/>
          </w:tcPr>
          <w:p w14:paraId="2705C22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33A3CC7" w14:textId="77777777" w:rsidTr="00E632E6">
        <w:trPr>
          <w:trHeight w:val="288"/>
        </w:trPr>
        <w:tc>
          <w:tcPr>
            <w:tcW w:w="1418" w:type="dxa"/>
            <w:noWrap/>
            <w:hideMark/>
          </w:tcPr>
          <w:p w14:paraId="72D3911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GO:0048145</w:t>
            </w:r>
          </w:p>
        </w:tc>
        <w:tc>
          <w:tcPr>
            <w:tcW w:w="3119" w:type="dxa"/>
            <w:noWrap/>
            <w:hideMark/>
          </w:tcPr>
          <w:p w14:paraId="3971871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regulation of fibroblast proliferation</w:t>
            </w:r>
          </w:p>
        </w:tc>
        <w:tc>
          <w:tcPr>
            <w:tcW w:w="1477" w:type="dxa"/>
            <w:noWrap/>
            <w:hideMark/>
          </w:tcPr>
          <w:p w14:paraId="5357E9C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21</w:t>
            </w:r>
          </w:p>
        </w:tc>
        <w:tc>
          <w:tcPr>
            <w:tcW w:w="1230" w:type="dxa"/>
            <w:noWrap/>
            <w:hideMark/>
          </w:tcPr>
          <w:p w14:paraId="6EB127A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102" w:type="dxa"/>
            <w:noWrap/>
            <w:hideMark/>
          </w:tcPr>
          <w:p w14:paraId="1D4B04C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4.45</w:t>
            </w:r>
          </w:p>
        </w:tc>
        <w:tc>
          <w:tcPr>
            <w:tcW w:w="1102" w:type="dxa"/>
            <w:noWrap/>
            <w:hideMark/>
          </w:tcPr>
          <w:p w14:paraId="6202979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0.002</w:t>
            </w:r>
          </w:p>
        </w:tc>
        <w:tc>
          <w:tcPr>
            <w:tcW w:w="1811" w:type="dxa"/>
            <w:noWrap/>
            <w:hideMark/>
          </w:tcPr>
          <w:p w14:paraId="187F35A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A284597" w14:textId="77777777" w:rsidTr="00E632E6">
        <w:trPr>
          <w:trHeight w:val="288"/>
        </w:trPr>
        <w:tc>
          <w:tcPr>
            <w:tcW w:w="1418" w:type="dxa"/>
            <w:noWrap/>
            <w:hideMark/>
          </w:tcPr>
          <w:p w14:paraId="4C3A9AD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GO:1901222</w:t>
            </w:r>
          </w:p>
        </w:tc>
        <w:tc>
          <w:tcPr>
            <w:tcW w:w="3119" w:type="dxa"/>
            <w:noWrap/>
            <w:hideMark/>
          </w:tcPr>
          <w:p w14:paraId="7F526624"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regulation of NIK/NF-</w:t>
            </w:r>
            <w:proofErr w:type="spellStart"/>
            <w:r w:rsidRPr="00F56116">
              <w:rPr>
                <w:rFonts w:ascii="Calibri" w:eastAsia="Times New Roman" w:hAnsi="Calibri" w:cs="Calibri"/>
                <w:color w:val="000000"/>
                <w:lang w:eastAsia="nl-NL"/>
              </w:rPr>
              <w:t>kappaB</w:t>
            </w:r>
            <w:proofErr w:type="spellEnd"/>
            <w:r w:rsidRPr="00F56116">
              <w:rPr>
                <w:rFonts w:ascii="Calibri" w:eastAsia="Times New Roman" w:hAnsi="Calibri" w:cs="Calibri"/>
                <w:color w:val="000000"/>
                <w:lang w:eastAsia="nl-NL"/>
              </w:rPr>
              <w:t xml:space="preserve"> </w:t>
            </w:r>
            <w:proofErr w:type="spellStart"/>
            <w:r w:rsidRPr="00F56116">
              <w:rPr>
                <w:rFonts w:ascii="Calibri" w:eastAsia="Times New Roman" w:hAnsi="Calibri" w:cs="Calibri"/>
                <w:color w:val="000000"/>
                <w:lang w:eastAsia="nl-NL"/>
              </w:rPr>
              <w:t>signaling</w:t>
            </w:r>
            <w:proofErr w:type="spellEnd"/>
          </w:p>
        </w:tc>
        <w:tc>
          <w:tcPr>
            <w:tcW w:w="1477" w:type="dxa"/>
            <w:noWrap/>
            <w:hideMark/>
          </w:tcPr>
          <w:p w14:paraId="17257CF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23</w:t>
            </w:r>
          </w:p>
        </w:tc>
        <w:tc>
          <w:tcPr>
            <w:tcW w:w="1230" w:type="dxa"/>
            <w:noWrap/>
            <w:hideMark/>
          </w:tcPr>
          <w:p w14:paraId="1437322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102" w:type="dxa"/>
            <w:noWrap/>
            <w:hideMark/>
          </w:tcPr>
          <w:p w14:paraId="248B944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4.87</w:t>
            </w:r>
          </w:p>
        </w:tc>
        <w:tc>
          <w:tcPr>
            <w:tcW w:w="1102" w:type="dxa"/>
            <w:noWrap/>
            <w:hideMark/>
          </w:tcPr>
          <w:p w14:paraId="19C5262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0.0095</w:t>
            </w:r>
          </w:p>
        </w:tc>
        <w:tc>
          <w:tcPr>
            <w:tcW w:w="1811" w:type="dxa"/>
            <w:noWrap/>
            <w:hideMark/>
          </w:tcPr>
          <w:p w14:paraId="3B55EB1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08616905" w14:textId="77777777" w:rsidTr="00E632E6">
        <w:trPr>
          <w:trHeight w:val="288"/>
        </w:trPr>
        <w:tc>
          <w:tcPr>
            <w:tcW w:w="1418" w:type="dxa"/>
            <w:noWrap/>
            <w:hideMark/>
          </w:tcPr>
          <w:p w14:paraId="26029E3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GO:0008362</w:t>
            </w:r>
          </w:p>
        </w:tc>
        <w:tc>
          <w:tcPr>
            <w:tcW w:w="3119" w:type="dxa"/>
            <w:noWrap/>
            <w:hideMark/>
          </w:tcPr>
          <w:p w14:paraId="4D7BFD64"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chitin-based embryonic cuticle biosynthetic process</w:t>
            </w:r>
          </w:p>
        </w:tc>
        <w:tc>
          <w:tcPr>
            <w:tcW w:w="1477" w:type="dxa"/>
            <w:noWrap/>
            <w:hideMark/>
          </w:tcPr>
          <w:p w14:paraId="28B4D0A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11</w:t>
            </w:r>
          </w:p>
        </w:tc>
        <w:tc>
          <w:tcPr>
            <w:tcW w:w="1230" w:type="dxa"/>
            <w:noWrap/>
            <w:hideMark/>
          </w:tcPr>
          <w:p w14:paraId="3BB4682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8</w:t>
            </w:r>
          </w:p>
        </w:tc>
        <w:tc>
          <w:tcPr>
            <w:tcW w:w="1102" w:type="dxa"/>
            <w:noWrap/>
            <w:hideMark/>
          </w:tcPr>
          <w:p w14:paraId="130CC52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2.33</w:t>
            </w:r>
          </w:p>
        </w:tc>
        <w:tc>
          <w:tcPr>
            <w:tcW w:w="1102" w:type="dxa"/>
            <w:noWrap/>
            <w:hideMark/>
          </w:tcPr>
          <w:p w14:paraId="6BF48EA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0.0004</w:t>
            </w:r>
          </w:p>
        </w:tc>
        <w:tc>
          <w:tcPr>
            <w:tcW w:w="1811" w:type="dxa"/>
            <w:noWrap/>
            <w:hideMark/>
          </w:tcPr>
          <w:p w14:paraId="2012B2C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5F32D4DC" w14:textId="77777777" w:rsidTr="00E632E6">
        <w:trPr>
          <w:trHeight w:val="288"/>
        </w:trPr>
        <w:tc>
          <w:tcPr>
            <w:tcW w:w="1418" w:type="dxa"/>
            <w:noWrap/>
            <w:hideMark/>
          </w:tcPr>
          <w:p w14:paraId="1C06877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GO:0000729</w:t>
            </w:r>
          </w:p>
        </w:tc>
        <w:tc>
          <w:tcPr>
            <w:tcW w:w="3119" w:type="dxa"/>
            <w:noWrap/>
            <w:hideMark/>
          </w:tcPr>
          <w:p w14:paraId="41868404"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DNA double-strand break processing</w:t>
            </w:r>
          </w:p>
        </w:tc>
        <w:tc>
          <w:tcPr>
            <w:tcW w:w="1477" w:type="dxa"/>
            <w:noWrap/>
            <w:hideMark/>
          </w:tcPr>
          <w:p w14:paraId="60836D5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18</w:t>
            </w:r>
          </w:p>
        </w:tc>
        <w:tc>
          <w:tcPr>
            <w:tcW w:w="1230" w:type="dxa"/>
            <w:noWrap/>
            <w:hideMark/>
          </w:tcPr>
          <w:p w14:paraId="2D074F7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9</w:t>
            </w:r>
          </w:p>
        </w:tc>
        <w:tc>
          <w:tcPr>
            <w:tcW w:w="1102" w:type="dxa"/>
            <w:noWrap/>
            <w:hideMark/>
          </w:tcPr>
          <w:p w14:paraId="0C7F86E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3.81</w:t>
            </w:r>
          </w:p>
        </w:tc>
        <w:tc>
          <w:tcPr>
            <w:tcW w:w="1102" w:type="dxa"/>
            <w:noWrap/>
            <w:hideMark/>
          </w:tcPr>
          <w:p w14:paraId="1367387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0.0084</w:t>
            </w:r>
          </w:p>
        </w:tc>
        <w:tc>
          <w:tcPr>
            <w:tcW w:w="1811" w:type="dxa"/>
            <w:noWrap/>
            <w:hideMark/>
          </w:tcPr>
          <w:p w14:paraId="79EEF4D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72D85DD" w14:textId="77777777" w:rsidTr="00E632E6">
        <w:trPr>
          <w:trHeight w:val="288"/>
        </w:trPr>
        <w:tc>
          <w:tcPr>
            <w:tcW w:w="1418" w:type="dxa"/>
            <w:noWrap/>
            <w:hideMark/>
          </w:tcPr>
          <w:p w14:paraId="3C1CDB2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GO:0007112</w:t>
            </w:r>
          </w:p>
        </w:tc>
        <w:tc>
          <w:tcPr>
            <w:tcW w:w="3119" w:type="dxa"/>
            <w:noWrap/>
            <w:hideMark/>
          </w:tcPr>
          <w:p w14:paraId="3A10623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male meiosis cytokinesis</w:t>
            </w:r>
          </w:p>
        </w:tc>
        <w:tc>
          <w:tcPr>
            <w:tcW w:w="1477" w:type="dxa"/>
            <w:noWrap/>
            <w:hideMark/>
          </w:tcPr>
          <w:p w14:paraId="2194221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22</w:t>
            </w:r>
          </w:p>
        </w:tc>
        <w:tc>
          <w:tcPr>
            <w:tcW w:w="1230" w:type="dxa"/>
            <w:noWrap/>
            <w:hideMark/>
          </w:tcPr>
          <w:p w14:paraId="4AED4F0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10</w:t>
            </w:r>
          </w:p>
        </w:tc>
        <w:tc>
          <w:tcPr>
            <w:tcW w:w="1102" w:type="dxa"/>
            <w:noWrap/>
            <w:hideMark/>
          </w:tcPr>
          <w:p w14:paraId="0CFCDA7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4.66</w:t>
            </w:r>
          </w:p>
        </w:tc>
        <w:tc>
          <w:tcPr>
            <w:tcW w:w="1102" w:type="dxa"/>
            <w:noWrap/>
            <w:hideMark/>
          </w:tcPr>
          <w:p w14:paraId="5B55DFC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0.0091</w:t>
            </w:r>
          </w:p>
        </w:tc>
        <w:tc>
          <w:tcPr>
            <w:tcW w:w="1811" w:type="dxa"/>
            <w:noWrap/>
            <w:hideMark/>
          </w:tcPr>
          <w:p w14:paraId="0877636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2C0E3202" w14:textId="77777777" w:rsidTr="00E632E6">
        <w:trPr>
          <w:trHeight w:val="288"/>
        </w:trPr>
        <w:tc>
          <w:tcPr>
            <w:tcW w:w="1418" w:type="dxa"/>
            <w:noWrap/>
            <w:hideMark/>
          </w:tcPr>
          <w:p w14:paraId="58755D8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GO:0060840</w:t>
            </w:r>
          </w:p>
        </w:tc>
        <w:tc>
          <w:tcPr>
            <w:tcW w:w="3119" w:type="dxa"/>
            <w:noWrap/>
            <w:hideMark/>
          </w:tcPr>
          <w:p w14:paraId="2990FF1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artery development</w:t>
            </w:r>
          </w:p>
        </w:tc>
        <w:tc>
          <w:tcPr>
            <w:tcW w:w="1477" w:type="dxa"/>
            <w:noWrap/>
            <w:hideMark/>
          </w:tcPr>
          <w:p w14:paraId="3A98194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37</w:t>
            </w:r>
          </w:p>
        </w:tc>
        <w:tc>
          <w:tcPr>
            <w:tcW w:w="1230" w:type="dxa"/>
            <w:noWrap/>
            <w:hideMark/>
          </w:tcPr>
          <w:p w14:paraId="780DE06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10</w:t>
            </w:r>
          </w:p>
        </w:tc>
        <w:tc>
          <w:tcPr>
            <w:tcW w:w="1102" w:type="dxa"/>
            <w:noWrap/>
            <w:hideMark/>
          </w:tcPr>
          <w:p w14:paraId="4765B63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7.84</w:t>
            </w:r>
          </w:p>
        </w:tc>
        <w:tc>
          <w:tcPr>
            <w:tcW w:w="1102" w:type="dxa"/>
            <w:noWrap/>
            <w:hideMark/>
          </w:tcPr>
          <w:p w14:paraId="240B3E4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0.0095</w:t>
            </w:r>
          </w:p>
        </w:tc>
        <w:tc>
          <w:tcPr>
            <w:tcW w:w="1811" w:type="dxa"/>
            <w:noWrap/>
            <w:hideMark/>
          </w:tcPr>
          <w:p w14:paraId="5E60364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0B6F7AD" w14:textId="77777777" w:rsidTr="00E632E6">
        <w:trPr>
          <w:trHeight w:val="288"/>
        </w:trPr>
        <w:tc>
          <w:tcPr>
            <w:tcW w:w="1418" w:type="dxa"/>
            <w:noWrap/>
            <w:hideMark/>
          </w:tcPr>
          <w:p w14:paraId="37A13AC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GO:0046329</w:t>
            </w:r>
          </w:p>
        </w:tc>
        <w:tc>
          <w:tcPr>
            <w:tcW w:w="3119" w:type="dxa"/>
            <w:noWrap/>
            <w:hideMark/>
          </w:tcPr>
          <w:p w14:paraId="3F5821FB"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negative regulation of JNK cascade</w:t>
            </w:r>
          </w:p>
        </w:tc>
        <w:tc>
          <w:tcPr>
            <w:tcW w:w="1477" w:type="dxa"/>
            <w:noWrap/>
            <w:hideMark/>
          </w:tcPr>
          <w:p w14:paraId="331C7D8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22</w:t>
            </w:r>
          </w:p>
        </w:tc>
        <w:tc>
          <w:tcPr>
            <w:tcW w:w="1230" w:type="dxa"/>
            <w:noWrap/>
            <w:hideMark/>
          </w:tcPr>
          <w:p w14:paraId="6708EB6D"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10</w:t>
            </w:r>
          </w:p>
        </w:tc>
        <w:tc>
          <w:tcPr>
            <w:tcW w:w="1102" w:type="dxa"/>
            <w:noWrap/>
            <w:hideMark/>
          </w:tcPr>
          <w:p w14:paraId="5C3C9BB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4.66</w:t>
            </w:r>
          </w:p>
        </w:tc>
        <w:tc>
          <w:tcPr>
            <w:tcW w:w="1102" w:type="dxa"/>
            <w:noWrap/>
            <w:hideMark/>
          </w:tcPr>
          <w:p w14:paraId="1C2DF97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0.0096</w:t>
            </w:r>
          </w:p>
        </w:tc>
        <w:tc>
          <w:tcPr>
            <w:tcW w:w="1811" w:type="dxa"/>
            <w:noWrap/>
            <w:hideMark/>
          </w:tcPr>
          <w:p w14:paraId="2AC8497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8FB1290" w14:textId="77777777" w:rsidTr="00E632E6">
        <w:trPr>
          <w:trHeight w:val="288"/>
        </w:trPr>
        <w:tc>
          <w:tcPr>
            <w:tcW w:w="1418" w:type="dxa"/>
            <w:noWrap/>
            <w:hideMark/>
          </w:tcPr>
          <w:p w14:paraId="6648907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GO:0006970</w:t>
            </w:r>
          </w:p>
        </w:tc>
        <w:tc>
          <w:tcPr>
            <w:tcW w:w="3119" w:type="dxa"/>
            <w:noWrap/>
            <w:hideMark/>
          </w:tcPr>
          <w:p w14:paraId="08DA552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response to osmotic stress</w:t>
            </w:r>
          </w:p>
        </w:tc>
        <w:tc>
          <w:tcPr>
            <w:tcW w:w="1477" w:type="dxa"/>
            <w:noWrap/>
            <w:hideMark/>
          </w:tcPr>
          <w:p w14:paraId="3B00CC8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33</w:t>
            </w:r>
          </w:p>
        </w:tc>
        <w:tc>
          <w:tcPr>
            <w:tcW w:w="1230" w:type="dxa"/>
            <w:noWrap/>
            <w:hideMark/>
          </w:tcPr>
          <w:p w14:paraId="28B2FBF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12</w:t>
            </w:r>
          </w:p>
        </w:tc>
        <w:tc>
          <w:tcPr>
            <w:tcW w:w="1102" w:type="dxa"/>
            <w:noWrap/>
            <w:hideMark/>
          </w:tcPr>
          <w:p w14:paraId="7579BB1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6.99</w:t>
            </w:r>
          </w:p>
        </w:tc>
        <w:tc>
          <w:tcPr>
            <w:tcW w:w="1102" w:type="dxa"/>
            <w:noWrap/>
            <w:hideMark/>
          </w:tcPr>
          <w:p w14:paraId="5A0AC18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0.0017</w:t>
            </w:r>
          </w:p>
        </w:tc>
        <w:tc>
          <w:tcPr>
            <w:tcW w:w="1811" w:type="dxa"/>
            <w:noWrap/>
            <w:hideMark/>
          </w:tcPr>
          <w:p w14:paraId="69AE90E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41207921" w14:textId="77777777" w:rsidTr="00E632E6">
        <w:trPr>
          <w:trHeight w:val="288"/>
        </w:trPr>
        <w:tc>
          <w:tcPr>
            <w:tcW w:w="1418" w:type="dxa"/>
            <w:noWrap/>
            <w:hideMark/>
          </w:tcPr>
          <w:p w14:paraId="0304142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GO:0032456</w:t>
            </w:r>
          </w:p>
        </w:tc>
        <w:tc>
          <w:tcPr>
            <w:tcW w:w="3119" w:type="dxa"/>
            <w:noWrap/>
            <w:hideMark/>
          </w:tcPr>
          <w:p w14:paraId="4E86D17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endocytic recycling</w:t>
            </w:r>
          </w:p>
        </w:tc>
        <w:tc>
          <w:tcPr>
            <w:tcW w:w="1477" w:type="dxa"/>
            <w:noWrap/>
            <w:hideMark/>
          </w:tcPr>
          <w:p w14:paraId="251EE19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32</w:t>
            </w:r>
          </w:p>
        </w:tc>
        <w:tc>
          <w:tcPr>
            <w:tcW w:w="1230" w:type="dxa"/>
            <w:noWrap/>
            <w:hideMark/>
          </w:tcPr>
          <w:p w14:paraId="2CC1CF3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12</w:t>
            </w:r>
          </w:p>
        </w:tc>
        <w:tc>
          <w:tcPr>
            <w:tcW w:w="1102" w:type="dxa"/>
            <w:noWrap/>
            <w:hideMark/>
          </w:tcPr>
          <w:p w14:paraId="2236B3D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6.78</w:t>
            </w:r>
          </w:p>
        </w:tc>
        <w:tc>
          <w:tcPr>
            <w:tcW w:w="1102" w:type="dxa"/>
            <w:noWrap/>
            <w:hideMark/>
          </w:tcPr>
          <w:p w14:paraId="279E108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0.0061</w:t>
            </w:r>
          </w:p>
        </w:tc>
        <w:tc>
          <w:tcPr>
            <w:tcW w:w="1811" w:type="dxa"/>
            <w:noWrap/>
            <w:hideMark/>
          </w:tcPr>
          <w:p w14:paraId="75EDDC1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039FA37C" w14:textId="77777777" w:rsidTr="00E632E6">
        <w:trPr>
          <w:trHeight w:val="288"/>
        </w:trPr>
        <w:tc>
          <w:tcPr>
            <w:tcW w:w="1418" w:type="dxa"/>
            <w:noWrap/>
            <w:hideMark/>
          </w:tcPr>
          <w:p w14:paraId="15D3B1B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GO:0043001</w:t>
            </w:r>
          </w:p>
        </w:tc>
        <w:tc>
          <w:tcPr>
            <w:tcW w:w="3119" w:type="dxa"/>
            <w:noWrap/>
            <w:hideMark/>
          </w:tcPr>
          <w:p w14:paraId="7554B0C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Golgi to plasma membrane protein transport</w:t>
            </w:r>
          </w:p>
        </w:tc>
        <w:tc>
          <w:tcPr>
            <w:tcW w:w="1477" w:type="dxa"/>
            <w:noWrap/>
            <w:hideMark/>
          </w:tcPr>
          <w:p w14:paraId="4D0FE96A"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32</w:t>
            </w:r>
          </w:p>
        </w:tc>
        <w:tc>
          <w:tcPr>
            <w:tcW w:w="1230" w:type="dxa"/>
            <w:noWrap/>
            <w:hideMark/>
          </w:tcPr>
          <w:p w14:paraId="767A56D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13</w:t>
            </w:r>
          </w:p>
        </w:tc>
        <w:tc>
          <w:tcPr>
            <w:tcW w:w="1102" w:type="dxa"/>
            <w:noWrap/>
            <w:hideMark/>
          </w:tcPr>
          <w:p w14:paraId="4E62F71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6.78</w:t>
            </w:r>
          </w:p>
        </w:tc>
        <w:tc>
          <w:tcPr>
            <w:tcW w:w="1102" w:type="dxa"/>
            <w:noWrap/>
            <w:hideMark/>
          </w:tcPr>
          <w:p w14:paraId="45AEC83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0.0096</w:t>
            </w:r>
          </w:p>
        </w:tc>
        <w:tc>
          <w:tcPr>
            <w:tcW w:w="1811" w:type="dxa"/>
            <w:noWrap/>
            <w:hideMark/>
          </w:tcPr>
          <w:p w14:paraId="5D438DB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1A38542B" w14:textId="77777777" w:rsidTr="00E632E6">
        <w:trPr>
          <w:trHeight w:val="288"/>
        </w:trPr>
        <w:tc>
          <w:tcPr>
            <w:tcW w:w="1418" w:type="dxa"/>
            <w:noWrap/>
            <w:hideMark/>
          </w:tcPr>
          <w:p w14:paraId="1E4F79E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GO:0007249</w:t>
            </w:r>
          </w:p>
        </w:tc>
        <w:tc>
          <w:tcPr>
            <w:tcW w:w="3119" w:type="dxa"/>
            <w:noWrap/>
            <w:hideMark/>
          </w:tcPr>
          <w:p w14:paraId="6A04730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I-</w:t>
            </w:r>
            <w:proofErr w:type="spellStart"/>
            <w:r w:rsidRPr="00E632E6">
              <w:rPr>
                <w:rFonts w:ascii="Calibri" w:eastAsia="Times New Roman" w:hAnsi="Calibri" w:cs="Calibri"/>
                <w:color w:val="000000"/>
                <w:lang w:eastAsia="nl-NL"/>
              </w:rPr>
              <w:t>kappaB</w:t>
            </w:r>
            <w:proofErr w:type="spellEnd"/>
            <w:r w:rsidRPr="00E632E6">
              <w:rPr>
                <w:rFonts w:ascii="Calibri" w:eastAsia="Times New Roman" w:hAnsi="Calibri" w:cs="Calibri"/>
                <w:color w:val="000000"/>
                <w:lang w:eastAsia="nl-NL"/>
              </w:rPr>
              <w:t xml:space="preserve"> kinase/NF-</w:t>
            </w:r>
            <w:proofErr w:type="spellStart"/>
            <w:r w:rsidRPr="00E632E6">
              <w:rPr>
                <w:rFonts w:ascii="Calibri" w:eastAsia="Times New Roman" w:hAnsi="Calibri" w:cs="Calibri"/>
                <w:color w:val="000000"/>
                <w:lang w:eastAsia="nl-NL"/>
              </w:rPr>
              <w:t>kappaB</w:t>
            </w:r>
            <w:proofErr w:type="spellEnd"/>
            <w:r w:rsidRPr="00E632E6">
              <w:rPr>
                <w:rFonts w:ascii="Calibri" w:eastAsia="Times New Roman" w:hAnsi="Calibri" w:cs="Calibri"/>
                <w:color w:val="000000"/>
                <w:lang w:eastAsia="nl-NL"/>
              </w:rPr>
              <w:t xml:space="preserve"> </w:t>
            </w:r>
            <w:proofErr w:type="spellStart"/>
            <w:r w:rsidRPr="00E632E6">
              <w:rPr>
                <w:rFonts w:ascii="Calibri" w:eastAsia="Times New Roman" w:hAnsi="Calibri" w:cs="Calibri"/>
                <w:color w:val="000000"/>
                <w:lang w:eastAsia="nl-NL"/>
              </w:rPr>
              <w:t>signaling</w:t>
            </w:r>
            <w:proofErr w:type="spellEnd"/>
          </w:p>
        </w:tc>
        <w:tc>
          <w:tcPr>
            <w:tcW w:w="1477" w:type="dxa"/>
            <w:noWrap/>
            <w:hideMark/>
          </w:tcPr>
          <w:p w14:paraId="47BE954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43</w:t>
            </w:r>
          </w:p>
        </w:tc>
        <w:tc>
          <w:tcPr>
            <w:tcW w:w="1230" w:type="dxa"/>
            <w:noWrap/>
            <w:hideMark/>
          </w:tcPr>
          <w:p w14:paraId="7571EA02"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14</w:t>
            </w:r>
          </w:p>
        </w:tc>
        <w:tc>
          <w:tcPr>
            <w:tcW w:w="1102" w:type="dxa"/>
            <w:noWrap/>
            <w:hideMark/>
          </w:tcPr>
          <w:p w14:paraId="2E2B3C6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9.11</w:t>
            </w:r>
          </w:p>
        </w:tc>
        <w:tc>
          <w:tcPr>
            <w:tcW w:w="1102" w:type="dxa"/>
            <w:noWrap/>
            <w:hideMark/>
          </w:tcPr>
          <w:p w14:paraId="4BB9D21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0.0016</w:t>
            </w:r>
          </w:p>
        </w:tc>
        <w:tc>
          <w:tcPr>
            <w:tcW w:w="1811" w:type="dxa"/>
            <w:noWrap/>
            <w:hideMark/>
          </w:tcPr>
          <w:p w14:paraId="32BD10C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11C5135E" w14:textId="77777777" w:rsidTr="00E632E6">
        <w:trPr>
          <w:trHeight w:val="288"/>
        </w:trPr>
        <w:tc>
          <w:tcPr>
            <w:tcW w:w="1418" w:type="dxa"/>
            <w:noWrap/>
            <w:hideMark/>
          </w:tcPr>
          <w:p w14:paraId="7E01B4D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GO:0090307</w:t>
            </w:r>
          </w:p>
        </w:tc>
        <w:tc>
          <w:tcPr>
            <w:tcW w:w="3119" w:type="dxa"/>
            <w:noWrap/>
            <w:hideMark/>
          </w:tcPr>
          <w:p w14:paraId="2284417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mitotic spindle assembly</w:t>
            </w:r>
          </w:p>
        </w:tc>
        <w:tc>
          <w:tcPr>
            <w:tcW w:w="1477" w:type="dxa"/>
            <w:noWrap/>
            <w:hideMark/>
          </w:tcPr>
          <w:p w14:paraId="46CFB76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40</w:t>
            </w:r>
          </w:p>
        </w:tc>
        <w:tc>
          <w:tcPr>
            <w:tcW w:w="1230" w:type="dxa"/>
            <w:noWrap/>
            <w:hideMark/>
          </w:tcPr>
          <w:p w14:paraId="29BC20C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16</w:t>
            </w:r>
          </w:p>
        </w:tc>
        <w:tc>
          <w:tcPr>
            <w:tcW w:w="1102" w:type="dxa"/>
            <w:noWrap/>
            <w:hideMark/>
          </w:tcPr>
          <w:p w14:paraId="3142E9E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8.47</w:t>
            </w:r>
          </w:p>
        </w:tc>
        <w:tc>
          <w:tcPr>
            <w:tcW w:w="1102" w:type="dxa"/>
            <w:noWrap/>
            <w:hideMark/>
          </w:tcPr>
          <w:p w14:paraId="6F1535A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0.0057</w:t>
            </w:r>
          </w:p>
        </w:tc>
        <w:tc>
          <w:tcPr>
            <w:tcW w:w="1811" w:type="dxa"/>
            <w:noWrap/>
            <w:hideMark/>
          </w:tcPr>
          <w:p w14:paraId="1BB88B4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FB2963B" w14:textId="77777777" w:rsidTr="00E632E6">
        <w:trPr>
          <w:trHeight w:val="288"/>
        </w:trPr>
        <w:tc>
          <w:tcPr>
            <w:tcW w:w="1418" w:type="dxa"/>
            <w:noWrap/>
            <w:hideMark/>
          </w:tcPr>
          <w:p w14:paraId="5084C36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GO:0051260</w:t>
            </w:r>
          </w:p>
        </w:tc>
        <w:tc>
          <w:tcPr>
            <w:tcW w:w="3119" w:type="dxa"/>
            <w:noWrap/>
            <w:hideMark/>
          </w:tcPr>
          <w:p w14:paraId="104A3B5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 xml:space="preserve">protein </w:t>
            </w:r>
            <w:proofErr w:type="spellStart"/>
            <w:r w:rsidRPr="00E632E6">
              <w:rPr>
                <w:rFonts w:ascii="Calibri" w:eastAsia="Times New Roman" w:hAnsi="Calibri" w:cs="Calibri"/>
                <w:color w:val="000000"/>
                <w:lang w:eastAsia="nl-NL"/>
              </w:rPr>
              <w:t>homooligomerization</w:t>
            </w:r>
            <w:proofErr w:type="spellEnd"/>
          </w:p>
        </w:tc>
        <w:tc>
          <w:tcPr>
            <w:tcW w:w="1477" w:type="dxa"/>
            <w:noWrap/>
            <w:hideMark/>
          </w:tcPr>
          <w:p w14:paraId="0AD32D0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81</w:t>
            </w:r>
          </w:p>
        </w:tc>
        <w:tc>
          <w:tcPr>
            <w:tcW w:w="1230" w:type="dxa"/>
            <w:noWrap/>
            <w:hideMark/>
          </w:tcPr>
          <w:p w14:paraId="6274519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23</w:t>
            </w:r>
          </w:p>
        </w:tc>
        <w:tc>
          <w:tcPr>
            <w:tcW w:w="1102" w:type="dxa"/>
            <w:noWrap/>
            <w:hideMark/>
          </w:tcPr>
          <w:p w14:paraId="236C0AF1"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17.15</w:t>
            </w:r>
          </w:p>
        </w:tc>
        <w:tc>
          <w:tcPr>
            <w:tcW w:w="1102" w:type="dxa"/>
            <w:noWrap/>
            <w:hideMark/>
          </w:tcPr>
          <w:p w14:paraId="02EC92A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0.0061</w:t>
            </w:r>
          </w:p>
        </w:tc>
        <w:tc>
          <w:tcPr>
            <w:tcW w:w="1811" w:type="dxa"/>
            <w:noWrap/>
            <w:hideMark/>
          </w:tcPr>
          <w:p w14:paraId="48C2AEA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B7BF5D8" w14:textId="77777777" w:rsidTr="00E632E6">
        <w:trPr>
          <w:trHeight w:val="288"/>
        </w:trPr>
        <w:tc>
          <w:tcPr>
            <w:tcW w:w="1418" w:type="dxa"/>
            <w:noWrap/>
            <w:hideMark/>
          </w:tcPr>
          <w:p w14:paraId="313A3F4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GO:0061025</w:t>
            </w:r>
          </w:p>
        </w:tc>
        <w:tc>
          <w:tcPr>
            <w:tcW w:w="3119" w:type="dxa"/>
            <w:noWrap/>
            <w:hideMark/>
          </w:tcPr>
          <w:p w14:paraId="229B868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membrane fusion</w:t>
            </w:r>
          </w:p>
        </w:tc>
        <w:tc>
          <w:tcPr>
            <w:tcW w:w="1477" w:type="dxa"/>
            <w:noWrap/>
            <w:hideMark/>
          </w:tcPr>
          <w:p w14:paraId="4383BD4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71</w:t>
            </w:r>
          </w:p>
        </w:tc>
        <w:tc>
          <w:tcPr>
            <w:tcW w:w="1230" w:type="dxa"/>
            <w:noWrap/>
            <w:hideMark/>
          </w:tcPr>
          <w:p w14:paraId="30024D40"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24</w:t>
            </w:r>
          </w:p>
        </w:tc>
        <w:tc>
          <w:tcPr>
            <w:tcW w:w="1102" w:type="dxa"/>
            <w:noWrap/>
            <w:hideMark/>
          </w:tcPr>
          <w:p w14:paraId="635A6A0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15.03</w:t>
            </w:r>
          </w:p>
        </w:tc>
        <w:tc>
          <w:tcPr>
            <w:tcW w:w="1102" w:type="dxa"/>
            <w:noWrap/>
            <w:hideMark/>
          </w:tcPr>
          <w:p w14:paraId="1EA1E629"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0.0082</w:t>
            </w:r>
          </w:p>
        </w:tc>
        <w:tc>
          <w:tcPr>
            <w:tcW w:w="1811" w:type="dxa"/>
            <w:noWrap/>
            <w:hideMark/>
          </w:tcPr>
          <w:p w14:paraId="44076A0B"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72145CAA" w14:textId="77777777" w:rsidTr="00E632E6">
        <w:trPr>
          <w:trHeight w:val="288"/>
        </w:trPr>
        <w:tc>
          <w:tcPr>
            <w:tcW w:w="1418" w:type="dxa"/>
            <w:noWrap/>
            <w:hideMark/>
          </w:tcPr>
          <w:p w14:paraId="0D93551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GO:0044403</w:t>
            </w:r>
          </w:p>
        </w:tc>
        <w:tc>
          <w:tcPr>
            <w:tcW w:w="3119" w:type="dxa"/>
            <w:noWrap/>
            <w:hideMark/>
          </w:tcPr>
          <w:p w14:paraId="6834CD8A"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biological process involved in symbiotic interaction</w:t>
            </w:r>
          </w:p>
        </w:tc>
        <w:tc>
          <w:tcPr>
            <w:tcW w:w="1477" w:type="dxa"/>
            <w:noWrap/>
            <w:hideMark/>
          </w:tcPr>
          <w:p w14:paraId="4CBE141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131</w:t>
            </w:r>
          </w:p>
        </w:tc>
        <w:tc>
          <w:tcPr>
            <w:tcW w:w="1230" w:type="dxa"/>
            <w:noWrap/>
            <w:hideMark/>
          </w:tcPr>
          <w:p w14:paraId="33152127"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35</w:t>
            </w:r>
          </w:p>
        </w:tc>
        <w:tc>
          <w:tcPr>
            <w:tcW w:w="1102" w:type="dxa"/>
            <w:noWrap/>
            <w:hideMark/>
          </w:tcPr>
          <w:p w14:paraId="4CA59F7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27.74</w:t>
            </w:r>
          </w:p>
        </w:tc>
        <w:tc>
          <w:tcPr>
            <w:tcW w:w="1102" w:type="dxa"/>
            <w:noWrap/>
            <w:hideMark/>
          </w:tcPr>
          <w:p w14:paraId="08E4AC2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0.0077</w:t>
            </w:r>
          </w:p>
        </w:tc>
        <w:tc>
          <w:tcPr>
            <w:tcW w:w="1811" w:type="dxa"/>
            <w:noWrap/>
            <w:hideMark/>
          </w:tcPr>
          <w:p w14:paraId="47ADD014"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68B5A3F7" w14:textId="77777777" w:rsidTr="00E632E6">
        <w:trPr>
          <w:trHeight w:val="288"/>
        </w:trPr>
        <w:tc>
          <w:tcPr>
            <w:tcW w:w="1418" w:type="dxa"/>
            <w:noWrap/>
            <w:hideMark/>
          </w:tcPr>
          <w:p w14:paraId="1233D7F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GO:0048608</w:t>
            </w:r>
          </w:p>
        </w:tc>
        <w:tc>
          <w:tcPr>
            <w:tcW w:w="3119" w:type="dxa"/>
            <w:noWrap/>
            <w:hideMark/>
          </w:tcPr>
          <w:p w14:paraId="69F0583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reproductive structure development</w:t>
            </w:r>
          </w:p>
        </w:tc>
        <w:tc>
          <w:tcPr>
            <w:tcW w:w="1477" w:type="dxa"/>
            <w:noWrap/>
            <w:hideMark/>
          </w:tcPr>
          <w:p w14:paraId="44755F7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184</w:t>
            </w:r>
          </w:p>
        </w:tc>
        <w:tc>
          <w:tcPr>
            <w:tcW w:w="1230" w:type="dxa"/>
            <w:noWrap/>
            <w:hideMark/>
          </w:tcPr>
          <w:p w14:paraId="65DC537C"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39</w:t>
            </w:r>
          </w:p>
        </w:tc>
        <w:tc>
          <w:tcPr>
            <w:tcW w:w="1102" w:type="dxa"/>
            <w:noWrap/>
            <w:hideMark/>
          </w:tcPr>
          <w:p w14:paraId="507BB488"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38.96</w:t>
            </w:r>
          </w:p>
        </w:tc>
        <w:tc>
          <w:tcPr>
            <w:tcW w:w="1102" w:type="dxa"/>
            <w:noWrap/>
            <w:hideMark/>
          </w:tcPr>
          <w:p w14:paraId="34C9A23E"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0.0059</w:t>
            </w:r>
          </w:p>
        </w:tc>
        <w:tc>
          <w:tcPr>
            <w:tcW w:w="1811" w:type="dxa"/>
            <w:noWrap/>
            <w:hideMark/>
          </w:tcPr>
          <w:p w14:paraId="3662006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1BEC50ED" w14:textId="77777777" w:rsidTr="00E632E6">
        <w:trPr>
          <w:trHeight w:val="288"/>
        </w:trPr>
        <w:tc>
          <w:tcPr>
            <w:tcW w:w="1418" w:type="dxa"/>
            <w:noWrap/>
            <w:hideMark/>
          </w:tcPr>
          <w:p w14:paraId="1B6017F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GO:0070201</w:t>
            </w:r>
          </w:p>
        </w:tc>
        <w:tc>
          <w:tcPr>
            <w:tcW w:w="3119" w:type="dxa"/>
            <w:noWrap/>
            <w:hideMark/>
          </w:tcPr>
          <w:p w14:paraId="508350E4"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regulation of establishment of protein localization</w:t>
            </w:r>
          </w:p>
        </w:tc>
        <w:tc>
          <w:tcPr>
            <w:tcW w:w="1477" w:type="dxa"/>
            <w:noWrap/>
            <w:hideMark/>
          </w:tcPr>
          <w:p w14:paraId="58C31A9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200</w:t>
            </w:r>
          </w:p>
        </w:tc>
        <w:tc>
          <w:tcPr>
            <w:tcW w:w="1230" w:type="dxa"/>
            <w:noWrap/>
            <w:hideMark/>
          </w:tcPr>
          <w:p w14:paraId="4FDFCB93"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48</w:t>
            </w:r>
          </w:p>
        </w:tc>
        <w:tc>
          <w:tcPr>
            <w:tcW w:w="1102" w:type="dxa"/>
            <w:noWrap/>
            <w:hideMark/>
          </w:tcPr>
          <w:p w14:paraId="5791B37F"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42.35</w:t>
            </w:r>
          </w:p>
        </w:tc>
        <w:tc>
          <w:tcPr>
            <w:tcW w:w="1102" w:type="dxa"/>
            <w:noWrap/>
            <w:hideMark/>
          </w:tcPr>
          <w:p w14:paraId="0B9FFAF6"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0.0093</w:t>
            </w:r>
          </w:p>
        </w:tc>
        <w:tc>
          <w:tcPr>
            <w:tcW w:w="1811" w:type="dxa"/>
            <w:noWrap/>
            <w:hideMark/>
          </w:tcPr>
          <w:p w14:paraId="136B7175" w14:textId="77777777" w:rsidR="000313AA" w:rsidRPr="00E632E6" w:rsidRDefault="000313AA" w:rsidP="00E632E6">
            <w:pPr>
              <w:jc w:val="cente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35F298DA" w14:textId="77777777" w:rsidTr="00E632E6">
        <w:trPr>
          <w:trHeight w:val="288"/>
        </w:trPr>
        <w:tc>
          <w:tcPr>
            <w:tcW w:w="1418" w:type="dxa"/>
            <w:noWrap/>
            <w:hideMark/>
          </w:tcPr>
          <w:p w14:paraId="53E9492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GO:0031175</w:t>
            </w:r>
          </w:p>
        </w:tc>
        <w:tc>
          <w:tcPr>
            <w:tcW w:w="3119" w:type="dxa"/>
            <w:noWrap/>
            <w:hideMark/>
          </w:tcPr>
          <w:p w14:paraId="37A8015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neuron projection development</w:t>
            </w:r>
          </w:p>
        </w:tc>
        <w:tc>
          <w:tcPr>
            <w:tcW w:w="1477" w:type="dxa"/>
            <w:noWrap/>
            <w:hideMark/>
          </w:tcPr>
          <w:p w14:paraId="4348F5FF"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494</w:t>
            </w:r>
          </w:p>
        </w:tc>
        <w:tc>
          <w:tcPr>
            <w:tcW w:w="1230" w:type="dxa"/>
            <w:noWrap/>
            <w:hideMark/>
          </w:tcPr>
          <w:p w14:paraId="61120DBA"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106</w:t>
            </w:r>
          </w:p>
        </w:tc>
        <w:tc>
          <w:tcPr>
            <w:tcW w:w="1102" w:type="dxa"/>
            <w:noWrap/>
            <w:hideMark/>
          </w:tcPr>
          <w:p w14:paraId="0CA58D7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104.61</w:t>
            </w:r>
          </w:p>
        </w:tc>
        <w:tc>
          <w:tcPr>
            <w:tcW w:w="1102" w:type="dxa"/>
            <w:noWrap/>
            <w:hideMark/>
          </w:tcPr>
          <w:p w14:paraId="4630A92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0.0005</w:t>
            </w:r>
          </w:p>
        </w:tc>
        <w:tc>
          <w:tcPr>
            <w:tcW w:w="1811" w:type="dxa"/>
            <w:noWrap/>
            <w:hideMark/>
          </w:tcPr>
          <w:p w14:paraId="53D538D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r w:rsidR="000313AA" w:rsidRPr="00F56116" w14:paraId="59A07F7E" w14:textId="77777777" w:rsidTr="00E632E6">
        <w:trPr>
          <w:trHeight w:val="288"/>
        </w:trPr>
        <w:tc>
          <w:tcPr>
            <w:tcW w:w="1418" w:type="dxa"/>
            <w:noWrap/>
            <w:hideMark/>
          </w:tcPr>
          <w:p w14:paraId="36DEA9A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GO:0032268</w:t>
            </w:r>
          </w:p>
        </w:tc>
        <w:tc>
          <w:tcPr>
            <w:tcW w:w="3119" w:type="dxa"/>
            <w:noWrap/>
            <w:hideMark/>
          </w:tcPr>
          <w:p w14:paraId="171E5571"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regulation of cellular protein metabolic process</w:t>
            </w:r>
          </w:p>
        </w:tc>
        <w:tc>
          <w:tcPr>
            <w:tcW w:w="1477" w:type="dxa"/>
            <w:noWrap/>
            <w:hideMark/>
          </w:tcPr>
          <w:p w14:paraId="01C07C43"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711</w:t>
            </w:r>
          </w:p>
        </w:tc>
        <w:tc>
          <w:tcPr>
            <w:tcW w:w="1230" w:type="dxa"/>
            <w:noWrap/>
            <w:hideMark/>
          </w:tcPr>
          <w:p w14:paraId="506BD042"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174</w:t>
            </w:r>
          </w:p>
        </w:tc>
        <w:tc>
          <w:tcPr>
            <w:tcW w:w="1102" w:type="dxa"/>
            <w:noWrap/>
            <w:hideMark/>
          </w:tcPr>
          <w:p w14:paraId="53215D7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150.56</w:t>
            </w:r>
          </w:p>
        </w:tc>
        <w:tc>
          <w:tcPr>
            <w:tcW w:w="1102" w:type="dxa"/>
            <w:noWrap/>
            <w:hideMark/>
          </w:tcPr>
          <w:p w14:paraId="420BF89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0.01</w:t>
            </w:r>
          </w:p>
        </w:tc>
        <w:tc>
          <w:tcPr>
            <w:tcW w:w="1811" w:type="dxa"/>
            <w:noWrap/>
            <w:hideMark/>
          </w:tcPr>
          <w:p w14:paraId="604BDE6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Lysosomal alpha glucosidase</w:t>
            </w:r>
          </w:p>
        </w:tc>
      </w:tr>
    </w:tbl>
    <w:p w14:paraId="7D47EFB1" w14:textId="77777777" w:rsidR="000313AA" w:rsidRPr="00F56116" w:rsidRDefault="000313AA" w:rsidP="000313AA">
      <w:pPr>
        <w:rPr>
          <w:rFonts w:ascii="Calibri" w:hAnsi="Calibri" w:cs="Calibri"/>
        </w:rPr>
      </w:pPr>
    </w:p>
    <w:p w14:paraId="4BC36138" w14:textId="6445D55C" w:rsidR="000313AA" w:rsidRPr="00F56116" w:rsidRDefault="000313AA" w:rsidP="000313AA">
      <w:pPr>
        <w:spacing w:after="120" w:line="480" w:lineRule="auto"/>
        <w:jc w:val="both"/>
        <w:rPr>
          <w:rFonts w:ascii="Calibri" w:hAnsi="Calibri" w:cs="Calibri"/>
        </w:rPr>
      </w:pPr>
      <w:r w:rsidRPr="00F56116">
        <w:rPr>
          <w:rFonts w:ascii="Calibri" w:hAnsi="Calibri" w:cs="Calibri"/>
          <w:b/>
          <w:bCs/>
        </w:rPr>
        <w:lastRenderedPageBreak/>
        <w:t xml:space="preserve">Table S3 </w:t>
      </w:r>
      <w:r w:rsidR="00E632E6">
        <w:rPr>
          <w:rFonts w:ascii="Calibri" w:hAnsi="Calibri" w:cs="Calibri"/>
        </w:rPr>
        <w:t>O</w:t>
      </w:r>
      <w:r w:rsidRPr="00F56116">
        <w:rPr>
          <w:rFonts w:ascii="Calibri" w:hAnsi="Calibri" w:cs="Calibri"/>
        </w:rPr>
        <w:t>verview of all GO terms found for all unannotated genes in the proteome</w:t>
      </w:r>
    </w:p>
    <w:tbl>
      <w:tblPr>
        <w:tblStyle w:val="Tabelraster"/>
        <w:tblW w:w="10207" w:type="dxa"/>
        <w:tblInd w:w="-856" w:type="dxa"/>
        <w:tblLook w:val="04A0" w:firstRow="1" w:lastRow="0" w:firstColumn="1" w:lastColumn="0" w:noHBand="0" w:noVBand="1"/>
      </w:tblPr>
      <w:tblGrid>
        <w:gridCol w:w="1702"/>
        <w:gridCol w:w="2327"/>
        <w:gridCol w:w="1194"/>
        <w:gridCol w:w="1170"/>
        <w:gridCol w:w="1166"/>
        <w:gridCol w:w="1166"/>
        <w:gridCol w:w="1482"/>
      </w:tblGrid>
      <w:tr w:rsidR="000313AA" w:rsidRPr="00F56116" w14:paraId="07C3B594" w14:textId="77777777" w:rsidTr="00E632E6">
        <w:trPr>
          <w:trHeight w:val="288"/>
        </w:trPr>
        <w:tc>
          <w:tcPr>
            <w:tcW w:w="1702" w:type="dxa"/>
            <w:noWrap/>
            <w:hideMark/>
          </w:tcPr>
          <w:p w14:paraId="21758E5E"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GO ID</w:t>
            </w:r>
          </w:p>
        </w:tc>
        <w:tc>
          <w:tcPr>
            <w:tcW w:w="2327" w:type="dxa"/>
            <w:noWrap/>
            <w:hideMark/>
          </w:tcPr>
          <w:p w14:paraId="35E36AA4"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Term</w:t>
            </w:r>
          </w:p>
        </w:tc>
        <w:tc>
          <w:tcPr>
            <w:tcW w:w="1194" w:type="dxa"/>
            <w:noWrap/>
            <w:hideMark/>
          </w:tcPr>
          <w:p w14:paraId="707EDBC9"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Annotated</w:t>
            </w:r>
          </w:p>
        </w:tc>
        <w:tc>
          <w:tcPr>
            <w:tcW w:w="1170" w:type="dxa"/>
            <w:noWrap/>
            <w:hideMark/>
          </w:tcPr>
          <w:p w14:paraId="4DC28F6D"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Significant</w:t>
            </w:r>
          </w:p>
        </w:tc>
        <w:tc>
          <w:tcPr>
            <w:tcW w:w="1166" w:type="dxa"/>
            <w:noWrap/>
            <w:hideMark/>
          </w:tcPr>
          <w:p w14:paraId="3C052788"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Expected</w:t>
            </w:r>
          </w:p>
        </w:tc>
        <w:tc>
          <w:tcPr>
            <w:tcW w:w="1166" w:type="dxa"/>
            <w:noWrap/>
            <w:hideMark/>
          </w:tcPr>
          <w:p w14:paraId="2CCA6B91"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Fisher</w:t>
            </w:r>
          </w:p>
        </w:tc>
        <w:tc>
          <w:tcPr>
            <w:tcW w:w="1482" w:type="dxa"/>
            <w:noWrap/>
            <w:hideMark/>
          </w:tcPr>
          <w:p w14:paraId="6C8D6760" w14:textId="77777777" w:rsidR="000313AA" w:rsidRPr="00E632E6" w:rsidRDefault="000313AA" w:rsidP="00E908E8">
            <w:pPr>
              <w:rPr>
                <w:rFonts w:ascii="Calibri" w:eastAsia="Times New Roman" w:hAnsi="Calibri" w:cs="Calibri"/>
                <w:b/>
                <w:bCs/>
                <w:color w:val="000000"/>
                <w:lang w:eastAsia="nl-NL"/>
              </w:rPr>
            </w:pPr>
            <w:r w:rsidRPr="00E632E6">
              <w:rPr>
                <w:rFonts w:ascii="Calibri" w:eastAsia="Times New Roman" w:hAnsi="Calibri" w:cs="Calibri"/>
                <w:b/>
                <w:bCs/>
                <w:color w:val="000000"/>
                <w:lang w:eastAsia="nl-NL"/>
              </w:rPr>
              <w:t>Ranking in haemolymph expression</w:t>
            </w:r>
          </w:p>
        </w:tc>
      </w:tr>
      <w:tr w:rsidR="000313AA" w:rsidRPr="00F56116" w14:paraId="776DA6D0" w14:textId="77777777" w:rsidTr="00E632E6">
        <w:trPr>
          <w:trHeight w:val="288"/>
        </w:trPr>
        <w:tc>
          <w:tcPr>
            <w:tcW w:w="1702" w:type="dxa"/>
            <w:noWrap/>
            <w:hideMark/>
          </w:tcPr>
          <w:p w14:paraId="7A19B13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GO:0035204</w:t>
            </w:r>
          </w:p>
        </w:tc>
        <w:tc>
          <w:tcPr>
            <w:tcW w:w="2327" w:type="dxa"/>
            <w:noWrap/>
            <w:hideMark/>
          </w:tcPr>
          <w:p w14:paraId="46B0DC54"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negative regulation of lamellocyte differentiation</w:t>
            </w:r>
          </w:p>
        </w:tc>
        <w:tc>
          <w:tcPr>
            <w:tcW w:w="1194" w:type="dxa"/>
            <w:noWrap/>
            <w:hideMark/>
          </w:tcPr>
          <w:p w14:paraId="0A016FD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170" w:type="dxa"/>
            <w:noWrap/>
            <w:hideMark/>
          </w:tcPr>
          <w:p w14:paraId="742C3F1A"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607DCAE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0.06</w:t>
            </w:r>
          </w:p>
        </w:tc>
        <w:tc>
          <w:tcPr>
            <w:tcW w:w="1166" w:type="dxa"/>
            <w:noWrap/>
            <w:hideMark/>
          </w:tcPr>
          <w:p w14:paraId="54DD962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0.0013</w:t>
            </w:r>
          </w:p>
        </w:tc>
        <w:tc>
          <w:tcPr>
            <w:tcW w:w="1482" w:type="dxa"/>
            <w:noWrap/>
            <w:hideMark/>
          </w:tcPr>
          <w:p w14:paraId="53D6EDC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2nd most expressed</w:t>
            </w:r>
          </w:p>
        </w:tc>
      </w:tr>
      <w:tr w:rsidR="000313AA" w:rsidRPr="00F56116" w14:paraId="11C2A62E" w14:textId="77777777" w:rsidTr="00E632E6">
        <w:trPr>
          <w:trHeight w:val="288"/>
        </w:trPr>
        <w:tc>
          <w:tcPr>
            <w:tcW w:w="1702" w:type="dxa"/>
            <w:noWrap/>
            <w:hideMark/>
          </w:tcPr>
          <w:p w14:paraId="44A5757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GO:0010613</w:t>
            </w:r>
          </w:p>
        </w:tc>
        <w:tc>
          <w:tcPr>
            <w:tcW w:w="2327" w:type="dxa"/>
            <w:noWrap/>
            <w:hideMark/>
          </w:tcPr>
          <w:p w14:paraId="1A994D66"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cardiac muscle hypertrophy</w:t>
            </w:r>
          </w:p>
        </w:tc>
        <w:tc>
          <w:tcPr>
            <w:tcW w:w="1194" w:type="dxa"/>
            <w:noWrap/>
            <w:hideMark/>
          </w:tcPr>
          <w:p w14:paraId="063B07BE"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15</w:t>
            </w:r>
          </w:p>
        </w:tc>
        <w:tc>
          <w:tcPr>
            <w:tcW w:w="1170" w:type="dxa"/>
            <w:noWrap/>
            <w:hideMark/>
          </w:tcPr>
          <w:p w14:paraId="21A4B4A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46B3401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0.12</w:t>
            </w:r>
          </w:p>
        </w:tc>
        <w:tc>
          <w:tcPr>
            <w:tcW w:w="1166" w:type="dxa"/>
            <w:noWrap/>
            <w:hideMark/>
          </w:tcPr>
          <w:p w14:paraId="65AE688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0.0062</w:t>
            </w:r>
          </w:p>
        </w:tc>
        <w:tc>
          <w:tcPr>
            <w:tcW w:w="1482" w:type="dxa"/>
            <w:noWrap/>
            <w:hideMark/>
          </w:tcPr>
          <w:p w14:paraId="6EECE96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2nd most expressed</w:t>
            </w:r>
          </w:p>
        </w:tc>
      </w:tr>
      <w:tr w:rsidR="000313AA" w:rsidRPr="00F56116" w14:paraId="2A2D0FD3" w14:textId="77777777" w:rsidTr="00E632E6">
        <w:trPr>
          <w:trHeight w:val="288"/>
        </w:trPr>
        <w:tc>
          <w:tcPr>
            <w:tcW w:w="1702" w:type="dxa"/>
            <w:noWrap/>
            <w:hideMark/>
          </w:tcPr>
          <w:p w14:paraId="736DE82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GO:0060395</w:t>
            </w:r>
          </w:p>
        </w:tc>
        <w:tc>
          <w:tcPr>
            <w:tcW w:w="2327" w:type="dxa"/>
            <w:noWrap/>
            <w:hideMark/>
          </w:tcPr>
          <w:p w14:paraId="5A6F4DB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SMAD protein signal transduction</w:t>
            </w:r>
          </w:p>
        </w:tc>
        <w:tc>
          <w:tcPr>
            <w:tcW w:w="1194" w:type="dxa"/>
            <w:noWrap/>
            <w:hideMark/>
          </w:tcPr>
          <w:p w14:paraId="7B0679B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18</w:t>
            </w:r>
          </w:p>
        </w:tc>
        <w:tc>
          <w:tcPr>
            <w:tcW w:w="1170" w:type="dxa"/>
            <w:noWrap/>
            <w:hideMark/>
          </w:tcPr>
          <w:p w14:paraId="42785FCF"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1F006BA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0.15</w:t>
            </w:r>
          </w:p>
        </w:tc>
        <w:tc>
          <w:tcPr>
            <w:tcW w:w="1166" w:type="dxa"/>
            <w:noWrap/>
            <w:hideMark/>
          </w:tcPr>
          <w:p w14:paraId="6E2DDAC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0.0089</w:t>
            </w:r>
          </w:p>
        </w:tc>
        <w:tc>
          <w:tcPr>
            <w:tcW w:w="1482" w:type="dxa"/>
            <w:noWrap/>
            <w:hideMark/>
          </w:tcPr>
          <w:p w14:paraId="702DDAB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2nd most expressed</w:t>
            </w:r>
          </w:p>
        </w:tc>
      </w:tr>
      <w:tr w:rsidR="000313AA" w:rsidRPr="00F56116" w14:paraId="74D85820" w14:textId="77777777" w:rsidTr="00E632E6">
        <w:trPr>
          <w:trHeight w:val="288"/>
        </w:trPr>
        <w:tc>
          <w:tcPr>
            <w:tcW w:w="1702" w:type="dxa"/>
            <w:noWrap/>
            <w:hideMark/>
          </w:tcPr>
          <w:p w14:paraId="1DC4EE0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GO:0045956</w:t>
            </w:r>
          </w:p>
        </w:tc>
        <w:tc>
          <w:tcPr>
            <w:tcW w:w="2327" w:type="dxa"/>
            <w:noWrap/>
            <w:hideMark/>
          </w:tcPr>
          <w:p w14:paraId="26ECCE0D"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calcium ion-dependent exocytosis</w:t>
            </w:r>
          </w:p>
        </w:tc>
        <w:tc>
          <w:tcPr>
            <w:tcW w:w="1194" w:type="dxa"/>
            <w:noWrap/>
            <w:hideMark/>
          </w:tcPr>
          <w:p w14:paraId="65A98916"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7</w:t>
            </w:r>
          </w:p>
        </w:tc>
        <w:tc>
          <w:tcPr>
            <w:tcW w:w="1170" w:type="dxa"/>
            <w:noWrap/>
            <w:hideMark/>
          </w:tcPr>
          <w:p w14:paraId="33FCEBF5"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08F4DD1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0.01</w:t>
            </w:r>
          </w:p>
        </w:tc>
        <w:tc>
          <w:tcPr>
            <w:tcW w:w="1166" w:type="dxa"/>
            <w:noWrap/>
            <w:hideMark/>
          </w:tcPr>
          <w:p w14:paraId="34D3637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&lt;0.0001</w:t>
            </w:r>
          </w:p>
        </w:tc>
        <w:tc>
          <w:tcPr>
            <w:tcW w:w="1482" w:type="dxa"/>
            <w:noWrap/>
            <w:hideMark/>
          </w:tcPr>
          <w:p w14:paraId="2C9BECC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3rd most expressed</w:t>
            </w:r>
          </w:p>
        </w:tc>
      </w:tr>
      <w:tr w:rsidR="000313AA" w:rsidRPr="00F56116" w14:paraId="4898BC47" w14:textId="77777777" w:rsidTr="00E632E6">
        <w:trPr>
          <w:trHeight w:val="288"/>
        </w:trPr>
        <w:tc>
          <w:tcPr>
            <w:tcW w:w="1702" w:type="dxa"/>
            <w:noWrap/>
            <w:hideMark/>
          </w:tcPr>
          <w:p w14:paraId="2AB9B3C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GO:0071422</w:t>
            </w:r>
          </w:p>
        </w:tc>
        <w:tc>
          <w:tcPr>
            <w:tcW w:w="2327" w:type="dxa"/>
            <w:noWrap/>
            <w:hideMark/>
          </w:tcPr>
          <w:p w14:paraId="3133497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succinate transmembrane transport</w:t>
            </w:r>
          </w:p>
        </w:tc>
        <w:tc>
          <w:tcPr>
            <w:tcW w:w="1194" w:type="dxa"/>
            <w:noWrap/>
            <w:hideMark/>
          </w:tcPr>
          <w:p w14:paraId="17952D99"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70" w:type="dxa"/>
            <w:noWrap/>
            <w:hideMark/>
          </w:tcPr>
          <w:p w14:paraId="51030D3D"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7D1FC20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0.06</w:t>
            </w:r>
          </w:p>
        </w:tc>
        <w:tc>
          <w:tcPr>
            <w:tcW w:w="1166" w:type="dxa"/>
            <w:noWrap/>
            <w:hideMark/>
          </w:tcPr>
          <w:p w14:paraId="4662D9A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0.0008</w:t>
            </w:r>
          </w:p>
        </w:tc>
        <w:tc>
          <w:tcPr>
            <w:tcW w:w="1482" w:type="dxa"/>
            <w:noWrap/>
            <w:hideMark/>
          </w:tcPr>
          <w:p w14:paraId="594509E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3338AC0A" w14:textId="77777777" w:rsidTr="00E632E6">
        <w:trPr>
          <w:trHeight w:val="288"/>
        </w:trPr>
        <w:tc>
          <w:tcPr>
            <w:tcW w:w="1702" w:type="dxa"/>
            <w:noWrap/>
            <w:hideMark/>
          </w:tcPr>
          <w:p w14:paraId="267BCAD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GO:0042713</w:t>
            </w:r>
          </w:p>
        </w:tc>
        <w:tc>
          <w:tcPr>
            <w:tcW w:w="2327" w:type="dxa"/>
            <w:noWrap/>
            <w:hideMark/>
          </w:tcPr>
          <w:p w14:paraId="76211B7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sperm ejaculation</w:t>
            </w:r>
          </w:p>
        </w:tc>
        <w:tc>
          <w:tcPr>
            <w:tcW w:w="1194" w:type="dxa"/>
            <w:noWrap/>
            <w:hideMark/>
          </w:tcPr>
          <w:p w14:paraId="6F271551"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70" w:type="dxa"/>
            <w:noWrap/>
            <w:hideMark/>
          </w:tcPr>
          <w:p w14:paraId="4969BF15"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78D46FC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08D2104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0.0024</w:t>
            </w:r>
          </w:p>
        </w:tc>
        <w:tc>
          <w:tcPr>
            <w:tcW w:w="1482" w:type="dxa"/>
            <w:noWrap/>
            <w:hideMark/>
          </w:tcPr>
          <w:p w14:paraId="7DC615A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6993B262" w14:textId="77777777" w:rsidTr="00E632E6">
        <w:trPr>
          <w:trHeight w:val="288"/>
        </w:trPr>
        <w:tc>
          <w:tcPr>
            <w:tcW w:w="1702" w:type="dxa"/>
            <w:noWrap/>
            <w:hideMark/>
          </w:tcPr>
          <w:p w14:paraId="202CBA8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GO:0010873</w:t>
            </w:r>
          </w:p>
        </w:tc>
        <w:tc>
          <w:tcPr>
            <w:tcW w:w="2327" w:type="dxa"/>
            <w:noWrap/>
            <w:hideMark/>
          </w:tcPr>
          <w:p w14:paraId="6EFB832F"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cholesterol esterification</w:t>
            </w:r>
          </w:p>
        </w:tc>
        <w:tc>
          <w:tcPr>
            <w:tcW w:w="1194" w:type="dxa"/>
            <w:noWrap/>
            <w:hideMark/>
          </w:tcPr>
          <w:p w14:paraId="41E4953D"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70" w:type="dxa"/>
            <w:noWrap/>
            <w:hideMark/>
          </w:tcPr>
          <w:p w14:paraId="793E260A"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6046488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0358C59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0.0024</w:t>
            </w:r>
          </w:p>
        </w:tc>
        <w:tc>
          <w:tcPr>
            <w:tcW w:w="1482" w:type="dxa"/>
            <w:noWrap/>
            <w:hideMark/>
          </w:tcPr>
          <w:p w14:paraId="7FA149A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2F8E9516" w14:textId="77777777" w:rsidTr="00E632E6">
        <w:trPr>
          <w:trHeight w:val="288"/>
        </w:trPr>
        <w:tc>
          <w:tcPr>
            <w:tcW w:w="1702" w:type="dxa"/>
            <w:noWrap/>
            <w:hideMark/>
          </w:tcPr>
          <w:p w14:paraId="622F394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GO:1903699</w:t>
            </w:r>
          </w:p>
        </w:tc>
        <w:tc>
          <w:tcPr>
            <w:tcW w:w="2327" w:type="dxa"/>
            <w:noWrap/>
            <w:hideMark/>
          </w:tcPr>
          <w:p w14:paraId="48B57DA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tarsal gland development</w:t>
            </w:r>
          </w:p>
        </w:tc>
        <w:tc>
          <w:tcPr>
            <w:tcW w:w="1194" w:type="dxa"/>
            <w:noWrap/>
            <w:hideMark/>
          </w:tcPr>
          <w:p w14:paraId="75A1A111"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70" w:type="dxa"/>
            <w:noWrap/>
            <w:hideMark/>
          </w:tcPr>
          <w:p w14:paraId="54ACF49F"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0A3163E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23D1B31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0.0024</w:t>
            </w:r>
          </w:p>
        </w:tc>
        <w:tc>
          <w:tcPr>
            <w:tcW w:w="1482" w:type="dxa"/>
            <w:noWrap/>
            <w:hideMark/>
          </w:tcPr>
          <w:p w14:paraId="3ECF3E1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28D2EE06" w14:textId="77777777" w:rsidTr="00E632E6">
        <w:trPr>
          <w:trHeight w:val="288"/>
        </w:trPr>
        <w:tc>
          <w:tcPr>
            <w:tcW w:w="1702" w:type="dxa"/>
            <w:noWrap/>
            <w:hideMark/>
          </w:tcPr>
          <w:p w14:paraId="0BFA297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GO:0043651</w:t>
            </w:r>
          </w:p>
        </w:tc>
        <w:tc>
          <w:tcPr>
            <w:tcW w:w="2327" w:type="dxa"/>
            <w:noWrap/>
            <w:hideMark/>
          </w:tcPr>
          <w:p w14:paraId="17155DC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linoleic acid metabolic process</w:t>
            </w:r>
          </w:p>
        </w:tc>
        <w:tc>
          <w:tcPr>
            <w:tcW w:w="1194" w:type="dxa"/>
            <w:noWrap/>
            <w:hideMark/>
          </w:tcPr>
          <w:p w14:paraId="29BA45F9"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70" w:type="dxa"/>
            <w:noWrap/>
            <w:hideMark/>
          </w:tcPr>
          <w:p w14:paraId="6A1B3646"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30FE0CF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1D4380E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0.0024</w:t>
            </w:r>
          </w:p>
        </w:tc>
        <w:tc>
          <w:tcPr>
            <w:tcW w:w="1482" w:type="dxa"/>
            <w:noWrap/>
            <w:hideMark/>
          </w:tcPr>
          <w:p w14:paraId="41B3C68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37887595" w14:textId="77777777" w:rsidTr="00E632E6">
        <w:trPr>
          <w:trHeight w:val="288"/>
        </w:trPr>
        <w:tc>
          <w:tcPr>
            <w:tcW w:w="1702" w:type="dxa"/>
            <w:noWrap/>
            <w:hideMark/>
          </w:tcPr>
          <w:p w14:paraId="3F0227A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GO:1903966</w:t>
            </w:r>
          </w:p>
        </w:tc>
        <w:tc>
          <w:tcPr>
            <w:tcW w:w="2327" w:type="dxa"/>
            <w:noWrap/>
            <w:hideMark/>
          </w:tcPr>
          <w:p w14:paraId="50B74851"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monounsaturated fatty acid biosynthetic process</w:t>
            </w:r>
          </w:p>
        </w:tc>
        <w:tc>
          <w:tcPr>
            <w:tcW w:w="1194" w:type="dxa"/>
            <w:noWrap/>
            <w:hideMark/>
          </w:tcPr>
          <w:p w14:paraId="225E3CCB"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70" w:type="dxa"/>
            <w:noWrap/>
            <w:hideMark/>
          </w:tcPr>
          <w:p w14:paraId="144F0AC5"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375CE4E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01C7759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0.0024</w:t>
            </w:r>
          </w:p>
        </w:tc>
        <w:tc>
          <w:tcPr>
            <w:tcW w:w="1482" w:type="dxa"/>
            <w:noWrap/>
            <w:hideMark/>
          </w:tcPr>
          <w:p w14:paraId="5BF7411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08B5BDFF" w14:textId="77777777" w:rsidTr="00E632E6">
        <w:trPr>
          <w:trHeight w:val="288"/>
        </w:trPr>
        <w:tc>
          <w:tcPr>
            <w:tcW w:w="1702" w:type="dxa"/>
            <w:noWrap/>
            <w:hideMark/>
          </w:tcPr>
          <w:p w14:paraId="0913B36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GO:0006723</w:t>
            </w:r>
          </w:p>
        </w:tc>
        <w:tc>
          <w:tcPr>
            <w:tcW w:w="2327" w:type="dxa"/>
            <w:noWrap/>
            <w:hideMark/>
          </w:tcPr>
          <w:p w14:paraId="53D5CA2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cuticle hydrocarbon biosynthetic process</w:t>
            </w:r>
          </w:p>
        </w:tc>
        <w:tc>
          <w:tcPr>
            <w:tcW w:w="1194" w:type="dxa"/>
            <w:noWrap/>
            <w:hideMark/>
          </w:tcPr>
          <w:p w14:paraId="4BB86D24"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70" w:type="dxa"/>
            <w:noWrap/>
            <w:hideMark/>
          </w:tcPr>
          <w:p w14:paraId="7D3FE26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16DD91F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4D347C3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0.0024</w:t>
            </w:r>
          </w:p>
        </w:tc>
        <w:tc>
          <w:tcPr>
            <w:tcW w:w="1482" w:type="dxa"/>
            <w:noWrap/>
            <w:hideMark/>
          </w:tcPr>
          <w:p w14:paraId="718EA75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54CBACE4" w14:textId="77777777" w:rsidTr="00E632E6">
        <w:trPr>
          <w:trHeight w:val="288"/>
        </w:trPr>
        <w:tc>
          <w:tcPr>
            <w:tcW w:w="1702" w:type="dxa"/>
            <w:noWrap/>
            <w:hideMark/>
          </w:tcPr>
          <w:p w14:paraId="3F46A4F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GO:0010378</w:t>
            </w:r>
          </w:p>
        </w:tc>
        <w:tc>
          <w:tcPr>
            <w:tcW w:w="2327" w:type="dxa"/>
            <w:noWrap/>
            <w:hideMark/>
          </w:tcPr>
          <w:p w14:paraId="1432B26E"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temperature compensation of the circadian clock</w:t>
            </w:r>
          </w:p>
        </w:tc>
        <w:tc>
          <w:tcPr>
            <w:tcW w:w="1194" w:type="dxa"/>
            <w:noWrap/>
            <w:hideMark/>
          </w:tcPr>
          <w:p w14:paraId="77F3E99E"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70" w:type="dxa"/>
            <w:noWrap/>
            <w:hideMark/>
          </w:tcPr>
          <w:p w14:paraId="6356536C"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01CB4E5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6F89665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482" w:type="dxa"/>
            <w:noWrap/>
            <w:hideMark/>
          </w:tcPr>
          <w:p w14:paraId="05276EA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67AFE734" w14:textId="77777777" w:rsidTr="00E632E6">
        <w:trPr>
          <w:trHeight w:val="288"/>
        </w:trPr>
        <w:tc>
          <w:tcPr>
            <w:tcW w:w="1702" w:type="dxa"/>
            <w:noWrap/>
            <w:hideMark/>
          </w:tcPr>
          <w:p w14:paraId="24B48C9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GO:0070474</w:t>
            </w:r>
          </w:p>
        </w:tc>
        <w:tc>
          <w:tcPr>
            <w:tcW w:w="2327" w:type="dxa"/>
            <w:noWrap/>
            <w:hideMark/>
          </w:tcPr>
          <w:p w14:paraId="3D81FD3B"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uterine smooth muscle contraction</w:t>
            </w:r>
          </w:p>
        </w:tc>
        <w:tc>
          <w:tcPr>
            <w:tcW w:w="1194" w:type="dxa"/>
            <w:noWrap/>
            <w:hideMark/>
          </w:tcPr>
          <w:p w14:paraId="3EDC96C0"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70" w:type="dxa"/>
            <w:noWrap/>
            <w:hideMark/>
          </w:tcPr>
          <w:p w14:paraId="2F90272E"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483BEAF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3DB2357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482" w:type="dxa"/>
            <w:noWrap/>
            <w:hideMark/>
          </w:tcPr>
          <w:p w14:paraId="78B8E18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656BC8AF" w14:textId="77777777" w:rsidTr="00E632E6">
        <w:trPr>
          <w:trHeight w:val="288"/>
        </w:trPr>
        <w:tc>
          <w:tcPr>
            <w:tcW w:w="1702" w:type="dxa"/>
            <w:noWrap/>
            <w:hideMark/>
          </w:tcPr>
          <w:p w14:paraId="6245B1E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GO:0035338</w:t>
            </w:r>
          </w:p>
        </w:tc>
        <w:tc>
          <w:tcPr>
            <w:tcW w:w="2327" w:type="dxa"/>
            <w:noWrap/>
            <w:hideMark/>
          </w:tcPr>
          <w:p w14:paraId="26C68FA2"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long-chain fatty-acyl-CoA biosynthetic process</w:t>
            </w:r>
          </w:p>
        </w:tc>
        <w:tc>
          <w:tcPr>
            <w:tcW w:w="1194" w:type="dxa"/>
            <w:noWrap/>
            <w:hideMark/>
          </w:tcPr>
          <w:p w14:paraId="2A8113D8"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70" w:type="dxa"/>
            <w:noWrap/>
            <w:hideMark/>
          </w:tcPr>
          <w:p w14:paraId="34E2FEB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035283A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0F90867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482" w:type="dxa"/>
            <w:noWrap/>
            <w:hideMark/>
          </w:tcPr>
          <w:p w14:paraId="368347F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1A7A0F3E" w14:textId="77777777" w:rsidTr="00E632E6">
        <w:trPr>
          <w:trHeight w:val="288"/>
        </w:trPr>
        <w:tc>
          <w:tcPr>
            <w:tcW w:w="1702" w:type="dxa"/>
            <w:noWrap/>
            <w:hideMark/>
          </w:tcPr>
          <w:p w14:paraId="72FEBD2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GO:0032025</w:t>
            </w:r>
          </w:p>
        </w:tc>
        <w:tc>
          <w:tcPr>
            <w:tcW w:w="2327" w:type="dxa"/>
            <w:noWrap/>
            <w:hideMark/>
          </w:tcPr>
          <w:p w14:paraId="31AAC03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response to cobalt ion</w:t>
            </w:r>
          </w:p>
        </w:tc>
        <w:tc>
          <w:tcPr>
            <w:tcW w:w="1194" w:type="dxa"/>
            <w:noWrap/>
            <w:hideMark/>
          </w:tcPr>
          <w:p w14:paraId="7E9C78A8"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70" w:type="dxa"/>
            <w:noWrap/>
            <w:hideMark/>
          </w:tcPr>
          <w:p w14:paraId="53CDC934"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18ACB99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3559A13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482" w:type="dxa"/>
            <w:noWrap/>
            <w:hideMark/>
          </w:tcPr>
          <w:p w14:paraId="4A89908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03F4A362" w14:textId="77777777" w:rsidTr="00E632E6">
        <w:trPr>
          <w:trHeight w:val="288"/>
        </w:trPr>
        <w:tc>
          <w:tcPr>
            <w:tcW w:w="1702" w:type="dxa"/>
            <w:noWrap/>
            <w:hideMark/>
          </w:tcPr>
          <w:p w14:paraId="57A7779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GO:0036109</w:t>
            </w:r>
          </w:p>
        </w:tc>
        <w:tc>
          <w:tcPr>
            <w:tcW w:w="2327" w:type="dxa"/>
            <w:noWrap/>
            <w:hideMark/>
          </w:tcPr>
          <w:p w14:paraId="4EA3D34A"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alpha-linolenic acid metabolic process</w:t>
            </w:r>
          </w:p>
        </w:tc>
        <w:tc>
          <w:tcPr>
            <w:tcW w:w="1194" w:type="dxa"/>
            <w:noWrap/>
            <w:hideMark/>
          </w:tcPr>
          <w:p w14:paraId="7DEDAC40"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70" w:type="dxa"/>
            <w:noWrap/>
            <w:hideMark/>
          </w:tcPr>
          <w:p w14:paraId="21F60272"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75C8982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2B8291C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482" w:type="dxa"/>
            <w:noWrap/>
            <w:hideMark/>
          </w:tcPr>
          <w:p w14:paraId="4B1F1EF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070B395D" w14:textId="77777777" w:rsidTr="00E632E6">
        <w:trPr>
          <w:trHeight w:val="288"/>
        </w:trPr>
        <w:tc>
          <w:tcPr>
            <w:tcW w:w="1702" w:type="dxa"/>
            <w:noWrap/>
            <w:hideMark/>
          </w:tcPr>
          <w:p w14:paraId="5B2CA76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lastRenderedPageBreak/>
              <w:t>GO:1904058</w:t>
            </w:r>
          </w:p>
        </w:tc>
        <w:tc>
          <w:tcPr>
            <w:tcW w:w="2327" w:type="dxa"/>
            <w:noWrap/>
            <w:hideMark/>
          </w:tcPr>
          <w:p w14:paraId="5B1F6BEB"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sensory perception of pain</w:t>
            </w:r>
          </w:p>
        </w:tc>
        <w:tc>
          <w:tcPr>
            <w:tcW w:w="1194" w:type="dxa"/>
            <w:noWrap/>
            <w:hideMark/>
          </w:tcPr>
          <w:p w14:paraId="5F7BEB1D"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70" w:type="dxa"/>
            <w:noWrap/>
            <w:hideMark/>
          </w:tcPr>
          <w:p w14:paraId="2FF7A216"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4A11E4B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2B7FCED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0.0047</w:t>
            </w:r>
          </w:p>
        </w:tc>
        <w:tc>
          <w:tcPr>
            <w:tcW w:w="1482" w:type="dxa"/>
            <w:noWrap/>
            <w:hideMark/>
          </w:tcPr>
          <w:p w14:paraId="612FEFB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58DECF49" w14:textId="77777777" w:rsidTr="00E632E6">
        <w:trPr>
          <w:trHeight w:val="288"/>
        </w:trPr>
        <w:tc>
          <w:tcPr>
            <w:tcW w:w="1702" w:type="dxa"/>
            <w:noWrap/>
            <w:hideMark/>
          </w:tcPr>
          <w:p w14:paraId="54A4530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GO:0048133</w:t>
            </w:r>
          </w:p>
        </w:tc>
        <w:tc>
          <w:tcPr>
            <w:tcW w:w="2327" w:type="dxa"/>
            <w:noWrap/>
            <w:hideMark/>
          </w:tcPr>
          <w:p w14:paraId="3F119D11"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male germ-line stem cell asymmetric division</w:t>
            </w:r>
          </w:p>
        </w:tc>
        <w:tc>
          <w:tcPr>
            <w:tcW w:w="1194" w:type="dxa"/>
            <w:noWrap/>
            <w:hideMark/>
          </w:tcPr>
          <w:p w14:paraId="21C35C23"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5EB25EB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7BE86E9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0.14</w:t>
            </w:r>
          </w:p>
        </w:tc>
        <w:tc>
          <w:tcPr>
            <w:tcW w:w="1166" w:type="dxa"/>
            <w:noWrap/>
            <w:hideMark/>
          </w:tcPr>
          <w:p w14:paraId="1EE6939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0.0077</w:t>
            </w:r>
          </w:p>
        </w:tc>
        <w:tc>
          <w:tcPr>
            <w:tcW w:w="1482" w:type="dxa"/>
            <w:noWrap/>
            <w:hideMark/>
          </w:tcPr>
          <w:p w14:paraId="0EB88BF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005278B9" w14:textId="77777777" w:rsidTr="00E632E6">
        <w:trPr>
          <w:trHeight w:val="288"/>
        </w:trPr>
        <w:tc>
          <w:tcPr>
            <w:tcW w:w="1702" w:type="dxa"/>
            <w:noWrap/>
            <w:hideMark/>
          </w:tcPr>
          <w:p w14:paraId="76C2F8B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GO:0034625</w:t>
            </w:r>
          </w:p>
        </w:tc>
        <w:tc>
          <w:tcPr>
            <w:tcW w:w="2327" w:type="dxa"/>
            <w:noWrap/>
            <w:hideMark/>
          </w:tcPr>
          <w:p w14:paraId="30CC4C1D"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fatty acid elongation, monounsaturated fatty acid</w:t>
            </w:r>
          </w:p>
        </w:tc>
        <w:tc>
          <w:tcPr>
            <w:tcW w:w="1194" w:type="dxa"/>
            <w:noWrap/>
            <w:hideMark/>
          </w:tcPr>
          <w:p w14:paraId="2890C0E4"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5444A1D3"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680101E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0.14</w:t>
            </w:r>
          </w:p>
        </w:tc>
        <w:tc>
          <w:tcPr>
            <w:tcW w:w="1166" w:type="dxa"/>
            <w:noWrap/>
            <w:hideMark/>
          </w:tcPr>
          <w:p w14:paraId="09B3DEF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0.0077</w:t>
            </w:r>
          </w:p>
        </w:tc>
        <w:tc>
          <w:tcPr>
            <w:tcW w:w="1482" w:type="dxa"/>
            <w:noWrap/>
            <w:hideMark/>
          </w:tcPr>
          <w:p w14:paraId="547DFCA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74793156" w14:textId="77777777" w:rsidTr="00E632E6">
        <w:trPr>
          <w:trHeight w:val="288"/>
        </w:trPr>
        <w:tc>
          <w:tcPr>
            <w:tcW w:w="1702" w:type="dxa"/>
            <w:noWrap/>
            <w:hideMark/>
          </w:tcPr>
          <w:p w14:paraId="76EE13D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GO:0034626</w:t>
            </w:r>
          </w:p>
        </w:tc>
        <w:tc>
          <w:tcPr>
            <w:tcW w:w="2327" w:type="dxa"/>
            <w:noWrap/>
            <w:hideMark/>
          </w:tcPr>
          <w:p w14:paraId="267B2520"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fatty acid elongation, polyunsaturated fatty acid</w:t>
            </w:r>
          </w:p>
        </w:tc>
        <w:tc>
          <w:tcPr>
            <w:tcW w:w="1194" w:type="dxa"/>
            <w:noWrap/>
            <w:hideMark/>
          </w:tcPr>
          <w:p w14:paraId="5D4C0993"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49183B25"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41A1E61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0.14</w:t>
            </w:r>
          </w:p>
        </w:tc>
        <w:tc>
          <w:tcPr>
            <w:tcW w:w="1166" w:type="dxa"/>
            <w:noWrap/>
            <w:hideMark/>
          </w:tcPr>
          <w:p w14:paraId="7B05C10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0.0077</w:t>
            </w:r>
          </w:p>
        </w:tc>
        <w:tc>
          <w:tcPr>
            <w:tcW w:w="1482" w:type="dxa"/>
            <w:noWrap/>
            <w:hideMark/>
          </w:tcPr>
          <w:p w14:paraId="26CBD36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0FEED960" w14:textId="77777777" w:rsidTr="00E632E6">
        <w:trPr>
          <w:trHeight w:val="288"/>
        </w:trPr>
        <w:tc>
          <w:tcPr>
            <w:tcW w:w="1702" w:type="dxa"/>
            <w:noWrap/>
            <w:hideMark/>
          </w:tcPr>
          <w:p w14:paraId="6866AF2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GO:0019367</w:t>
            </w:r>
          </w:p>
        </w:tc>
        <w:tc>
          <w:tcPr>
            <w:tcW w:w="2327" w:type="dxa"/>
            <w:noWrap/>
            <w:hideMark/>
          </w:tcPr>
          <w:p w14:paraId="465AF96F"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fatty acid elongation, saturated fatty acid</w:t>
            </w:r>
          </w:p>
        </w:tc>
        <w:tc>
          <w:tcPr>
            <w:tcW w:w="1194" w:type="dxa"/>
            <w:noWrap/>
            <w:hideMark/>
          </w:tcPr>
          <w:p w14:paraId="2B1FF7FC"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04793E2A"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3A528CE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0.14</w:t>
            </w:r>
          </w:p>
        </w:tc>
        <w:tc>
          <w:tcPr>
            <w:tcW w:w="1166" w:type="dxa"/>
            <w:noWrap/>
            <w:hideMark/>
          </w:tcPr>
          <w:p w14:paraId="0BF443E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0.0077</w:t>
            </w:r>
          </w:p>
        </w:tc>
        <w:tc>
          <w:tcPr>
            <w:tcW w:w="1482" w:type="dxa"/>
            <w:noWrap/>
            <w:hideMark/>
          </w:tcPr>
          <w:p w14:paraId="34DCA69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2205161B" w14:textId="77777777" w:rsidTr="00E632E6">
        <w:trPr>
          <w:trHeight w:val="288"/>
        </w:trPr>
        <w:tc>
          <w:tcPr>
            <w:tcW w:w="1702" w:type="dxa"/>
            <w:noWrap/>
            <w:hideMark/>
          </w:tcPr>
          <w:p w14:paraId="5916036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GO:0035844</w:t>
            </w:r>
          </w:p>
        </w:tc>
        <w:tc>
          <w:tcPr>
            <w:tcW w:w="2327" w:type="dxa"/>
            <w:noWrap/>
            <w:hideMark/>
          </w:tcPr>
          <w:p w14:paraId="3C8D63D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cloaca development</w:t>
            </w:r>
          </w:p>
        </w:tc>
        <w:tc>
          <w:tcPr>
            <w:tcW w:w="1194" w:type="dxa"/>
            <w:noWrap/>
            <w:hideMark/>
          </w:tcPr>
          <w:p w14:paraId="173C8F72"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0957B573"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04D8B6A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0.14</w:t>
            </w:r>
          </w:p>
        </w:tc>
        <w:tc>
          <w:tcPr>
            <w:tcW w:w="1166" w:type="dxa"/>
            <w:noWrap/>
            <w:hideMark/>
          </w:tcPr>
          <w:p w14:paraId="08E2D44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0.0077</w:t>
            </w:r>
          </w:p>
        </w:tc>
        <w:tc>
          <w:tcPr>
            <w:tcW w:w="1482" w:type="dxa"/>
            <w:noWrap/>
            <w:hideMark/>
          </w:tcPr>
          <w:p w14:paraId="00F7159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7A10F913" w14:textId="77777777" w:rsidTr="00E632E6">
        <w:trPr>
          <w:trHeight w:val="288"/>
        </w:trPr>
        <w:tc>
          <w:tcPr>
            <w:tcW w:w="1702" w:type="dxa"/>
            <w:noWrap/>
            <w:hideMark/>
          </w:tcPr>
          <w:p w14:paraId="382DDD2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GO:0006572</w:t>
            </w:r>
          </w:p>
        </w:tc>
        <w:tc>
          <w:tcPr>
            <w:tcW w:w="2327" w:type="dxa"/>
            <w:noWrap/>
            <w:hideMark/>
          </w:tcPr>
          <w:p w14:paraId="52891FB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tyrosine catabolic process</w:t>
            </w:r>
          </w:p>
        </w:tc>
        <w:tc>
          <w:tcPr>
            <w:tcW w:w="1194" w:type="dxa"/>
            <w:noWrap/>
            <w:hideMark/>
          </w:tcPr>
          <w:p w14:paraId="719317E8"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33090A5B"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66" w:type="dxa"/>
            <w:noWrap/>
            <w:hideMark/>
          </w:tcPr>
          <w:p w14:paraId="7CDF0E4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0.14</w:t>
            </w:r>
          </w:p>
        </w:tc>
        <w:tc>
          <w:tcPr>
            <w:tcW w:w="1166" w:type="dxa"/>
            <w:noWrap/>
            <w:hideMark/>
          </w:tcPr>
          <w:p w14:paraId="14330BF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0.0002</w:t>
            </w:r>
          </w:p>
        </w:tc>
        <w:tc>
          <w:tcPr>
            <w:tcW w:w="1482" w:type="dxa"/>
            <w:noWrap/>
            <w:hideMark/>
          </w:tcPr>
          <w:p w14:paraId="055DC9B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0AFAD298" w14:textId="77777777" w:rsidTr="00E632E6">
        <w:trPr>
          <w:trHeight w:val="288"/>
        </w:trPr>
        <w:tc>
          <w:tcPr>
            <w:tcW w:w="1702" w:type="dxa"/>
            <w:noWrap/>
            <w:hideMark/>
          </w:tcPr>
          <w:p w14:paraId="78304E8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GO:0006559</w:t>
            </w:r>
          </w:p>
        </w:tc>
        <w:tc>
          <w:tcPr>
            <w:tcW w:w="2327" w:type="dxa"/>
            <w:noWrap/>
            <w:hideMark/>
          </w:tcPr>
          <w:p w14:paraId="704272C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L-phenylalanine catabolic process</w:t>
            </w:r>
          </w:p>
        </w:tc>
        <w:tc>
          <w:tcPr>
            <w:tcW w:w="1194" w:type="dxa"/>
            <w:noWrap/>
            <w:hideMark/>
          </w:tcPr>
          <w:p w14:paraId="403A2A5D"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6</w:t>
            </w:r>
          </w:p>
        </w:tc>
        <w:tc>
          <w:tcPr>
            <w:tcW w:w="1170" w:type="dxa"/>
            <w:noWrap/>
            <w:hideMark/>
          </w:tcPr>
          <w:p w14:paraId="1278052F"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66" w:type="dxa"/>
            <w:noWrap/>
            <w:hideMark/>
          </w:tcPr>
          <w:p w14:paraId="216B95EC"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0.17</w:t>
            </w:r>
          </w:p>
        </w:tc>
        <w:tc>
          <w:tcPr>
            <w:tcW w:w="1166" w:type="dxa"/>
            <w:noWrap/>
            <w:hideMark/>
          </w:tcPr>
          <w:p w14:paraId="37633AE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0.0004</w:t>
            </w:r>
          </w:p>
        </w:tc>
        <w:tc>
          <w:tcPr>
            <w:tcW w:w="1482" w:type="dxa"/>
            <w:noWrap/>
            <w:hideMark/>
          </w:tcPr>
          <w:p w14:paraId="74D7844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3560269F" w14:textId="77777777" w:rsidTr="00E632E6">
        <w:trPr>
          <w:trHeight w:val="288"/>
        </w:trPr>
        <w:tc>
          <w:tcPr>
            <w:tcW w:w="1702" w:type="dxa"/>
            <w:noWrap/>
            <w:hideMark/>
          </w:tcPr>
          <w:p w14:paraId="536DBE4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GO:0019432</w:t>
            </w:r>
          </w:p>
        </w:tc>
        <w:tc>
          <w:tcPr>
            <w:tcW w:w="2327" w:type="dxa"/>
            <w:noWrap/>
            <w:hideMark/>
          </w:tcPr>
          <w:p w14:paraId="34287D7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triglyceride biosynthetic process</w:t>
            </w:r>
          </w:p>
        </w:tc>
        <w:tc>
          <w:tcPr>
            <w:tcW w:w="1194" w:type="dxa"/>
            <w:noWrap/>
            <w:hideMark/>
          </w:tcPr>
          <w:p w14:paraId="1061D40A"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19</w:t>
            </w:r>
          </w:p>
        </w:tc>
        <w:tc>
          <w:tcPr>
            <w:tcW w:w="1170" w:type="dxa"/>
            <w:noWrap/>
            <w:hideMark/>
          </w:tcPr>
          <w:p w14:paraId="141031A4"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w:t>
            </w:r>
          </w:p>
        </w:tc>
        <w:tc>
          <w:tcPr>
            <w:tcW w:w="1166" w:type="dxa"/>
            <w:noWrap/>
            <w:hideMark/>
          </w:tcPr>
          <w:p w14:paraId="4C4D284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0.55</w:t>
            </w:r>
          </w:p>
        </w:tc>
        <w:tc>
          <w:tcPr>
            <w:tcW w:w="1166" w:type="dxa"/>
            <w:noWrap/>
            <w:hideMark/>
          </w:tcPr>
          <w:p w14:paraId="470F4BD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0.0017</w:t>
            </w:r>
          </w:p>
        </w:tc>
        <w:tc>
          <w:tcPr>
            <w:tcW w:w="1482" w:type="dxa"/>
            <w:noWrap/>
            <w:hideMark/>
          </w:tcPr>
          <w:p w14:paraId="30DD505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65462709" w14:textId="77777777" w:rsidTr="00E632E6">
        <w:trPr>
          <w:trHeight w:val="288"/>
        </w:trPr>
        <w:tc>
          <w:tcPr>
            <w:tcW w:w="1702" w:type="dxa"/>
            <w:noWrap/>
            <w:hideMark/>
          </w:tcPr>
          <w:p w14:paraId="44B675C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GO:0016318</w:t>
            </w:r>
          </w:p>
        </w:tc>
        <w:tc>
          <w:tcPr>
            <w:tcW w:w="2327" w:type="dxa"/>
            <w:noWrap/>
            <w:hideMark/>
          </w:tcPr>
          <w:p w14:paraId="26D05EB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ommatidial rotation</w:t>
            </w:r>
          </w:p>
        </w:tc>
        <w:tc>
          <w:tcPr>
            <w:tcW w:w="1194" w:type="dxa"/>
            <w:noWrap/>
            <w:hideMark/>
          </w:tcPr>
          <w:p w14:paraId="22CE0751"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25</w:t>
            </w:r>
          </w:p>
        </w:tc>
        <w:tc>
          <w:tcPr>
            <w:tcW w:w="1170" w:type="dxa"/>
            <w:noWrap/>
            <w:hideMark/>
          </w:tcPr>
          <w:p w14:paraId="54FB85CB"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66" w:type="dxa"/>
            <w:noWrap/>
            <w:hideMark/>
          </w:tcPr>
          <w:p w14:paraId="50488EA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0.72</w:t>
            </w:r>
          </w:p>
        </w:tc>
        <w:tc>
          <w:tcPr>
            <w:tcW w:w="1166" w:type="dxa"/>
            <w:noWrap/>
            <w:hideMark/>
          </w:tcPr>
          <w:p w14:paraId="0A9517E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0.0006</w:t>
            </w:r>
          </w:p>
        </w:tc>
        <w:tc>
          <w:tcPr>
            <w:tcW w:w="1482" w:type="dxa"/>
            <w:noWrap/>
            <w:hideMark/>
          </w:tcPr>
          <w:p w14:paraId="14C1AE3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7EEB04C4" w14:textId="77777777" w:rsidTr="00E632E6">
        <w:trPr>
          <w:trHeight w:val="288"/>
        </w:trPr>
        <w:tc>
          <w:tcPr>
            <w:tcW w:w="1702" w:type="dxa"/>
            <w:noWrap/>
            <w:hideMark/>
          </w:tcPr>
          <w:p w14:paraId="4F546C0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GO:0090175</w:t>
            </w:r>
          </w:p>
        </w:tc>
        <w:tc>
          <w:tcPr>
            <w:tcW w:w="2327" w:type="dxa"/>
            <w:noWrap/>
            <w:hideMark/>
          </w:tcPr>
          <w:p w14:paraId="74C1D1C9"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regulation of establishment of planar polarity</w:t>
            </w:r>
          </w:p>
        </w:tc>
        <w:tc>
          <w:tcPr>
            <w:tcW w:w="1194" w:type="dxa"/>
            <w:noWrap/>
            <w:hideMark/>
          </w:tcPr>
          <w:p w14:paraId="4A9A0C85"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43</w:t>
            </w:r>
          </w:p>
        </w:tc>
        <w:tc>
          <w:tcPr>
            <w:tcW w:w="1170" w:type="dxa"/>
            <w:noWrap/>
            <w:hideMark/>
          </w:tcPr>
          <w:p w14:paraId="12DF37F1"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66" w:type="dxa"/>
            <w:noWrap/>
            <w:hideMark/>
          </w:tcPr>
          <w:p w14:paraId="1871C210"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1.23</w:t>
            </w:r>
          </w:p>
        </w:tc>
        <w:tc>
          <w:tcPr>
            <w:tcW w:w="1166" w:type="dxa"/>
            <w:noWrap/>
            <w:hideMark/>
          </w:tcPr>
          <w:p w14:paraId="5F2EAB6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0.0041</w:t>
            </w:r>
          </w:p>
        </w:tc>
        <w:tc>
          <w:tcPr>
            <w:tcW w:w="1482" w:type="dxa"/>
            <w:noWrap/>
            <w:hideMark/>
          </w:tcPr>
          <w:p w14:paraId="1C72E5E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3B3F466C" w14:textId="77777777" w:rsidTr="00E632E6">
        <w:trPr>
          <w:trHeight w:val="288"/>
        </w:trPr>
        <w:tc>
          <w:tcPr>
            <w:tcW w:w="1702" w:type="dxa"/>
            <w:noWrap/>
            <w:hideMark/>
          </w:tcPr>
          <w:p w14:paraId="1922CD5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GO:0046949</w:t>
            </w:r>
          </w:p>
        </w:tc>
        <w:tc>
          <w:tcPr>
            <w:tcW w:w="2327" w:type="dxa"/>
            <w:noWrap/>
            <w:hideMark/>
          </w:tcPr>
          <w:p w14:paraId="672C3914"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fatty-acyl-CoA biosynthetic process</w:t>
            </w:r>
          </w:p>
        </w:tc>
        <w:tc>
          <w:tcPr>
            <w:tcW w:w="1194" w:type="dxa"/>
            <w:noWrap/>
            <w:hideMark/>
          </w:tcPr>
          <w:p w14:paraId="26969021"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12</w:t>
            </w:r>
          </w:p>
        </w:tc>
        <w:tc>
          <w:tcPr>
            <w:tcW w:w="1170" w:type="dxa"/>
            <w:noWrap/>
            <w:hideMark/>
          </w:tcPr>
          <w:p w14:paraId="79240FFC"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6</w:t>
            </w:r>
          </w:p>
        </w:tc>
        <w:tc>
          <w:tcPr>
            <w:tcW w:w="1166" w:type="dxa"/>
            <w:noWrap/>
            <w:hideMark/>
          </w:tcPr>
          <w:p w14:paraId="77863A1E"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0.34</w:t>
            </w:r>
          </w:p>
        </w:tc>
        <w:tc>
          <w:tcPr>
            <w:tcW w:w="1166" w:type="dxa"/>
            <w:noWrap/>
            <w:hideMark/>
          </w:tcPr>
          <w:p w14:paraId="73708F9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&lt;0.0001</w:t>
            </w:r>
          </w:p>
        </w:tc>
        <w:tc>
          <w:tcPr>
            <w:tcW w:w="1482" w:type="dxa"/>
            <w:noWrap/>
            <w:hideMark/>
          </w:tcPr>
          <w:p w14:paraId="4041E6C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4th most expressed</w:t>
            </w:r>
          </w:p>
        </w:tc>
      </w:tr>
      <w:tr w:rsidR="000313AA" w:rsidRPr="00F56116" w14:paraId="37A13729" w14:textId="77777777" w:rsidTr="00E632E6">
        <w:trPr>
          <w:trHeight w:val="288"/>
        </w:trPr>
        <w:tc>
          <w:tcPr>
            <w:tcW w:w="1702" w:type="dxa"/>
            <w:noWrap/>
            <w:hideMark/>
          </w:tcPr>
          <w:p w14:paraId="057D66D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GO:0006572</w:t>
            </w:r>
          </w:p>
        </w:tc>
        <w:tc>
          <w:tcPr>
            <w:tcW w:w="2327" w:type="dxa"/>
            <w:noWrap/>
            <w:hideMark/>
          </w:tcPr>
          <w:p w14:paraId="36DE21A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tyrosine catabolic process</w:t>
            </w:r>
          </w:p>
        </w:tc>
        <w:tc>
          <w:tcPr>
            <w:tcW w:w="1194" w:type="dxa"/>
            <w:noWrap/>
            <w:hideMark/>
          </w:tcPr>
          <w:p w14:paraId="02BD4F86"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5</w:t>
            </w:r>
          </w:p>
        </w:tc>
        <w:tc>
          <w:tcPr>
            <w:tcW w:w="1170" w:type="dxa"/>
            <w:noWrap/>
            <w:hideMark/>
          </w:tcPr>
          <w:p w14:paraId="33A06AF9"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66" w:type="dxa"/>
            <w:noWrap/>
            <w:hideMark/>
          </w:tcPr>
          <w:p w14:paraId="2C349B2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0.03</w:t>
            </w:r>
          </w:p>
        </w:tc>
        <w:tc>
          <w:tcPr>
            <w:tcW w:w="1166" w:type="dxa"/>
            <w:noWrap/>
            <w:hideMark/>
          </w:tcPr>
          <w:p w14:paraId="793085E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&lt;0.0001</w:t>
            </w:r>
          </w:p>
        </w:tc>
        <w:tc>
          <w:tcPr>
            <w:tcW w:w="1482" w:type="dxa"/>
            <w:noWrap/>
            <w:hideMark/>
          </w:tcPr>
          <w:p w14:paraId="558DAFE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6th most expressed</w:t>
            </w:r>
          </w:p>
        </w:tc>
      </w:tr>
      <w:tr w:rsidR="000313AA" w:rsidRPr="00F56116" w14:paraId="1EB2435E" w14:textId="77777777" w:rsidTr="00E632E6">
        <w:trPr>
          <w:trHeight w:val="288"/>
        </w:trPr>
        <w:tc>
          <w:tcPr>
            <w:tcW w:w="1702" w:type="dxa"/>
            <w:noWrap/>
            <w:hideMark/>
          </w:tcPr>
          <w:p w14:paraId="3ECDF35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GO:0006559</w:t>
            </w:r>
          </w:p>
        </w:tc>
        <w:tc>
          <w:tcPr>
            <w:tcW w:w="2327" w:type="dxa"/>
            <w:noWrap/>
            <w:hideMark/>
          </w:tcPr>
          <w:p w14:paraId="7DFE1DF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L-phenylalanine catabolic process</w:t>
            </w:r>
          </w:p>
        </w:tc>
        <w:tc>
          <w:tcPr>
            <w:tcW w:w="1194" w:type="dxa"/>
            <w:noWrap/>
            <w:hideMark/>
          </w:tcPr>
          <w:p w14:paraId="18D044C8"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6</w:t>
            </w:r>
          </w:p>
        </w:tc>
        <w:tc>
          <w:tcPr>
            <w:tcW w:w="1170" w:type="dxa"/>
            <w:noWrap/>
            <w:hideMark/>
          </w:tcPr>
          <w:p w14:paraId="08EB5B0A"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66" w:type="dxa"/>
            <w:noWrap/>
            <w:hideMark/>
          </w:tcPr>
          <w:p w14:paraId="481052D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0.04</w:t>
            </w:r>
          </w:p>
        </w:tc>
        <w:tc>
          <w:tcPr>
            <w:tcW w:w="1166" w:type="dxa"/>
            <w:noWrap/>
            <w:hideMark/>
          </w:tcPr>
          <w:p w14:paraId="3546010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&lt;0.0001</w:t>
            </w:r>
          </w:p>
        </w:tc>
        <w:tc>
          <w:tcPr>
            <w:tcW w:w="1482" w:type="dxa"/>
            <w:noWrap/>
            <w:hideMark/>
          </w:tcPr>
          <w:p w14:paraId="59A15E7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6th most expressed</w:t>
            </w:r>
          </w:p>
        </w:tc>
      </w:tr>
      <w:tr w:rsidR="000313AA" w:rsidRPr="00F56116" w14:paraId="1F144B27" w14:textId="77777777" w:rsidTr="00E632E6">
        <w:trPr>
          <w:trHeight w:val="288"/>
        </w:trPr>
        <w:tc>
          <w:tcPr>
            <w:tcW w:w="1702" w:type="dxa"/>
            <w:noWrap/>
            <w:hideMark/>
          </w:tcPr>
          <w:p w14:paraId="37CF26D8"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GO:0042438</w:t>
            </w:r>
          </w:p>
        </w:tc>
        <w:tc>
          <w:tcPr>
            <w:tcW w:w="2327" w:type="dxa"/>
            <w:noWrap/>
            <w:hideMark/>
          </w:tcPr>
          <w:p w14:paraId="2112011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melanin biosynthetic process</w:t>
            </w:r>
          </w:p>
        </w:tc>
        <w:tc>
          <w:tcPr>
            <w:tcW w:w="1194" w:type="dxa"/>
            <w:noWrap/>
            <w:hideMark/>
          </w:tcPr>
          <w:p w14:paraId="4ABF9F6C"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12</w:t>
            </w:r>
          </w:p>
        </w:tc>
        <w:tc>
          <w:tcPr>
            <w:tcW w:w="1170" w:type="dxa"/>
            <w:noWrap/>
            <w:hideMark/>
          </w:tcPr>
          <w:p w14:paraId="3453DF8E"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10B424F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0.11</w:t>
            </w:r>
          </w:p>
        </w:tc>
        <w:tc>
          <w:tcPr>
            <w:tcW w:w="1166" w:type="dxa"/>
            <w:noWrap/>
            <w:hideMark/>
          </w:tcPr>
          <w:p w14:paraId="69FA5A5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0.0048</w:t>
            </w:r>
          </w:p>
        </w:tc>
        <w:tc>
          <w:tcPr>
            <w:tcW w:w="1482" w:type="dxa"/>
            <w:noWrap/>
            <w:hideMark/>
          </w:tcPr>
          <w:p w14:paraId="446984B1"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12th most expressed</w:t>
            </w:r>
          </w:p>
        </w:tc>
      </w:tr>
      <w:tr w:rsidR="000313AA" w:rsidRPr="00F56116" w14:paraId="51CD3745" w14:textId="77777777" w:rsidTr="00E632E6">
        <w:trPr>
          <w:trHeight w:val="288"/>
        </w:trPr>
        <w:tc>
          <w:tcPr>
            <w:tcW w:w="1702" w:type="dxa"/>
            <w:noWrap/>
            <w:hideMark/>
          </w:tcPr>
          <w:p w14:paraId="6893CA4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GO:0050884</w:t>
            </w:r>
          </w:p>
        </w:tc>
        <w:tc>
          <w:tcPr>
            <w:tcW w:w="2327" w:type="dxa"/>
            <w:noWrap/>
            <w:hideMark/>
          </w:tcPr>
          <w:p w14:paraId="08C38E4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neuromuscular process controlling posture</w:t>
            </w:r>
          </w:p>
        </w:tc>
        <w:tc>
          <w:tcPr>
            <w:tcW w:w="1194" w:type="dxa"/>
            <w:noWrap/>
            <w:hideMark/>
          </w:tcPr>
          <w:p w14:paraId="513567F8"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13</w:t>
            </w:r>
          </w:p>
        </w:tc>
        <w:tc>
          <w:tcPr>
            <w:tcW w:w="1170" w:type="dxa"/>
            <w:noWrap/>
            <w:hideMark/>
          </w:tcPr>
          <w:p w14:paraId="08E287D0"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7580ED8F"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0.12</w:t>
            </w:r>
          </w:p>
        </w:tc>
        <w:tc>
          <w:tcPr>
            <w:tcW w:w="1166" w:type="dxa"/>
            <w:noWrap/>
            <w:hideMark/>
          </w:tcPr>
          <w:p w14:paraId="6E266D3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0.0057</w:t>
            </w:r>
          </w:p>
        </w:tc>
        <w:tc>
          <w:tcPr>
            <w:tcW w:w="1482" w:type="dxa"/>
            <w:noWrap/>
            <w:hideMark/>
          </w:tcPr>
          <w:p w14:paraId="533921A9"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12th most expressed</w:t>
            </w:r>
          </w:p>
        </w:tc>
      </w:tr>
      <w:tr w:rsidR="000313AA" w:rsidRPr="00F56116" w14:paraId="7DB524FA" w14:textId="77777777" w:rsidTr="00E632E6">
        <w:trPr>
          <w:trHeight w:val="288"/>
        </w:trPr>
        <w:tc>
          <w:tcPr>
            <w:tcW w:w="1702" w:type="dxa"/>
            <w:noWrap/>
            <w:hideMark/>
          </w:tcPr>
          <w:p w14:paraId="48CE3AF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GO:0010613</w:t>
            </w:r>
          </w:p>
        </w:tc>
        <w:tc>
          <w:tcPr>
            <w:tcW w:w="2327" w:type="dxa"/>
            <w:noWrap/>
            <w:hideMark/>
          </w:tcPr>
          <w:p w14:paraId="2AB8FAF6" w14:textId="77777777" w:rsidR="000313AA" w:rsidRPr="00F56116" w:rsidRDefault="000313AA" w:rsidP="00E908E8">
            <w:pPr>
              <w:rPr>
                <w:rFonts w:ascii="Calibri" w:eastAsia="Times New Roman" w:hAnsi="Calibri" w:cs="Calibri"/>
                <w:color w:val="000000"/>
                <w:lang w:eastAsia="nl-NL"/>
              </w:rPr>
            </w:pPr>
            <w:r w:rsidRPr="00F56116">
              <w:rPr>
                <w:rFonts w:ascii="Calibri" w:eastAsia="Times New Roman" w:hAnsi="Calibri" w:cs="Calibri"/>
                <w:color w:val="000000"/>
                <w:lang w:eastAsia="nl-NL"/>
              </w:rPr>
              <w:t>positive regulation of cardiac muscle hypertrophy</w:t>
            </w:r>
          </w:p>
        </w:tc>
        <w:tc>
          <w:tcPr>
            <w:tcW w:w="1194" w:type="dxa"/>
            <w:noWrap/>
            <w:hideMark/>
          </w:tcPr>
          <w:p w14:paraId="1580720E"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15</w:t>
            </w:r>
          </w:p>
        </w:tc>
        <w:tc>
          <w:tcPr>
            <w:tcW w:w="1170" w:type="dxa"/>
            <w:noWrap/>
            <w:hideMark/>
          </w:tcPr>
          <w:p w14:paraId="7BA44FE2"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69999845"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0.13</w:t>
            </w:r>
          </w:p>
        </w:tc>
        <w:tc>
          <w:tcPr>
            <w:tcW w:w="1166" w:type="dxa"/>
            <w:noWrap/>
            <w:hideMark/>
          </w:tcPr>
          <w:p w14:paraId="447382F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0.0075</w:t>
            </w:r>
          </w:p>
        </w:tc>
        <w:tc>
          <w:tcPr>
            <w:tcW w:w="1482" w:type="dxa"/>
            <w:noWrap/>
            <w:hideMark/>
          </w:tcPr>
          <w:p w14:paraId="1E74B0F3"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12th most expressed</w:t>
            </w:r>
          </w:p>
        </w:tc>
      </w:tr>
      <w:tr w:rsidR="000313AA" w:rsidRPr="00F56116" w14:paraId="681A8821" w14:textId="77777777" w:rsidTr="00E632E6">
        <w:trPr>
          <w:trHeight w:val="288"/>
        </w:trPr>
        <w:tc>
          <w:tcPr>
            <w:tcW w:w="1702" w:type="dxa"/>
            <w:noWrap/>
            <w:hideMark/>
          </w:tcPr>
          <w:p w14:paraId="29588EB2"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GO:0007628</w:t>
            </w:r>
          </w:p>
        </w:tc>
        <w:tc>
          <w:tcPr>
            <w:tcW w:w="2327" w:type="dxa"/>
            <w:noWrap/>
            <w:hideMark/>
          </w:tcPr>
          <w:p w14:paraId="4567108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adult walking behavior</w:t>
            </w:r>
          </w:p>
        </w:tc>
        <w:tc>
          <w:tcPr>
            <w:tcW w:w="1194" w:type="dxa"/>
            <w:noWrap/>
            <w:hideMark/>
          </w:tcPr>
          <w:p w14:paraId="1DF1673B"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27</w:t>
            </w:r>
          </w:p>
        </w:tc>
        <w:tc>
          <w:tcPr>
            <w:tcW w:w="1170" w:type="dxa"/>
            <w:noWrap/>
            <w:hideMark/>
          </w:tcPr>
          <w:p w14:paraId="5111FCA7"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3</w:t>
            </w:r>
          </w:p>
        </w:tc>
        <w:tc>
          <w:tcPr>
            <w:tcW w:w="1166" w:type="dxa"/>
            <w:noWrap/>
            <w:hideMark/>
          </w:tcPr>
          <w:p w14:paraId="3A1671AD"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0.24</w:t>
            </w:r>
          </w:p>
        </w:tc>
        <w:tc>
          <w:tcPr>
            <w:tcW w:w="1166" w:type="dxa"/>
            <w:noWrap/>
            <w:hideMark/>
          </w:tcPr>
          <w:p w14:paraId="0A13DFF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0.0016</w:t>
            </w:r>
          </w:p>
        </w:tc>
        <w:tc>
          <w:tcPr>
            <w:tcW w:w="1482" w:type="dxa"/>
            <w:noWrap/>
            <w:hideMark/>
          </w:tcPr>
          <w:p w14:paraId="37844367"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12th most expressed</w:t>
            </w:r>
          </w:p>
        </w:tc>
      </w:tr>
      <w:tr w:rsidR="000313AA" w:rsidRPr="00F56116" w14:paraId="6E1A3308" w14:textId="77777777" w:rsidTr="00E632E6">
        <w:trPr>
          <w:trHeight w:val="288"/>
        </w:trPr>
        <w:tc>
          <w:tcPr>
            <w:tcW w:w="1702" w:type="dxa"/>
            <w:noWrap/>
            <w:hideMark/>
          </w:tcPr>
          <w:p w14:paraId="5CE53F4A"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GO:0060395</w:t>
            </w:r>
          </w:p>
        </w:tc>
        <w:tc>
          <w:tcPr>
            <w:tcW w:w="2327" w:type="dxa"/>
            <w:noWrap/>
            <w:hideMark/>
          </w:tcPr>
          <w:p w14:paraId="61B9E9E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SMAD protein signal transduction</w:t>
            </w:r>
          </w:p>
        </w:tc>
        <w:tc>
          <w:tcPr>
            <w:tcW w:w="1194" w:type="dxa"/>
            <w:noWrap/>
            <w:hideMark/>
          </w:tcPr>
          <w:p w14:paraId="344F0B99"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18</w:t>
            </w:r>
          </w:p>
        </w:tc>
        <w:tc>
          <w:tcPr>
            <w:tcW w:w="1170" w:type="dxa"/>
            <w:noWrap/>
            <w:hideMark/>
          </w:tcPr>
          <w:p w14:paraId="577CCDC3" w14:textId="77777777" w:rsidR="000313AA" w:rsidRPr="00E632E6" w:rsidRDefault="000313AA" w:rsidP="00E908E8">
            <w:pPr>
              <w:jc w:val="right"/>
              <w:rPr>
                <w:rFonts w:ascii="Calibri" w:eastAsia="Times New Roman" w:hAnsi="Calibri" w:cs="Calibri"/>
                <w:color w:val="000000"/>
                <w:lang w:eastAsia="nl-NL"/>
              </w:rPr>
            </w:pPr>
            <w:r w:rsidRPr="00E632E6">
              <w:rPr>
                <w:rFonts w:ascii="Calibri" w:eastAsia="Times New Roman" w:hAnsi="Calibri" w:cs="Calibri"/>
                <w:color w:val="000000"/>
                <w:lang w:eastAsia="nl-NL"/>
              </w:rPr>
              <w:t>2</w:t>
            </w:r>
          </w:p>
        </w:tc>
        <w:tc>
          <w:tcPr>
            <w:tcW w:w="1166" w:type="dxa"/>
            <w:noWrap/>
            <w:hideMark/>
          </w:tcPr>
          <w:p w14:paraId="69EEA23B"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0.09</w:t>
            </w:r>
          </w:p>
        </w:tc>
        <w:tc>
          <w:tcPr>
            <w:tcW w:w="1166" w:type="dxa"/>
            <w:noWrap/>
            <w:hideMark/>
          </w:tcPr>
          <w:p w14:paraId="02D29CF6"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0.0035</w:t>
            </w:r>
          </w:p>
        </w:tc>
        <w:tc>
          <w:tcPr>
            <w:tcW w:w="1482" w:type="dxa"/>
            <w:noWrap/>
            <w:hideMark/>
          </w:tcPr>
          <w:p w14:paraId="64DC2F94" w14:textId="77777777" w:rsidR="000313AA" w:rsidRPr="00E632E6" w:rsidRDefault="000313AA" w:rsidP="00E908E8">
            <w:pPr>
              <w:rPr>
                <w:rFonts w:ascii="Calibri" w:eastAsia="Times New Roman" w:hAnsi="Calibri" w:cs="Calibri"/>
                <w:color w:val="000000"/>
                <w:lang w:eastAsia="nl-NL"/>
              </w:rPr>
            </w:pPr>
            <w:r w:rsidRPr="00E632E6">
              <w:rPr>
                <w:rFonts w:ascii="Calibri" w:eastAsia="Times New Roman" w:hAnsi="Calibri" w:cs="Calibri"/>
                <w:color w:val="000000"/>
                <w:lang w:eastAsia="nl-NL"/>
              </w:rPr>
              <w:t>13th most expressed</w:t>
            </w:r>
          </w:p>
        </w:tc>
      </w:tr>
    </w:tbl>
    <w:p w14:paraId="38005E0D" w14:textId="77777777" w:rsidR="00E632E6" w:rsidRDefault="00E632E6" w:rsidP="000313AA">
      <w:pPr>
        <w:rPr>
          <w:rFonts w:ascii="Calibri" w:hAnsi="Calibri" w:cs="Calibri"/>
          <w:b/>
          <w:bCs/>
        </w:rPr>
      </w:pPr>
    </w:p>
    <w:p w14:paraId="013B12D5" w14:textId="77777777" w:rsidR="00E632E6" w:rsidRDefault="00E632E6">
      <w:pPr>
        <w:spacing w:line="278" w:lineRule="auto"/>
        <w:rPr>
          <w:rFonts w:ascii="Calibri" w:hAnsi="Calibri" w:cs="Calibri"/>
          <w:b/>
          <w:bCs/>
        </w:rPr>
      </w:pPr>
      <w:r>
        <w:rPr>
          <w:rFonts w:ascii="Calibri" w:hAnsi="Calibri" w:cs="Calibri"/>
          <w:b/>
          <w:bCs/>
        </w:rPr>
        <w:br w:type="page"/>
      </w:r>
    </w:p>
    <w:p w14:paraId="73E67B06" w14:textId="0124F0EB" w:rsidR="00002296" w:rsidRPr="00F56116" w:rsidRDefault="00002296" w:rsidP="00E632E6">
      <w:pPr>
        <w:spacing w:after="0" w:line="360" w:lineRule="auto"/>
        <w:rPr>
          <w:rFonts w:ascii="Calibri" w:hAnsi="Calibri" w:cs="Calibri"/>
        </w:rPr>
      </w:pPr>
      <w:r>
        <w:rPr>
          <w:rFonts w:ascii="Calibri" w:hAnsi="Calibri" w:cs="Calibri"/>
          <w:b/>
          <w:bCs/>
        </w:rPr>
        <w:lastRenderedPageBreak/>
        <w:t>Table S4</w:t>
      </w:r>
      <w:r>
        <w:rPr>
          <w:rFonts w:ascii="Calibri" w:hAnsi="Calibri" w:cs="Calibri"/>
        </w:rPr>
        <w:t xml:space="preserve"> Numbers of differentially expressed genes upon parasite infection for each module and whether they are more strongly associated with parasite genes or host genes.</w:t>
      </w:r>
    </w:p>
    <w:tbl>
      <w:tblPr>
        <w:tblStyle w:val="Tabelraster"/>
        <w:tblW w:w="0" w:type="auto"/>
        <w:tblLook w:val="04A0" w:firstRow="1" w:lastRow="0" w:firstColumn="1" w:lastColumn="0" w:noHBand="0" w:noVBand="1"/>
      </w:tblPr>
      <w:tblGrid>
        <w:gridCol w:w="1838"/>
        <w:gridCol w:w="1701"/>
        <w:gridCol w:w="1562"/>
        <w:gridCol w:w="1848"/>
      </w:tblGrid>
      <w:tr w:rsidR="00002296" w14:paraId="74D9A0A1" w14:textId="77777777" w:rsidTr="00E632E6">
        <w:tc>
          <w:tcPr>
            <w:tcW w:w="1838" w:type="dxa"/>
            <w:shd w:val="clear" w:color="auto" w:fill="E7E6E6" w:themeFill="background2"/>
          </w:tcPr>
          <w:p w14:paraId="3CB2CB38" w14:textId="19FE7156" w:rsidR="00002296" w:rsidRPr="00E632E6" w:rsidRDefault="00002296" w:rsidP="00E632E6">
            <w:pPr>
              <w:spacing w:line="360" w:lineRule="auto"/>
              <w:rPr>
                <w:rFonts w:ascii="Calibri" w:hAnsi="Calibri" w:cs="Calibri"/>
                <w:b/>
                <w:bCs/>
              </w:rPr>
            </w:pPr>
            <w:r w:rsidRPr="00E632E6">
              <w:rPr>
                <w:rFonts w:ascii="Calibri" w:hAnsi="Calibri" w:cs="Calibri"/>
                <w:b/>
                <w:bCs/>
              </w:rPr>
              <w:t>Module</w:t>
            </w:r>
          </w:p>
        </w:tc>
        <w:tc>
          <w:tcPr>
            <w:tcW w:w="1701" w:type="dxa"/>
            <w:shd w:val="clear" w:color="auto" w:fill="E7E6E6" w:themeFill="background2"/>
          </w:tcPr>
          <w:p w14:paraId="322AF577" w14:textId="29583D36" w:rsidR="00002296" w:rsidRPr="00E632E6" w:rsidRDefault="00002296" w:rsidP="00E632E6">
            <w:pPr>
              <w:spacing w:line="360" w:lineRule="auto"/>
              <w:jc w:val="center"/>
              <w:rPr>
                <w:rFonts w:ascii="Calibri" w:hAnsi="Calibri" w:cs="Calibri"/>
                <w:b/>
                <w:bCs/>
              </w:rPr>
            </w:pPr>
            <w:r w:rsidRPr="00E632E6">
              <w:rPr>
                <w:rFonts w:ascii="Calibri" w:hAnsi="Calibri" w:cs="Calibri"/>
                <w:b/>
                <w:bCs/>
              </w:rPr>
              <w:t>Cestode</w:t>
            </w:r>
          </w:p>
        </w:tc>
        <w:tc>
          <w:tcPr>
            <w:tcW w:w="1562" w:type="dxa"/>
            <w:shd w:val="clear" w:color="auto" w:fill="E7E6E6" w:themeFill="background2"/>
          </w:tcPr>
          <w:p w14:paraId="3517B311" w14:textId="66BF090F" w:rsidR="00002296" w:rsidRPr="00E632E6" w:rsidRDefault="00002296" w:rsidP="00E632E6">
            <w:pPr>
              <w:spacing w:line="360" w:lineRule="auto"/>
              <w:jc w:val="center"/>
              <w:rPr>
                <w:rFonts w:ascii="Calibri" w:hAnsi="Calibri" w:cs="Calibri"/>
                <w:b/>
                <w:bCs/>
              </w:rPr>
            </w:pPr>
            <w:r w:rsidRPr="00E632E6">
              <w:rPr>
                <w:rFonts w:ascii="Calibri" w:hAnsi="Calibri" w:cs="Calibri"/>
                <w:b/>
                <w:bCs/>
              </w:rPr>
              <w:t>Ant</w:t>
            </w:r>
          </w:p>
        </w:tc>
        <w:tc>
          <w:tcPr>
            <w:tcW w:w="1848" w:type="dxa"/>
            <w:shd w:val="clear" w:color="auto" w:fill="E7E6E6" w:themeFill="background2"/>
          </w:tcPr>
          <w:p w14:paraId="693D6F09" w14:textId="1BDD50C1" w:rsidR="00002296" w:rsidRPr="00E632E6" w:rsidRDefault="00002296" w:rsidP="00E632E6">
            <w:pPr>
              <w:spacing w:line="360" w:lineRule="auto"/>
              <w:jc w:val="center"/>
              <w:rPr>
                <w:rFonts w:ascii="Calibri" w:hAnsi="Calibri" w:cs="Calibri"/>
                <w:b/>
                <w:bCs/>
              </w:rPr>
            </w:pPr>
            <w:r w:rsidRPr="00E632E6">
              <w:rPr>
                <w:rFonts w:ascii="Calibri" w:hAnsi="Calibri" w:cs="Calibri"/>
                <w:b/>
                <w:bCs/>
              </w:rPr>
              <w:t>Not significant</w:t>
            </w:r>
          </w:p>
        </w:tc>
      </w:tr>
      <w:tr w:rsidR="00002296" w14:paraId="29AA31E2" w14:textId="77777777" w:rsidTr="00E632E6">
        <w:tc>
          <w:tcPr>
            <w:tcW w:w="1838" w:type="dxa"/>
            <w:shd w:val="clear" w:color="auto" w:fill="FFFFFF" w:themeFill="background1"/>
          </w:tcPr>
          <w:p w14:paraId="5BF44410" w14:textId="0C9572CF" w:rsidR="00002296" w:rsidRPr="00E632E6" w:rsidRDefault="00002296" w:rsidP="00E632E6">
            <w:pPr>
              <w:spacing w:line="360" w:lineRule="auto"/>
              <w:rPr>
                <w:rFonts w:ascii="Calibri" w:hAnsi="Calibri" w:cs="Calibri"/>
                <w:b/>
                <w:bCs/>
              </w:rPr>
            </w:pPr>
            <w:r w:rsidRPr="00E632E6">
              <w:rPr>
                <w:rFonts w:ascii="Calibri" w:hAnsi="Calibri" w:cs="Calibri"/>
                <w:b/>
                <w:bCs/>
              </w:rPr>
              <w:t>Black</w:t>
            </w:r>
          </w:p>
        </w:tc>
        <w:tc>
          <w:tcPr>
            <w:tcW w:w="1701" w:type="dxa"/>
            <w:shd w:val="clear" w:color="auto" w:fill="FFFFFF" w:themeFill="background1"/>
          </w:tcPr>
          <w:p w14:paraId="44E3F227" w14:textId="60F417E0" w:rsidR="00002296" w:rsidRDefault="00002296" w:rsidP="00E632E6">
            <w:pPr>
              <w:spacing w:line="360" w:lineRule="auto"/>
              <w:jc w:val="center"/>
              <w:rPr>
                <w:rFonts w:ascii="Calibri" w:hAnsi="Calibri" w:cs="Calibri"/>
              </w:rPr>
            </w:pPr>
            <w:r>
              <w:rPr>
                <w:rFonts w:ascii="Calibri" w:hAnsi="Calibri" w:cs="Calibri"/>
              </w:rPr>
              <w:t>28</w:t>
            </w:r>
          </w:p>
        </w:tc>
        <w:tc>
          <w:tcPr>
            <w:tcW w:w="1562" w:type="dxa"/>
            <w:shd w:val="clear" w:color="auto" w:fill="FFFFFF" w:themeFill="background1"/>
          </w:tcPr>
          <w:p w14:paraId="77CDA1EC" w14:textId="124ACD5F" w:rsidR="00002296" w:rsidRDefault="00002296"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26C9E02F" w14:textId="49081032" w:rsidR="00002296" w:rsidRDefault="00002296" w:rsidP="00E632E6">
            <w:pPr>
              <w:spacing w:line="360" w:lineRule="auto"/>
              <w:jc w:val="center"/>
              <w:rPr>
                <w:rFonts w:ascii="Calibri" w:hAnsi="Calibri" w:cs="Calibri"/>
              </w:rPr>
            </w:pPr>
            <w:r>
              <w:rPr>
                <w:rFonts w:ascii="Calibri" w:hAnsi="Calibri" w:cs="Calibri"/>
              </w:rPr>
              <w:t>1</w:t>
            </w:r>
          </w:p>
        </w:tc>
      </w:tr>
      <w:tr w:rsidR="00002296" w14:paraId="31F7196F" w14:textId="77777777" w:rsidTr="00E632E6">
        <w:tc>
          <w:tcPr>
            <w:tcW w:w="1838" w:type="dxa"/>
            <w:shd w:val="clear" w:color="auto" w:fill="FFFFFF" w:themeFill="background1"/>
          </w:tcPr>
          <w:p w14:paraId="4F06D8E9" w14:textId="1F99978A" w:rsidR="00002296" w:rsidRPr="00E632E6" w:rsidRDefault="00002296" w:rsidP="00E632E6">
            <w:pPr>
              <w:spacing w:line="360" w:lineRule="auto"/>
              <w:rPr>
                <w:rFonts w:ascii="Calibri" w:hAnsi="Calibri" w:cs="Calibri"/>
                <w:b/>
                <w:bCs/>
              </w:rPr>
            </w:pPr>
            <w:r w:rsidRPr="00E632E6">
              <w:rPr>
                <w:rFonts w:ascii="Calibri" w:hAnsi="Calibri" w:cs="Calibri"/>
                <w:b/>
                <w:bCs/>
              </w:rPr>
              <w:t>Blue</w:t>
            </w:r>
          </w:p>
        </w:tc>
        <w:tc>
          <w:tcPr>
            <w:tcW w:w="1701" w:type="dxa"/>
            <w:shd w:val="clear" w:color="auto" w:fill="FFFFFF" w:themeFill="background1"/>
          </w:tcPr>
          <w:p w14:paraId="54BC422D" w14:textId="40B889A7" w:rsidR="00002296" w:rsidRDefault="00002296"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5543A8E4" w14:textId="4584FF0D" w:rsidR="00002296" w:rsidRDefault="00002296" w:rsidP="00E632E6">
            <w:pPr>
              <w:spacing w:line="360" w:lineRule="auto"/>
              <w:jc w:val="center"/>
              <w:rPr>
                <w:rFonts w:ascii="Calibri" w:hAnsi="Calibri" w:cs="Calibri"/>
              </w:rPr>
            </w:pPr>
            <w:r>
              <w:rPr>
                <w:rFonts w:ascii="Calibri" w:hAnsi="Calibri" w:cs="Calibri"/>
              </w:rPr>
              <w:t>5</w:t>
            </w:r>
          </w:p>
        </w:tc>
        <w:tc>
          <w:tcPr>
            <w:tcW w:w="1848" w:type="dxa"/>
            <w:shd w:val="clear" w:color="auto" w:fill="FFFFFF" w:themeFill="background1"/>
          </w:tcPr>
          <w:p w14:paraId="1FB305ED" w14:textId="4FB96D76" w:rsidR="00002296" w:rsidRDefault="00002296" w:rsidP="00E632E6">
            <w:pPr>
              <w:spacing w:line="360" w:lineRule="auto"/>
              <w:jc w:val="center"/>
              <w:rPr>
                <w:rFonts w:ascii="Calibri" w:hAnsi="Calibri" w:cs="Calibri"/>
              </w:rPr>
            </w:pPr>
            <w:r>
              <w:rPr>
                <w:rFonts w:ascii="Calibri" w:hAnsi="Calibri" w:cs="Calibri"/>
              </w:rPr>
              <w:t>140</w:t>
            </w:r>
          </w:p>
        </w:tc>
      </w:tr>
      <w:tr w:rsidR="00002296" w14:paraId="6DC92411" w14:textId="77777777" w:rsidTr="00E632E6">
        <w:tc>
          <w:tcPr>
            <w:tcW w:w="1838" w:type="dxa"/>
            <w:shd w:val="clear" w:color="auto" w:fill="FFFFFF" w:themeFill="background1"/>
          </w:tcPr>
          <w:p w14:paraId="7CFE5485" w14:textId="219C5A4A" w:rsidR="00002296" w:rsidRPr="00E632E6" w:rsidRDefault="00002296" w:rsidP="00E632E6">
            <w:pPr>
              <w:spacing w:line="360" w:lineRule="auto"/>
              <w:rPr>
                <w:rFonts w:ascii="Calibri" w:hAnsi="Calibri" w:cs="Calibri"/>
                <w:b/>
                <w:bCs/>
              </w:rPr>
            </w:pPr>
            <w:r w:rsidRPr="00E632E6">
              <w:rPr>
                <w:rFonts w:ascii="Calibri" w:hAnsi="Calibri" w:cs="Calibri"/>
                <w:b/>
                <w:bCs/>
              </w:rPr>
              <w:t>Brown</w:t>
            </w:r>
          </w:p>
        </w:tc>
        <w:tc>
          <w:tcPr>
            <w:tcW w:w="1701" w:type="dxa"/>
            <w:shd w:val="clear" w:color="auto" w:fill="FFFFFF" w:themeFill="background1"/>
          </w:tcPr>
          <w:p w14:paraId="43FD5D64" w14:textId="3653C928" w:rsidR="00002296" w:rsidRDefault="00002296" w:rsidP="00E632E6">
            <w:pPr>
              <w:spacing w:line="360" w:lineRule="auto"/>
              <w:jc w:val="center"/>
              <w:rPr>
                <w:rFonts w:ascii="Calibri" w:hAnsi="Calibri" w:cs="Calibri"/>
              </w:rPr>
            </w:pPr>
            <w:r>
              <w:rPr>
                <w:rFonts w:ascii="Calibri" w:hAnsi="Calibri" w:cs="Calibri"/>
              </w:rPr>
              <w:t>181</w:t>
            </w:r>
          </w:p>
        </w:tc>
        <w:tc>
          <w:tcPr>
            <w:tcW w:w="1562" w:type="dxa"/>
            <w:shd w:val="clear" w:color="auto" w:fill="FFFFFF" w:themeFill="background1"/>
          </w:tcPr>
          <w:p w14:paraId="69F49A12" w14:textId="61804727" w:rsidR="00002296" w:rsidRDefault="00002296" w:rsidP="00E632E6">
            <w:pPr>
              <w:spacing w:line="360" w:lineRule="auto"/>
              <w:jc w:val="center"/>
              <w:rPr>
                <w:rFonts w:ascii="Calibri" w:hAnsi="Calibri" w:cs="Calibri"/>
              </w:rPr>
            </w:pPr>
            <w:r>
              <w:rPr>
                <w:rFonts w:ascii="Calibri" w:hAnsi="Calibri" w:cs="Calibri"/>
              </w:rPr>
              <w:t>9</w:t>
            </w:r>
          </w:p>
        </w:tc>
        <w:tc>
          <w:tcPr>
            <w:tcW w:w="1848" w:type="dxa"/>
            <w:shd w:val="clear" w:color="auto" w:fill="FFFFFF" w:themeFill="background1"/>
          </w:tcPr>
          <w:p w14:paraId="67C78F16" w14:textId="1D91D450" w:rsidR="00002296" w:rsidRDefault="00002296" w:rsidP="00E632E6">
            <w:pPr>
              <w:spacing w:line="360" w:lineRule="auto"/>
              <w:jc w:val="center"/>
              <w:rPr>
                <w:rFonts w:ascii="Calibri" w:hAnsi="Calibri" w:cs="Calibri"/>
              </w:rPr>
            </w:pPr>
            <w:r>
              <w:rPr>
                <w:rFonts w:ascii="Calibri" w:hAnsi="Calibri" w:cs="Calibri"/>
              </w:rPr>
              <w:t>1</w:t>
            </w:r>
          </w:p>
        </w:tc>
      </w:tr>
      <w:tr w:rsidR="00002296" w14:paraId="54012A81" w14:textId="77777777" w:rsidTr="00E632E6">
        <w:tc>
          <w:tcPr>
            <w:tcW w:w="1838" w:type="dxa"/>
            <w:shd w:val="clear" w:color="auto" w:fill="FFFFFF" w:themeFill="background1"/>
          </w:tcPr>
          <w:p w14:paraId="05CCB6B1" w14:textId="3A529EA8" w:rsidR="00002296" w:rsidRPr="00E632E6" w:rsidRDefault="00002296" w:rsidP="00E632E6">
            <w:pPr>
              <w:spacing w:line="360" w:lineRule="auto"/>
              <w:rPr>
                <w:rFonts w:ascii="Calibri" w:hAnsi="Calibri" w:cs="Calibri"/>
                <w:b/>
                <w:bCs/>
              </w:rPr>
            </w:pPr>
            <w:r w:rsidRPr="00E632E6">
              <w:rPr>
                <w:rFonts w:ascii="Calibri" w:hAnsi="Calibri" w:cs="Calibri"/>
                <w:b/>
                <w:bCs/>
              </w:rPr>
              <w:t>Cyan</w:t>
            </w:r>
          </w:p>
        </w:tc>
        <w:tc>
          <w:tcPr>
            <w:tcW w:w="1701" w:type="dxa"/>
            <w:shd w:val="clear" w:color="auto" w:fill="FFFFFF" w:themeFill="background1"/>
          </w:tcPr>
          <w:p w14:paraId="19895DB3" w14:textId="157AA0C7" w:rsidR="00002296" w:rsidRDefault="00002296" w:rsidP="00E632E6">
            <w:pPr>
              <w:spacing w:line="360" w:lineRule="auto"/>
              <w:jc w:val="center"/>
              <w:rPr>
                <w:rFonts w:ascii="Calibri" w:hAnsi="Calibri" w:cs="Calibri"/>
              </w:rPr>
            </w:pPr>
            <w:r>
              <w:rPr>
                <w:rFonts w:ascii="Calibri" w:hAnsi="Calibri" w:cs="Calibri"/>
              </w:rPr>
              <w:t>10</w:t>
            </w:r>
          </w:p>
        </w:tc>
        <w:tc>
          <w:tcPr>
            <w:tcW w:w="1562" w:type="dxa"/>
            <w:shd w:val="clear" w:color="auto" w:fill="FFFFFF" w:themeFill="background1"/>
          </w:tcPr>
          <w:p w14:paraId="45DC54BF" w14:textId="061742FE" w:rsidR="00002296" w:rsidRDefault="00002296"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30AC107C" w14:textId="329212DD" w:rsidR="00002296" w:rsidRDefault="00002296" w:rsidP="00E632E6">
            <w:pPr>
              <w:spacing w:line="360" w:lineRule="auto"/>
              <w:jc w:val="center"/>
              <w:rPr>
                <w:rFonts w:ascii="Calibri" w:hAnsi="Calibri" w:cs="Calibri"/>
              </w:rPr>
            </w:pPr>
            <w:r>
              <w:rPr>
                <w:rFonts w:ascii="Calibri" w:hAnsi="Calibri" w:cs="Calibri"/>
              </w:rPr>
              <w:t>0</w:t>
            </w:r>
          </w:p>
        </w:tc>
      </w:tr>
      <w:tr w:rsidR="00002296" w14:paraId="1A5D697C" w14:textId="77777777" w:rsidTr="00E632E6">
        <w:tc>
          <w:tcPr>
            <w:tcW w:w="1838" w:type="dxa"/>
            <w:shd w:val="clear" w:color="auto" w:fill="FFFFFF" w:themeFill="background1"/>
          </w:tcPr>
          <w:p w14:paraId="3023E3E7" w14:textId="5C30CB84"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Darkgreen</w:t>
            </w:r>
            <w:proofErr w:type="spellEnd"/>
          </w:p>
        </w:tc>
        <w:tc>
          <w:tcPr>
            <w:tcW w:w="1701" w:type="dxa"/>
            <w:shd w:val="clear" w:color="auto" w:fill="FFFFFF" w:themeFill="background1"/>
          </w:tcPr>
          <w:p w14:paraId="6BEAE47D" w14:textId="14B50567" w:rsidR="00002296" w:rsidRDefault="00002296"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2D4C8BDE" w14:textId="74D9147F" w:rsidR="00002296" w:rsidRDefault="00002296"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6C9E923F" w14:textId="32E22869" w:rsidR="00002296" w:rsidRDefault="00002296" w:rsidP="00E632E6">
            <w:pPr>
              <w:spacing w:line="360" w:lineRule="auto"/>
              <w:jc w:val="center"/>
              <w:rPr>
                <w:rFonts w:ascii="Calibri" w:hAnsi="Calibri" w:cs="Calibri"/>
              </w:rPr>
            </w:pPr>
            <w:r>
              <w:rPr>
                <w:rFonts w:ascii="Calibri" w:hAnsi="Calibri" w:cs="Calibri"/>
              </w:rPr>
              <w:t>22</w:t>
            </w:r>
          </w:p>
        </w:tc>
      </w:tr>
      <w:tr w:rsidR="00002296" w14:paraId="25035CC3" w14:textId="77777777" w:rsidTr="00E632E6">
        <w:tc>
          <w:tcPr>
            <w:tcW w:w="1838" w:type="dxa"/>
            <w:shd w:val="clear" w:color="auto" w:fill="FFFFFF" w:themeFill="background1"/>
          </w:tcPr>
          <w:p w14:paraId="321E898A" w14:textId="1F9E0C7D"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Darkorange</w:t>
            </w:r>
            <w:proofErr w:type="spellEnd"/>
          </w:p>
        </w:tc>
        <w:tc>
          <w:tcPr>
            <w:tcW w:w="1701" w:type="dxa"/>
            <w:shd w:val="clear" w:color="auto" w:fill="FFFFFF" w:themeFill="background1"/>
          </w:tcPr>
          <w:p w14:paraId="588F4A20" w14:textId="5EA8FAAA" w:rsidR="00002296" w:rsidRDefault="00002296" w:rsidP="00E632E6">
            <w:pPr>
              <w:spacing w:line="360" w:lineRule="auto"/>
              <w:jc w:val="center"/>
              <w:rPr>
                <w:rFonts w:ascii="Calibri" w:hAnsi="Calibri" w:cs="Calibri"/>
              </w:rPr>
            </w:pPr>
            <w:r>
              <w:rPr>
                <w:rFonts w:ascii="Calibri" w:hAnsi="Calibri" w:cs="Calibri"/>
              </w:rPr>
              <w:t>16</w:t>
            </w:r>
          </w:p>
        </w:tc>
        <w:tc>
          <w:tcPr>
            <w:tcW w:w="1562" w:type="dxa"/>
            <w:shd w:val="clear" w:color="auto" w:fill="FFFFFF" w:themeFill="background1"/>
          </w:tcPr>
          <w:p w14:paraId="0C1B830C" w14:textId="0A69DE9D" w:rsidR="00002296" w:rsidRDefault="00002296"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167F1989" w14:textId="0B0DF88E" w:rsidR="00002296" w:rsidRDefault="00002296" w:rsidP="00E632E6">
            <w:pPr>
              <w:spacing w:line="360" w:lineRule="auto"/>
              <w:jc w:val="center"/>
              <w:rPr>
                <w:rFonts w:ascii="Calibri" w:hAnsi="Calibri" w:cs="Calibri"/>
              </w:rPr>
            </w:pPr>
            <w:r>
              <w:rPr>
                <w:rFonts w:ascii="Calibri" w:hAnsi="Calibri" w:cs="Calibri"/>
              </w:rPr>
              <w:t>1</w:t>
            </w:r>
          </w:p>
        </w:tc>
      </w:tr>
      <w:tr w:rsidR="00002296" w14:paraId="3C457F0D" w14:textId="77777777" w:rsidTr="00E632E6">
        <w:tc>
          <w:tcPr>
            <w:tcW w:w="1838" w:type="dxa"/>
            <w:shd w:val="clear" w:color="auto" w:fill="FFFFFF" w:themeFill="background1"/>
          </w:tcPr>
          <w:p w14:paraId="316961AA" w14:textId="7DC215A8"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Darkred</w:t>
            </w:r>
            <w:proofErr w:type="spellEnd"/>
          </w:p>
        </w:tc>
        <w:tc>
          <w:tcPr>
            <w:tcW w:w="1701" w:type="dxa"/>
            <w:shd w:val="clear" w:color="auto" w:fill="FFFFFF" w:themeFill="background1"/>
          </w:tcPr>
          <w:p w14:paraId="32D481FD" w14:textId="18D9B6A6" w:rsidR="00002296" w:rsidRDefault="00002296" w:rsidP="00E632E6">
            <w:pPr>
              <w:spacing w:line="360" w:lineRule="auto"/>
              <w:jc w:val="center"/>
              <w:rPr>
                <w:rFonts w:ascii="Calibri" w:hAnsi="Calibri" w:cs="Calibri"/>
              </w:rPr>
            </w:pPr>
            <w:r>
              <w:rPr>
                <w:rFonts w:ascii="Calibri" w:hAnsi="Calibri" w:cs="Calibri"/>
              </w:rPr>
              <w:t>1</w:t>
            </w:r>
          </w:p>
        </w:tc>
        <w:tc>
          <w:tcPr>
            <w:tcW w:w="1562" w:type="dxa"/>
            <w:shd w:val="clear" w:color="auto" w:fill="FFFFFF" w:themeFill="background1"/>
          </w:tcPr>
          <w:p w14:paraId="1D8B887A" w14:textId="43E8624F" w:rsidR="00002296" w:rsidRDefault="00002296" w:rsidP="00E632E6">
            <w:pPr>
              <w:spacing w:line="360" w:lineRule="auto"/>
              <w:jc w:val="center"/>
              <w:rPr>
                <w:rFonts w:ascii="Calibri" w:hAnsi="Calibri" w:cs="Calibri"/>
              </w:rPr>
            </w:pPr>
            <w:r>
              <w:rPr>
                <w:rFonts w:ascii="Calibri" w:hAnsi="Calibri" w:cs="Calibri"/>
              </w:rPr>
              <w:t>2</w:t>
            </w:r>
          </w:p>
        </w:tc>
        <w:tc>
          <w:tcPr>
            <w:tcW w:w="1848" w:type="dxa"/>
            <w:shd w:val="clear" w:color="auto" w:fill="FFFFFF" w:themeFill="background1"/>
          </w:tcPr>
          <w:p w14:paraId="0CFF6154" w14:textId="36D47642" w:rsidR="00002296" w:rsidRDefault="00002296" w:rsidP="00E632E6">
            <w:pPr>
              <w:spacing w:line="360" w:lineRule="auto"/>
              <w:jc w:val="center"/>
              <w:rPr>
                <w:rFonts w:ascii="Calibri" w:hAnsi="Calibri" w:cs="Calibri"/>
              </w:rPr>
            </w:pPr>
            <w:r>
              <w:rPr>
                <w:rFonts w:ascii="Calibri" w:hAnsi="Calibri" w:cs="Calibri"/>
              </w:rPr>
              <w:t>4</w:t>
            </w:r>
          </w:p>
        </w:tc>
      </w:tr>
      <w:tr w:rsidR="00002296" w14:paraId="6207DE1A" w14:textId="77777777" w:rsidTr="00E632E6">
        <w:tc>
          <w:tcPr>
            <w:tcW w:w="1838" w:type="dxa"/>
            <w:shd w:val="clear" w:color="auto" w:fill="FFFFFF" w:themeFill="background1"/>
          </w:tcPr>
          <w:p w14:paraId="2E34AB92" w14:textId="79C466AD"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Greenyellow</w:t>
            </w:r>
            <w:proofErr w:type="spellEnd"/>
          </w:p>
        </w:tc>
        <w:tc>
          <w:tcPr>
            <w:tcW w:w="1701" w:type="dxa"/>
            <w:shd w:val="clear" w:color="auto" w:fill="FFFFFF" w:themeFill="background1"/>
          </w:tcPr>
          <w:p w14:paraId="35A6C187" w14:textId="7B96BB51" w:rsidR="00002296" w:rsidRDefault="00002296" w:rsidP="00E632E6">
            <w:pPr>
              <w:spacing w:line="360" w:lineRule="auto"/>
              <w:jc w:val="center"/>
              <w:rPr>
                <w:rFonts w:ascii="Calibri" w:hAnsi="Calibri" w:cs="Calibri"/>
              </w:rPr>
            </w:pPr>
            <w:r>
              <w:rPr>
                <w:rFonts w:ascii="Calibri" w:hAnsi="Calibri" w:cs="Calibri"/>
              </w:rPr>
              <w:t>10</w:t>
            </w:r>
          </w:p>
        </w:tc>
        <w:tc>
          <w:tcPr>
            <w:tcW w:w="1562" w:type="dxa"/>
            <w:shd w:val="clear" w:color="auto" w:fill="FFFFFF" w:themeFill="background1"/>
          </w:tcPr>
          <w:p w14:paraId="595B36D3" w14:textId="0D2C15E2" w:rsidR="00002296" w:rsidRDefault="00002296" w:rsidP="00E632E6">
            <w:pPr>
              <w:spacing w:line="360" w:lineRule="auto"/>
              <w:jc w:val="center"/>
              <w:rPr>
                <w:rFonts w:ascii="Calibri" w:hAnsi="Calibri" w:cs="Calibri"/>
              </w:rPr>
            </w:pPr>
            <w:r>
              <w:rPr>
                <w:rFonts w:ascii="Calibri" w:hAnsi="Calibri" w:cs="Calibri"/>
              </w:rPr>
              <w:t>1</w:t>
            </w:r>
          </w:p>
        </w:tc>
        <w:tc>
          <w:tcPr>
            <w:tcW w:w="1848" w:type="dxa"/>
            <w:shd w:val="clear" w:color="auto" w:fill="FFFFFF" w:themeFill="background1"/>
          </w:tcPr>
          <w:p w14:paraId="1B53343E" w14:textId="4C0309DC" w:rsidR="00002296" w:rsidRDefault="00002296" w:rsidP="00E632E6">
            <w:pPr>
              <w:spacing w:line="360" w:lineRule="auto"/>
              <w:jc w:val="center"/>
              <w:rPr>
                <w:rFonts w:ascii="Calibri" w:hAnsi="Calibri" w:cs="Calibri"/>
              </w:rPr>
            </w:pPr>
            <w:r>
              <w:rPr>
                <w:rFonts w:ascii="Calibri" w:hAnsi="Calibri" w:cs="Calibri"/>
              </w:rPr>
              <w:t>0</w:t>
            </w:r>
          </w:p>
        </w:tc>
      </w:tr>
      <w:tr w:rsidR="00002296" w14:paraId="75CECEF6" w14:textId="77777777" w:rsidTr="00E632E6">
        <w:tc>
          <w:tcPr>
            <w:tcW w:w="1838" w:type="dxa"/>
            <w:shd w:val="clear" w:color="auto" w:fill="FFFFFF" w:themeFill="background1"/>
          </w:tcPr>
          <w:p w14:paraId="7DFDE325" w14:textId="033307A7" w:rsidR="00002296" w:rsidRPr="00E632E6" w:rsidRDefault="00002296" w:rsidP="00E632E6">
            <w:pPr>
              <w:spacing w:line="360" w:lineRule="auto"/>
              <w:rPr>
                <w:rFonts w:ascii="Calibri" w:hAnsi="Calibri" w:cs="Calibri"/>
                <w:b/>
                <w:bCs/>
              </w:rPr>
            </w:pPr>
            <w:r w:rsidRPr="00E632E6">
              <w:rPr>
                <w:rFonts w:ascii="Calibri" w:hAnsi="Calibri" w:cs="Calibri"/>
                <w:b/>
                <w:bCs/>
              </w:rPr>
              <w:t>Grey</w:t>
            </w:r>
          </w:p>
        </w:tc>
        <w:tc>
          <w:tcPr>
            <w:tcW w:w="1701" w:type="dxa"/>
            <w:shd w:val="clear" w:color="auto" w:fill="FFFFFF" w:themeFill="background1"/>
          </w:tcPr>
          <w:p w14:paraId="100007D1" w14:textId="07FBF8AF" w:rsidR="00002296" w:rsidRDefault="00002296" w:rsidP="00E632E6">
            <w:pPr>
              <w:spacing w:line="360" w:lineRule="auto"/>
              <w:jc w:val="center"/>
              <w:rPr>
                <w:rFonts w:ascii="Calibri" w:hAnsi="Calibri" w:cs="Calibri"/>
              </w:rPr>
            </w:pPr>
            <w:r>
              <w:rPr>
                <w:rFonts w:ascii="Calibri" w:hAnsi="Calibri" w:cs="Calibri"/>
              </w:rPr>
              <w:t>1</w:t>
            </w:r>
          </w:p>
        </w:tc>
        <w:tc>
          <w:tcPr>
            <w:tcW w:w="1562" w:type="dxa"/>
            <w:shd w:val="clear" w:color="auto" w:fill="FFFFFF" w:themeFill="background1"/>
          </w:tcPr>
          <w:p w14:paraId="6C389CB0" w14:textId="1110139E" w:rsidR="00002296" w:rsidRDefault="00002296" w:rsidP="00E632E6">
            <w:pPr>
              <w:spacing w:line="360" w:lineRule="auto"/>
              <w:jc w:val="center"/>
              <w:rPr>
                <w:rFonts w:ascii="Calibri" w:hAnsi="Calibri" w:cs="Calibri"/>
              </w:rPr>
            </w:pPr>
            <w:r>
              <w:rPr>
                <w:rFonts w:ascii="Calibri" w:hAnsi="Calibri" w:cs="Calibri"/>
              </w:rPr>
              <w:t>4</w:t>
            </w:r>
          </w:p>
        </w:tc>
        <w:tc>
          <w:tcPr>
            <w:tcW w:w="1848" w:type="dxa"/>
            <w:shd w:val="clear" w:color="auto" w:fill="FFFFFF" w:themeFill="background1"/>
          </w:tcPr>
          <w:p w14:paraId="52DFFBE1" w14:textId="0C955F34" w:rsidR="00002296" w:rsidRDefault="00002296" w:rsidP="00E632E6">
            <w:pPr>
              <w:spacing w:line="360" w:lineRule="auto"/>
              <w:jc w:val="center"/>
              <w:rPr>
                <w:rFonts w:ascii="Calibri" w:hAnsi="Calibri" w:cs="Calibri"/>
              </w:rPr>
            </w:pPr>
            <w:r>
              <w:rPr>
                <w:rFonts w:ascii="Calibri" w:hAnsi="Calibri" w:cs="Calibri"/>
              </w:rPr>
              <w:t>2</w:t>
            </w:r>
          </w:p>
        </w:tc>
      </w:tr>
      <w:tr w:rsidR="00002296" w14:paraId="1F837D26" w14:textId="77777777" w:rsidTr="00E632E6">
        <w:tc>
          <w:tcPr>
            <w:tcW w:w="1838" w:type="dxa"/>
            <w:shd w:val="clear" w:color="auto" w:fill="FFFFFF" w:themeFill="background1"/>
          </w:tcPr>
          <w:p w14:paraId="4017EB99" w14:textId="2EC66356" w:rsidR="00002296" w:rsidRPr="00E632E6" w:rsidRDefault="00002296" w:rsidP="00E632E6">
            <w:pPr>
              <w:spacing w:line="360" w:lineRule="auto"/>
              <w:rPr>
                <w:rFonts w:ascii="Calibri" w:hAnsi="Calibri" w:cs="Calibri"/>
                <w:b/>
                <w:bCs/>
              </w:rPr>
            </w:pPr>
            <w:r w:rsidRPr="00E632E6">
              <w:rPr>
                <w:rFonts w:ascii="Calibri" w:hAnsi="Calibri" w:cs="Calibri"/>
                <w:b/>
                <w:bCs/>
              </w:rPr>
              <w:t>Grey60</w:t>
            </w:r>
          </w:p>
        </w:tc>
        <w:tc>
          <w:tcPr>
            <w:tcW w:w="1701" w:type="dxa"/>
            <w:shd w:val="clear" w:color="auto" w:fill="FFFFFF" w:themeFill="background1"/>
          </w:tcPr>
          <w:p w14:paraId="70B61543" w14:textId="19AA3ACC" w:rsidR="00002296" w:rsidRDefault="00002296"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145A8C86" w14:textId="69283BC6" w:rsidR="00002296" w:rsidRDefault="00002296"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70CDBAC8" w14:textId="1DDC612B" w:rsidR="00002296" w:rsidRDefault="00002296" w:rsidP="00E632E6">
            <w:pPr>
              <w:spacing w:line="360" w:lineRule="auto"/>
              <w:jc w:val="center"/>
              <w:rPr>
                <w:rFonts w:ascii="Calibri" w:hAnsi="Calibri" w:cs="Calibri"/>
              </w:rPr>
            </w:pPr>
            <w:r>
              <w:rPr>
                <w:rFonts w:ascii="Calibri" w:hAnsi="Calibri" w:cs="Calibri"/>
              </w:rPr>
              <w:t>17</w:t>
            </w:r>
          </w:p>
        </w:tc>
      </w:tr>
      <w:tr w:rsidR="00002296" w14:paraId="76DCE2FB" w14:textId="77777777" w:rsidTr="00E632E6">
        <w:tc>
          <w:tcPr>
            <w:tcW w:w="1838" w:type="dxa"/>
            <w:shd w:val="clear" w:color="auto" w:fill="FFFFFF" w:themeFill="background1"/>
          </w:tcPr>
          <w:p w14:paraId="58D638A1" w14:textId="2F478C26"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Lightcyan</w:t>
            </w:r>
            <w:proofErr w:type="spellEnd"/>
          </w:p>
        </w:tc>
        <w:tc>
          <w:tcPr>
            <w:tcW w:w="1701" w:type="dxa"/>
            <w:shd w:val="clear" w:color="auto" w:fill="FFFFFF" w:themeFill="background1"/>
          </w:tcPr>
          <w:p w14:paraId="2D4750C1" w14:textId="15EF20CE" w:rsidR="00002296" w:rsidRDefault="00002296" w:rsidP="00E632E6">
            <w:pPr>
              <w:spacing w:line="360" w:lineRule="auto"/>
              <w:jc w:val="center"/>
              <w:rPr>
                <w:rFonts w:ascii="Calibri" w:hAnsi="Calibri" w:cs="Calibri"/>
              </w:rPr>
            </w:pPr>
            <w:r>
              <w:rPr>
                <w:rFonts w:ascii="Calibri" w:hAnsi="Calibri" w:cs="Calibri"/>
              </w:rPr>
              <w:t>17</w:t>
            </w:r>
          </w:p>
        </w:tc>
        <w:tc>
          <w:tcPr>
            <w:tcW w:w="1562" w:type="dxa"/>
            <w:shd w:val="clear" w:color="auto" w:fill="FFFFFF" w:themeFill="background1"/>
          </w:tcPr>
          <w:p w14:paraId="23F1D4E8" w14:textId="2D97B7E4" w:rsidR="00002296" w:rsidRDefault="00002296" w:rsidP="00E632E6">
            <w:pPr>
              <w:spacing w:line="360" w:lineRule="auto"/>
              <w:jc w:val="center"/>
              <w:rPr>
                <w:rFonts w:ascii="Calibri" w:hAnsi="Calibri" w:cs="Calibri"/>
              </w:rPr>
            </w:pPr>
            <w:r>
              <w:rPr>
                <w:rFonts w:ascii="Calibri" w:hAnsi="Calibri" w:cs="Calibri"/>
              </w:rPr>
              <w:t>1</w:t>
            </w:r>
          </w:p>
        </w:tc>
        <w:tc>
          <w:tcPr>
            <w:tcW w:w="1848" w:type="dxa"/>
            <w:shd w:val="clear" w:color="auto" w:fill="FFFFFF" w:themeFill="background1"/>
          </w:tcPr>
          <w:p w14:paraId="0F818520" w14:textId="369F4D78" w:rsidR="00002296" w:rsidRDefault="00002296" w:rsidP="00E632E6">
            <w:pPr>
              <w:spacing w:line="360" w:lineRule="auto"/>
              <w:jc w:val="center"/>
              <w:rPr>
                <w:rFonts w:ascii="Calibri" w:hAnsi="Calibri" w:cs="Calibri"/>
              </w:rPr>
            </w:pPr>
            <w:r>
              <w:rPr>
                <w:rFonts w:ascii="Calibri" w:hAnsi="Calibri" w:cs="Calibri"/>
              </w:rPr>
              <w:t>0</w:t>
            </w:r>
          </w:p>
        </w:tc>
      </w:tr>
      <w:tr w:rsidR="00002296" w14:paraId="52FC220C" w14:textId="77777777" w:rsidTr="00E632E6">
        <w:tc>
          <w:tcPr>
            <w:tcW w:w="1838" w:type="dxa"/>
            <w:shd w:val="clear" w:color="auto" w:fill="FFFFFF" w:themeFill="background1"/>
          </w:tcPr>
          <w:p w14:paraId="4910D7E0" w14:textId="036BEA98"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Lightgreen</w:t>
            </w:r>
            <w:proofErr w:type="spellEnd"/>
          </w:p>
        </w:tc>
        <w:tc>
          <w:tcPr>
            <w:tcW w:w="1701" w:type="dxa"/>
            <w:shd w:val="clear" w:color="auto" w:fill="FFFFFF" w:themeFill="background1"/>
          </w:tcPr>
          <w:p w14:paraId="26368012" w14:textId="4DDD876B" w:rsidR="00002296" w:rsidRDefault="00002296"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13DC0843" w14:textId="73A2F261" w:rsidR="00002296" w:rsidRDefault="00002296" w:rsidP="00E632E6">
            <w:pPr>
              <w:spacing w:line="360" w:lineRule="auto"/>
              <w:jc w:val="center"/>
              <w:rPr>
                <w:rFonts w:ascii="Calibri" w:hAnsi="Calibri" w:cs="Calibri"/>
              </w:rPr>
            </w:pPr>
            <w:r>
              <w:rPr>
                <w:rFonts w:ascii="Calibri" w:hAnsi="Calibri" w:cs="Calibri"/>
              </w:rPr>
              <w:t>4</w:t>
            </w:r>
          </w:p>
        </w:tc>
        <w:tc>
          <w:tcPr>
            <w:tcW w:w="1848" w:type="dxa"/>
            <w:shd w:val="clear" w:color="auto" w:fill="FFFFFF" w:themeFill="background1"/>
          </w:tcPr>
          <w:p w14:paraId="7B359E05" w14:textId="797D5ED4" w:rsidR="00002296" w:rsidRDefault="00002296" w:rsidP="00E632E6">
            <w:pPr>
              <w:spacing w:line="360" w:lineRule="auto"/>
              <w:jc w:val="center"/>
              <w:rPr>
                <w:rFonts w:ascii="Calibri" w:hAnsi="Calibri" w:cs="Calibri"/>
              </w:rPr>
            </w:pPr>
            <w:r>
              <w:rPr>
                <w:rFonts w:ascii="Calibri" w:hAnsi="Calibri" w:cs="Calibri"/>
              </w:rPr>
              <w:t>1</w:t>
            </w:r>
          </w:p>
        </w:tc>
      </w:tr>
      <w:tr w:rsidR="00002296" w14:paraId="3E409E15" w14:textId="77777777" w:rsidTr="00E632E6">
        <w:tc>
          <w:tcPr>
            <w:tcW w:w="1838" w:type="dxa"/>
            <w:shd w:val="clear" w:color="auto" w:fill="FFFFFF" w:themeFill="background1"/>
          </w:tcPr>
          <w:p w14:paraId="6A5EED3A" w14:textId="4B0D9739" w:rsidR="00002296" w:rsidRPr="00E632E6" w:rsidRDefault="00002296" w:rsidP="00E632E6">
            <w:pPr>
              <w:spacing w:line="360" w:lineRule="auto"/>
              <w:rPr>
                <w:rFonts w:ascii="Calibri" w:hAnsi="Calibri" w:cs="Calibri"/>
                <w:b/>
                <w:bCs/>
              </w:rPr>
            </w:pPr>
            <w:proofErr w:type="spellStart"/>
            <w:r w:rsidRPr="00E632E6">
              <w:rPr>
                <w:rFonts w:ascii="Calibri" w:hAnsi="Calibri" w:cs="Calibri"/>
                <w:b/>
                <w:bCs/>
              </w:rPr>
              <w:t>Lightyellow</w:t>
            </w:r>
            <w:proofErr w:type="spellEnd"/>
          </w:p>
        </w:tc>
        <w:tc>
          <w:tcPr>
            <w:tcW w:w="1701" w:type="dxa"/>
            <w:shd w:val="clear" w:color="auto" w:fill="FFFFFF" w:themeFill="background1"/>
          </w:tcPr>
          <w:p w14:paraId="56BFB24B" w14:textId="4BC91290" w:rsidR="00002296" w:rsidRDefault="00002296" w:rsidP="00E632E6">
            <w:pPr>
              <w:spacing w:line="360" w:lineRule="auto"/>
              <w:jc w:val="center"/>
              <w:rPr>
                <w:rFonts w:ascii="Calibri" w:hAnsi="Calibri" w:cs="Calibri"/>
              </w:rPr>
            </w:pPr>
            <w:r>
              <w:rPr>
                <w:rFonts w:ascii="Calibri" w:hAnsi="Calibri" w:cs="Calibri"/>
              </w:rPr>
              <w:t>6</w:t>
            </w:r>
          </w:p>
        </w:tc>
        <w:tc>
          <w:tcPr>
            <w:tcW w:w="1562" w:type="dxa"/>
            <w:shd w:val="clear" w:color="auto" w:fill="FFFFFF" w:themeFill="background1"/>
          </w:tcPr>
          <w:p w14:paraId="1327DA7D" w14:textId="15EF08B8" w:rsidR="00002296" w:rsidRDefault="00002296"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7AF5AED2" w14:textId="06344B6C" w:rsidR="00002296" w:rsidRDefault="00002296" w:rsidP="00E632E6">
            <w:pPr>
              <w:spacing w:line="360" w:lineRule="auto"/>
              <w:jc w:val="center"/>
              <w:rPr>
                <w:rFonts w:ascii="Calibri" w:hAnsi="Calibri" w:cs="Calibri"/>
              </w:rPr>
            </w:pPr>
            <w:r>
              <w:rPr>
                <w:rFonts w:ascii="Calibri" w:hAnsi="Calibri" w:cs="Calibri"/>
              </w:rPr>
              <w:t>0</w:t>
            </w:r>
          </w:p>
        </w:tc>
      </w:tr>
      <w:tr w:rsidR="00002296" w14:paraId="0A7E0AF8" w14:textId="77777777" w:rsidTr="00E632E6">
        <w:tc>
          <w:tcPr>
            <w:tcW w:w="1838" w:type="dxa"/>
            <w:shd w:val="clear" w:color="auto" w:fill="FFFFFF" w:themeFill="background1"/>
          </w:tcPr>
          <w:p w14:paraId="4DA6A96C" w14:textId="15B43147" w:rsidR="00002296" w:rsidRPr="00E632E6" w:rsidRDefault="00251BCA" w:rsidP="00E632E6">
            <w:pPr>
              <w:spacing w:line="360" w:lineRule="auto"/>
              <w:rPr>
                <w:rFonts w:ascii="Calibri" w:hAnsi="Calibri" w:cs="Calibri"/>
                <w:b/>
                <w:bCs/>
              </w:rPr>
            </w:pPr>
            <w:r w:rsidRPr="00E632E6">
              <w:rPr>
                <w:rFonts w:ascii="Calibri" w:hAnsi="Calibri" w:cs="Calibri"/>
                <w:b/>
                <w:bCs/>
              </w:rPr>
              <w:t>Magenta</w:t>
            </w:r>
          </w:p>
        </w:tc>
        <w:tc>
          <w:tcPr>
            <w:tcW w:w="1701" w:type="dxa"/>
            <w:shd w:val="clear" w:color="auto" w:fill="FFFFFF" w:themeFill="background1"/>
          </w:tcPr>
          <w:p w14:paraId="0DBE6888" w14:textId="25F348D7" w:rsidR="00002296" w:rsidRDefault="00251BCA"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5CBCEA25" w14:textId="3779C8C8" w:rsidR="00002296" w:rsidRDefault="00251BCA"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566F64E2" w14:textId="5F5EE5B7" w:rsidR="00002296" w:rsidRDefault="00251BCA" w:rsidP="00E632E6">
            <w:pPr>
              <w:spacing w:line="360" w:lineRule="auto"/>
              <w:jc w:val="center"/>
              <w:rPr>
                <w:rFonts w:ascii="Calibri" w:hAnsi="Calibri" w:cs="Calibri"/>
              </w:rPr>
            </w:pPr>
            <w:r>
              <w:rPr>
                <w:rFonts w:ascii="Calibri" w:hAnsi="Calibri" w:cs="Calibri"/>
              </w:rPr>
              <w:t>57</w:t>
            </w:r>
          </w:p>
        </w:tc>
      </w:tr>
      <w:tr w:rsidR="00251BCA" w14:paraId="2FD2A7F7" w14:textId="77777777" w:rsidTr="00E632E6">
        <w:tc>
          <w:tcPr>
            <w:tcW w:w="1838" w:type="dxa"/>
            <w:shd w:val="clear" w:color="auto" w:fill="FFFFFF" w:themeFill="background1"/>
          </w:tcPr>
          <w:p w14:paraId="5E475C74" w14:textId="0F2585EE" w:rsidR="00251BCA" w:rsidRPr="00E632E6" w:rsidRDefault="00251BCA" w:rsidP="00E632E6">
            <w:pPr>
              <w:spacing w:line="360" w:lineRule="auto"/>
              <w:rPr>
                <w:rFonts w:ascii="Calibri" w:hAnsi="Calibri" w:cs="Calibri"/>
                <w:b/>
                <w:bCs/>
              </w:rPr>
            </w:pPr>
            <w:proofErr w:type="spellStart"/>
            <w:r w:rsidRPr="00E632E6">
              <w:rPr>
                <w:rFonts w:ascii="Calibri" w:hAnsi="Calibri" w:cs="Calibri"/>
                <w:b/>
                <w:bCs/>
              </w:rPr>
              <w:t>Midnightblue</w:t>
            </w:r>
            <w:proofErr w:type="spellEnd"/>
          </w:p>
        </w:tc>
        <w:tc>
          <w:tcPr>
            <w:tcW w:w="1701" w:type="dxa"/>
            <w:shd w:val="clear" w:color="auto" w:fill="FFFFFF" w:themeFill="background1"/>
          </w:tcPr>
          <w:p w14:paraId="72B2B28B" w14:textId="4B834EC7" w:rsidR="00251BCA" w:rsidRDefault="00251BCA"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4C78679F" w14:textId="613FDEF1" w:rsidR="00251BCA" w:rsidRDefault="00251BCA"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422C129B" w14:textId="5218CDDF" w:rsidR="00251BCA" w:rsidRDefault="00251BCA" w:rsidP="00E632E6">
            <w:pPr>
              <w:spacing w:line="360" w:lineRule="auto"/>
              <w:jc w:val="center"/>
              <w:rPr>
                <w:rFonts w:ascii="Calibri" w:hAnsi="Calibri" w:cs="Calibri"/>
              </w:rPr>
            </w:pPr>
            <w:r>
              <w:rPr>
                <w:rFonts w:ascii="Calibri" w:hAnsi="Calibri" w:cs="Calibri"/>
              </w:rPr>
              <w:t>20</w:t>
            </w:r>
          </w:p>
        </w:tc>
      </w:tr>
      <w:tr w:rsidR="00251BCA" w14:paraId="70CC5FF7" w14:textId="77777777" w:rsidTr="00E632E6">
        <w:tc>
          <w:tcPr>
            <w:tcW w:w="1838" w:type="dxa"/>
            <w:shd w:val="clear" w:color="auto" w:fill="FFFFFF" w:themeFill="background1"/>
          </w:tcPr>
          <w:p w14:paraId="2AE31C88" w14:textId="6C4EC8E0" w:rsidR="00251BCA" w:rsidRPr="00E632E6" w:rsidRDefault="00251BCA" w:rsidP="00E632E6">
            <w:pPr>
              <w:spacing w:line="360" w:lineRule="auto"/>
              <w:rPr>
                <w:rFonts w:ascii="Calibri" w:hAnsi="Calibri" w:cs="Calibri"/>
                <w:b/>
                <w:bCs/>
              </w:rPr>
            </w:pPr>
            <w:r w:rsidRPr="00E632E6">
              <w:rPr>
                <w:rFonts w:ascii="Calibri" w:hAnsi="Calibri" w:cs="Calibri"/>
                <w:b/>
                <w:bCs/>
              </w:rPr>
              <w:t>Pink</w:t>
            </w:r>
          </w:p>
        </w:tc>
        <w:tc>
          <w:tcPr>
            <w:tcW w:w="1701" w:type="dxa"/>
            <w:shd w:val="clear" w:color="auto" w:fill="FFFFFF" w:themeFill="background1"/>
          </w:tcPr>
          <w:p w14:paraId="65CA59D5" w14:textId="4D0E9950" w:rsidR="00251BCA" w:rsidRDefault="00251BCA" w:rsidP="00E632E6">
            <w:pPr>
              <w:spacing w:line="360" w:lineRule="auto"/>
              <w:jc w:val="center"/>
              <w:rPr>
                <w:rFonts w:ascii="Calibri" w:hAnsi="Calibri" w:cs="Calibri"/>
              </w:rPr>
            </w:pPr>
            <w:r>
              <w:rPr>
                <w:rFonts w:ascii="Calibri" w:hAnsi="Calibri" w:cs="Calibri"/>
              </w:rPr>
              <w:t>0</w:t>
            </w:r>
          </w:p>
        </w:tc>
        <w:tc>
          <w:tcPr>
            <w:tcW w:w="1562" w:type="dxa"/>
            <w:shd w:val="clear" w:color="auto" w:fill="FFFFFF" w:themeFill="background1"/>
          </w:tcPr>
          <w:p w14:paraId="1EE53BB7" w14:textId="3F5E376F" w:rsidR="00251BCA" w:rsidRDefault="00251BCA" w:rsidP="00E632E6">
            <w:pPr>
              <w:spacing w:line="360" w:lineRule="auto"/>
              <w:jc w:val="center"/>
              <w:rPr>
                <w:rFonts w:ascii="Calibri" w:hAnsi="Calibri" w:cs="Calibri"/>
              </w:rPr>
            </w:pPr>
            <w:r>
              <w:rPr>
                <w:rFonts w:ascii="Calibri" w:hAnsi="Calibri" w:cs="Calibri"/>
              </w:rPr>
              <w:t>24</w:t>
            </w:r>
          </w:p>
        </w:tc>
        <w:tc>
          <w:tcPr>
            <w:tcW w:w="1848" w:type="dxa"/>
            <w:shd w:val="clear" w:color="auto" w:fill="FFFFFF" w:themeFill="background1"/>
          </w:tcPr>
          <w:p w14:paraId="5B308E35" w14:textId="4167DDFA" w:rsidR="00251BCA" w:rsidRDefault="00251BCA" w:rsidP="00E632E6">
            <w:pPr>
              <w:spacing w:line="360" w:lineRule="auto"/>
              <w:jc w:val="center"/>
              <w:rPr>
                <w:rFonts w:ascii="Calibri" w:hAnsi="Calibri" w:cs="Calibri"/>
              </w:rPr>
            </w:pPr>
            <w:r>
              <w:rPr>
                <w:rFonts w:ascii="Calibri" w:hAnsi="Calibri" w:cs="Calibri"/>
              </w:rPr>
              <w:t>42</w:t>
            </w:r>
          </w:p>
        </w:tc>
      </w:tr>
      <w:tr w:rsidR="00251BCA" w14:paraId="48F76B2B" w14:textId="77777777" w:rsidTr="00E632E6">
        <w:tc>
          <w:tcPr>
            <w:tcW w:w="1838" w:type="dxa"/>
            <w:shd w:val="clear" w:color="auto" w:fill="FFFFFF" w:themeFill="background1"/>
          </w:tcPr>
          <w:p w14:paraId="4CCA024D" w14:textId="25DC64AD" w:rsidR="00251BCA" w:rsidRPr="00E632E6" w:rsidRDefault="00251BCA" w:rsidP="00E632E6">
            <w:pPr>
              <w:spacing w:line="360" w:lineRule="auto"/>
              <w:rPr>
                <w:rFonts w:ascii="Calibri" w:hAnsi="Calibri" w:cs="Calibri"/>
                <w:b/>
                <w:bCs/>
              </w:rPr>
            </w:pPr>
            <w:proofErr w:type="spellStart"/>
            <w:r w:rsidRPr="00E632E6">
              <w:rPr>
                <w:rFonts w:ascii="Calibri" w:hAnsi="Calibri" w:cs="Calibri"/>
                <w:b/>
                <w:bCs/>
              </w:rPr>
              <w:t>Royalblue</w:t>
            </w:r>
            <w:proofErr w:type="spellEnd"/>
          </w:p>
        </w:tc>
        <w:tc>
          <w:tcPr>
            <w:tcW w:w="1701" w:type="dxa"/>
            <w:shd w:val="clear" w:color="auto" w:fill="FFFFFF" w:themeFill="background1"/>
          </w:tcPr>
          <w:p w14:paraId="7CC71006" w14:textId="58C64AEF" w:rsidR="00251BCA" w:rsidRDefault="00251BCA" w:rsidP="00E632E6">
            <w:pPr>
              <w:spacing w:line="360" w:lineRule="auto"/>
              <w:jc w:val="center"/>
              <w:rPr>
                <w:rFonts w:ascii="Calibri" w:hAnsi="Calibri" w:cs="Calibri"/>
              </w:rPr>
            </w:pPr>
            <w:r>
              <w:rPr>
                <w:rFonts w:ascii="Calibri" w:hAnsi="Calibri" w:cs="Calibri"/>
              </w:rPr>
              <w:t>2</w:t>
            </w:r>
          </w:p>
        </w:tc>
        <w:tc>
          <w:tcPr>
            <w:tcW w:w="1562" w:type="dxa"/>
            <w:shd w:val="clear" w:color="auto" w:fill="FFFFFF" w:themeFill="background1"/>
          </w:tcPr>
          <w:p w14:paraId="7BBE9E07" w14:textId="0C10A8B3" w:rsidR="00251BCA" w:rsidRDefault="00251BCA" w:rsidP="00E632E6">
            <w:pPr>
              <w:spacing w:line="360" w:lineRule="auto"/>
              <w:jc w:val="center"/>
              <w:rPr>
                <w:rFonts w:ascii="Calibri" w:hAnsi="Calibri" w:cs="Calibri"/>
              </w:rPr>
            </w:pPr>
            <w:r>
              <w:rPr>
                <w:rFonts w:ascii="Calibri" w:hAnsi="Calibri" w:cs="Calibri"/>
              </w:rPr>
              <w:t>0</w:t>
            </w:r>
          </w:p>
        </w:tc>
        <w:tc>
          <w:tcPr>
            <w:tcW w:w="1848" w:type="dxa"/>
            <w:shd w:val="clear" w:color="auto" w:fill="FFFFFF" w:themeFill="background1"/>
          </w:tcPr>
          <w:p w14:paraId="5AC16974" w14:textId="721670FE" w:rsidR="00251BCA" w:rsidRDefault="00251BCA" w:rsidP="00E632E6">
            <w:pPr>
              <w:spacing w:line="360" w:lineRule="auto"/>
              <w:jc w:val="center"/>
              <w:rPr>
                <w:rFonts w:ascii="Calibri" w:hAnsi="Calibri" w:cs="Calibri"/>
              </w:rPr>
            </w:pPr>
            <w:r>
              <w:rPr>
                <w:rFonts w:ascii="Calibri" w:hAnsi="Calibri" w:cs="Calibri"/>
              </w:rPr>
              <w:t>0</w:t>
            </w:r>
          </w:p>
        </w:tc>
      </w:tr>
      <w:tr w:rsidR="00251BCA" w14:paraId="33E8802C" w14:textId="77777777" w:rsidTr="00E632E6">
        <w:tc>
          <w:tcPr>
            <w:tcW w:w="1838" w:type="dxa"/>
            <w:shd w:val="clear" w:color="auto" w:fill="FFFFFF" w:themeFill="background1"/>
          </w:tcPr>
          <w:p w14:paraId="66C9C4C4" w14:textId="1504F7D4" w:rsidR="00251BCA" w:rsidRPr="00E632E6" w:rsidRDefault="00251BCA" w:rsidP="00E632E6">
            <w:pPr>
              <w:spacing w:line="360" w:lineRule="auto"/>
              <w:rPr>
                <w:rFonts w:ascii="Calibri" w:hAnsi="Calibri" w:cs="Calibri"/>
                <w:b/>
                <w:bCs/>
              </w:rPr>
            </w:pPr>
            <w:r w:rsidRPr="00E632E6">
              <w:rPr>
                <w:rFonts w:ascii="Calibri" w:hAnsi="Calibri" w:cs="Calibri"/>
                <w:b/>
                <w:bCs/>
              </w:rPr>
              <w:t>Turquoise</w:t>
            </w:r>
          </w:p>
        </w:tc>
        <w:tc>
          <w:tcPr>
            <w:tcW w:w="1701" w:type="dxa"/>
            <w:shd w:val="clear" w:color="auto" w:fill="FFFFFF" w:themeFill="background1"/>
          </w:tcPr>
          <w:p w14:paraId="658E713C" w14:textId="49E47F45" w:rsidR="00251BCA" w:rsidRDefault="00251BCA" w:rsidP="00E632E6">
            <w:pPr>
              <w:spacing w:line="360" w:lineRule="auto"/>
              <w:jc w:val="center"/>
              <w:rPr>
                <w:rFonts w:ascii="Calibri" w:hAnsi="Calibri" w:cs="Calibri"/>
              </w:rPr>
            </w:pPr>
            <w:r>
              <w:rPr>
                <w:rFonts w:ascii="Calibri" w:hAnsi="Calibri" w:cs="Calibri"/>
              </w:rPr>
              <w:t>48</w:t>
            </w:r>
          </w:p>
        </w:tc>
        <w:tc>
          <w:tcPr>
            <w:tcW w:w="1562" w:type="dxa"/>
            <w:shd w:val="clear" w:color="auto" w:fill="FFFFFF" w:themeFill="background1"/>
          </w:tcPr>
          <w:p w14:paraId="249B096D" w14:textId="29E3D19B" w:rsidR="00251BCA" w:rsidRDefault="00251BCA" w:rsidP="00E632E6">
            <w:pPr>
              <w:spacing w:line="360" w:lineRule="auto"/>
              <w:jc w:val="center"/>
              <w:rPr>
                <w:rFonts w:ascii="Calibri" w:hAnsi="Calibri" w:cs="Calibri"/>
              </w:rPr>
            </w:pPr>
            <w:r>
              <w:rPr>
                <w:rFonts w:ascii="Calibri" w:hAnsi="Calibri" w:cs="Calibri"/>
              </w:rPr>
              <w:t>2</w:t>
            </w:r>
          </w:p>
        </w:tc>
        <w:tc>
          <w:tcPr>
            <w:tcW w:w="1848" w:type="dxa"/>
            <w:shd w:val="clear" w:color="auto" w:fill="FFFFFF" w:themeFill="background1"/>
          </w:tcPr>
          <w:p w14:paraId="6AC57363" w14:textId="7783BE61" w:rsidR="00251BCA" w:rsidRDefault="00251BCA" w:rsidP="00E632E6">
            <w:pPr>
              <w:spacing w:line="360" w:lineRule="auto"/>
              <w:jc w:val="center"/>
              <w:rPr>
                <w:rFonts w:ascii="Calibri" w:hAnsi="Calibri" w:cs="Calibri"/>
              </w:rPr>
            </w:pPr>
            <w:r>
              <w:rPr>
                <w:rFonts w:ascii="Calibri" w:hAnsi="Calibri" w:cs="Calibri"/>
              </w:rPr>
              <w:t>1</w:t>
            </w:r>
          </w:p>
        </w:tc>
      </w:tr>
      <w:tr w:rsidR="00251BCA" w14:paraId="2CDBC5C5" w14:textId="77777777" w:rsidTr="00E632E6">
        <w:tc>
          <w:tcPr>
            <w:tcW w:w="1838" w:type="dxa"/>
            <w:shd w:val="clear" w:color="auto" w:fill="FFFFFF" w:themeFill="background1"/>
          </w:tcPr>
          <w:p w14:paraId="5F272DB8" w14:textId="3E8061AC" w:rsidR="00251BCA" w:rsidRPr="00E632E6" w:rsidRDefault="00251BCA" w:rsidP="00E632E6">
            <w:pPr>
              <w:spacing w:line="360" w:lineRule="auto"/>
              <w:rPr>
                <w:rFonts w:ascii="Calibri" w:hAnsi="Calibri" w:cs="Calibri"/>
                <w:b/>
                <w:bCs/>
              </w:rPr>
            </w:pPr>
            <w:r w:rsidRPr="00E632E6">
              <w:rPr>
                <w:rFonts w:ascii="Calibri" w:hAnsi="Calibri" w:cs="Calibri"/>
                <w:b/>
                <w:bCs/>
              </w:rPr>
              <w:t>Total</w:t>
            </w:r>
          </w:p>
        </w:tc>
        <w:tc>
          <w:tcPr>
            <w:tcW w:w="1701" w:type="dxa"/>
            <w:shd w:val="clear" w:color="auto" w:fill="FFFFFF" w:themeFill="background1"/>
          </w:tcPr>
          <w:p w14:paraId="7D11C7DA" w14:textId="18DFD1BB" w:rsidR="00251BCA" w:rsidRDefault="00251BCA" w:rsidP="00E632E6">
            <w:pPr>
              <w:spacing w:line="360" w:lineRule="auto"/>
              <w:jc w:val="center"/>
              <w:rPr>
                <w:rFonts w:ascii="Calibri" w:hAnsi="Calibri" w:cs="Calibri"/>
              </w:rPr>
            </w:pPr>
            <w:r>
              <w:rPr>
                <w:rFonts w:ascii="Calibri" w:hAnsi="Calibri" w:cs="Calibri"/>
              </w:rPr>
              <w:t>320</w:t>
            </w:r>
          </w:p>
        </w:tc>
        <w:tc>
          <w:tcPr>
            <w:tcW w:w="1562" w:type="dxa"/>
            <w:shd w:val="clear" w:color="auto" w:fill="FFFFFF" w:themeFill="background1"/>
          </w:tcPr>
          <w:p w14:paraId="2E2CF87F" w14:textId="17D2D027" w:rsidR="00251BCA" w:rsidRDefault="00251BCA" w:rsidP="00E632E6">
            <w:pPr>
              <w:spacing w:line="360" w:lineRule="auto"/>
              <w:jc w:val="center"/>
              <w:rPr>
                <w:rFonts w:ascii="Calibri" w:hAnsi="Calibri" w:cs="Calibri"/>
              </w:rPr>
            </w:pPr>
            <w:r>
              <w:rPr>
                <w:rFonts w:ascii="Calibri" w:hAnsi="Calibri" w:cs="Calibri"/>
              </w:rPr>
              <w:t>52</w:t>
            </w:r>
          </w:p>
        </w:tc>
        <w:tc>
          <w:tcPr>
            <w:tcW w:w="1848" w:type="dxa"/>
            <w:shd w:val="clear" w:color="auto" w:fill="FFFFFF" w:themeFill="background1"/>
          </w:tcPr>
          <w:p w14:paraId="0E45F52F" w14:textId="448F919A" w:rsidR="00251BCA" w:rsidRDefault="00251BCA" w:rsidP="00E632E6">
            <w:pPr>
              <w:spacing w:line="360" w:lineRule="auto"/>
              <w:jc w:val="center"/>
              <w:rPr>
                <w:rFonts w:ascii="Calibri" w:hAnsi="Calibri" w:cs="Calibri"/>
              </w:rPr>
            </w:pPr>
            <w:r>
              <w:rPr>
                <w:rFonts w:ascii="Calibri" w:hAnsi="Calibri" w:cs="Calibri"/>
              </w:rPr>
              <w:t>309</w:t>
            </w:r>
          </w:p>
        </w:tc>
      </w:tr>
    </w:tbl>
    <w:p w14:paraId="7E24AAD2" w14:textId="360EE150" w:rsidR="000313AA" w:rsidRPr="00F56116" w:rsidRDefault="000313AA" w:rsidP="00E632E6">
      <w:pPr>
        <w:spacing w:after="0" w:line="360" w:lineRule="auto"/>
        <w:rPr>
          <w:rFonts w:ascii="Calibri" w:hAnsi="Calibri" w:cs="Calibri"/>
        </w:rPr>
      </w:pPr>
      <w:r w:rsidRPr="00F56116">
        <w:rPr>
          <w:rFonts w:ascii="Calibri" w:hAnsi="Calibri" w:cs="Calibri"/>
        </w:rPr>
        <w:br w:type="page"/>
      </w:r>
    </w:p>
    <w:p w14:paraId="5FBA304D" w14:textId="0D41CBE6" w:rsidR="000313AA" w:rsidRPr="00F56116" w:rsidRDefault="00E632E6" w:rsidP="000313AA">
      <w:pPr>
        <w:spacing w:after="120" w:line="480" w:lineRule="auto"/>
        <w:jc w:val="both"/>
        <w:rPr>
          <w:rFonts w:ascii="Calibri" w:hAnsi="Calibri" w:cs="Calibri"/>
          <w:b/>
          <w:bCs/>
        </w:rPr>
      </w:pPr>
      <w:r>
        <w:rPr>
          <w:rFonts w:ascii="Calibri" w:hAnsi="Calibri" w:cs="Calibri"/>
          <w:b/>
          <w:bCs/>
        </w:rPr>
        <w:lastRenderedPageBreak/>
        <w:t>Methodological details</w:t>
      </w:r>
    </w:p>
    <w:p w14:paraId="04DBD71D" w14:textId="420649DA" w:rsidR="00BD7696" w:rsidRPr="00F56116" w:rsidRDefault="000313AA" w:rsidP="000313AA">
      <w:pPr>
        <w:spacing w:after="120" w:line="480" w:lineRule="auto"/>
        <w:jc w:val="both"/>
        <w:rPr>
          <w:rFonts w:cstheme="minorHAnsi"/>
        </w:rPr>
      </w:pPr>
      <w:r w:rsidRPr="00F56116">
        <w:rPr>
          <w:rFonts w:ascii="Calibri" w:hAnsi="Calibri" w:cs="Calibri"/>
        </w:rPr>
        <w:t xml:space="preserve">As detailed in Sistermans et al. 2025 </w:t>
      </w:r>
      <w:r w:rsidRPr="00F56116">
        <w:rPr>
          <w:rFonts w:ascii="Calibri" w:hAnsi="Calibri" w:cs="Calibri"/>
        </w:rPr>
        <w:fldChar w:fldCharType="begin"/>
      </w:r>
      <w:r w:rsidR="00E007A4">
        <w:rPr>
          <w:rFonts w:ascii="Calibri" w:hAnsi="Calibri" w:cs="Calibri"/>
        </w:rPr>
        <w:instrText xml:space="preserve"> ADDIN ZOTERO_ITEM CSL_CITATION {"citationID":"JnEgNa6n","properties":{"formattedCitation":"[1]","plainCitation":"[1]","noteIndex":0},"citationItems":[{"id":1225,"uris":["http://zotero.org/users/14525203/items/SKXE7VVN"],"itemData":{"id":1225,"type":"article-journal","abstract":"Parasites pose significant challenges not only to individual hosts but also to entire social groups. We investigated the effects of parasitism by the cestode Anomotaenia brevis on colonies of its intermediate host, the ant Temnothorax nylanderi. We evaluated changes in worker and queen survival rates and transcriptional activity in the fat body of infected and uninfected workers, as well as in the parasite itself, in relation to infected worker prevalence and colony size. Cestode-infected workers are known to exhibit a significantly extended lifespan compared to uninfected workers. Here, we demonstrate that the survival rates of infected workers, uninfected queens, and uninfected workers decrease with increasing infected worker prevalence and increase with colony size. Transcriptomic analysis revealed stress-related signatures in all workers, regardless of infection status, as infection prevalence increased. Moreover, gene expression patterns, particularly in uninfected workers, were strongly influenced by colony size. The transcriptional activity of the parasitic cestode also shifted with infected worker prevalence, highlighting the complex dynamics of host-parasite interactions. These results demonstrate that parasites in social species impose colony-wide impacts that extend beyond infected individuals, even in the absence of direct cross-nestmate infection risks. Moreover, the consequences of parasitism can be modulated by colony size.","container-title":"Evolution","DOI":"10.1093/evolut/qpaf118","ISSN":"1558-5646","journalAbbreviation":"Evolution","language":"eng","note":"PMID: 40448622","page":"qpaf118","source":"PubMed","title":"Parasite prevalence in a social host has colony-wide impacts on transcriptional activity and survival","author":[{"family":"Sistermans","given":"Tom"},{"family":"Darras","given":"Hugo"},{"family":"Rognet","given":"Victor"},{"family":"Beros","given":"Sara"},{"family":"Hartke","given":"Juliane"},{"family":"Stoldt","given":"Marah"},{"family":"Libbrecht","given":"Romain"},{"family":"Kokko","given":"Hanna"},{"family":"Foitzik","given":"Susanne"}],"issued":{"date-parts":[["2025",5,31]]}}}],"schema":"https://github.com/citation-style-language/schema/raw/master/csl-citation.json"} </w:instrText>
      </w:r>
      <w:r w:rsidRPr="00F56116">
        <w:rPr>
          <w:rFonts w:ascii="Calibri" w:hAnsi="Calibri" w:cs="Calibri"/>
        </w:rPr>
        <w:fldChar w:fldCharType="separate"/>
      </w:r>
      <w:r w:rsidR="00E007A4" w:rsidRPr="00E007A4">
        <w:rPr>
          <w:rFonts w:ascii="Calibri" w:hAnsi="Calibri" w:cs="Calibri"/>
        </w:rPr>
        <w:t>[1]</w:t>
      </w:r>
      <w:r w:rsidRPr="00F56116">
        <w:rPr>
          <w:rFonts w:ascii="Calibri" w:hAnsi="Calibri" w:cs="Calibri"/>
        </w:rPr>
        <w:fldChar w:fldCharType="end"/>
      </w:r>
      <w:r w:rsidRPr="00F56116">
        <w:rPr>
          <w:rFonts w:ascii="Calibri" w:hAnsi="Calibri" w:cs="Calibri"/>
        </w:rPr>
        <w:t xml:space="preserve">, colonies of </w:t>
      </w:r>
      <w:r w:rsidRPr="00F56116">
        <w:rPr>
          <w:rFonts w:ascii="Calibri" w:hAnsi="Calibri" w:cs="Calibri"/>
          <w:i/>
          <w:iCs/>
        </w:rPr>
        <w:t>Temnothorax nylanderi</w:t>
      </w:r>
      <w:r w:rsidRPr="00F56116">
        <w:rPr>
          <w:rFonts w:ascii="Calibri" w:hAnsi="Calibri" w:cs="Calibri"/>
        </w:rPr>
        <w:t xml:space="preserve"> were gathered in the </w:t>
      </w:r>
      <w:proofErr w:type="spellStart"/>
      <w:r w:rsidRPr="00F56116">
        <w:rPr>
          <w:rFonts w:ascii="Calibri" w:hAnsi="Calibri" w:cs="Calibri"/>
        </w:rPr>
        <w:t>Lennebergwald</w:t>
      </w:r>
      <w:proofErr w:type="spellEnd"/>
      <w:r w:rsidRPr="00F56116">
        <w:rPr>
          <w:rFonts w:ascii="Calibri" w:hAnsi="Calibri" w:cs="Calibri"/>
        </w:rPr>
        <w:t xml:space="preserve"> in Mainz, Germany in late 2019 and early 2020. The ants relevant to our study were kept under standardized laboratory conditions and were dissected for their fat body and cestodes </w:t>
      </w:r>
      <w:r w:rsidRPr="00F56116">
        <w:rPr>
          <w:rFonts w:ascii="Calibri" w:hAnsi="Calibri" w:cs="Calibri"/>
        </w:rPr>
        <w:fldChar w:fldCharType="begin"/>
      </w:r>
      <w:r w:rsidR="00E007A4">
        <w:rPr>
          <w:rFonts w:ascii="Calibri" w:hAnsi="Calibri" w:cs="Calibri"/>
        </w:rPr>
        <w:instrText xml:space="preserve"> ADDIN ZOTERO_ITEM CSL_CITATION {"citationID":"cyegvX6g","properties":{"formattedCitation":"[1]","plainCitation":"[1]","noteIndex":0},"citationItems":[{"id":1225,"uris":["http://zotero.org/users/14525203/items/SKXE7VVN"],"itemData":{"id":1225,"type":"article-journal","abstract":"Parasites pose significant challenges not only to individual hosts but also to entire social groups. We investigated the effects of parasitism by the cestode Anomotaenia brevis on colonies of its intermediate host, the ant Temnothorax nylanderi. We evaluated changes in worker and queen survival rates and transcriptional activity in the fat body of infected and uninfected workers, as well as in the parasite itself, in relation to infected worker prevalence and colony size. Cestode-infected workers are known to exhibit a significantly extended lifespan compared to uninfected workers. Here, we demonstrate that the survival rates of infected workers, uninfected queens, and uninfected workers decrease with increasing infected worker prevalence and increase with colony size. Transcriptomic analysis revealed stress-related signatures in all workers, regardless of infection status, as infection prevalence increased. Moreover, gene expression patterns, particularly in uninfected workers, were strongly influenced by colony size. The transcriptional activity of the parasitic cestode also shifted with infected worker prevalence, highlighting the complex dynamics of host-parasite interactions. These results demonstrate that parasites in social species impose colony-wide impacts that extend beyond infected individuals, even in the absence of direct cross-nestmate infection risks. Moreover, the consequences of parasitism can be modulated by colony size.","container-title":"Evolution","DOI":"10.1093/evolut/qpaf118","ISSN":"1558-5646","journalAbbreviation":"Evolution","language":"eng","note":"PMID: 40448622","page":"qpaf118","source":"PubMed","title":"Parasite prevalence in a social host has colony-wide impacts on transcriptional activity and survival","author":[{"family":"Sistermans","given":"Tom"},{"family":"Darras","given":"Hugo"},{"family":"Rognet","given":"Victor"},{"family":"Beros","given":"Sara"},{"family":"Hartke","given":"Juliane"},{"family":"Stoldt","given":"Marah"},{"family":"Libbrecht","given":"Romain"},{"family":"Kokko","given":"Hanna"},{"family":"Foitzik","given":"Susanne"}],"issued":{"date-parts":[["2025",5,31]]}}}],"schema":"https://github.com/citation-style-language/schema/raw/master/csl-citation.json"} </w:instrText>
      </w:r>
      <w:r w:rsidRPr="00F56116">
        <w:rPr>
          <w:rFonts w:ascii="Calibri" w:hAnsi="Calibri" w:cs="Calibri"/>
        </w:rPr>
        <w:fldChar w:fldCharType="separate"/>
      </w:r>
      <w:r w:rsidR="00E007A4" w:rsidRPr="00E007A4">
        <w:rPr>
          <w:rFonts w:ascii="Calibri" w:hAnsi="Calibri" w:cs="Calibri"/>
        </w:rPr>
        <w:t>[1]</w:t>
      </w:r>
      <w:r w:rsidRPr="00F56116">
        <w:rPr>
          <w:rFonts w:ascii="Calibri" w:hAnsi="Calibri" w:cs="Calibri"/>
        </w:rPr>
        <w:fldChar w:fldCharType="end"/>
      </w:r>
      <w:r w:rsidRPr="00F56116">
        <w:rPr>
          <w:rFonts w:ascii="Calibri" w:hAnsi="Calibri" w:cs="Calibri"/>
        </w:rPr>
        <w:t xml:space="preserve">. In total they yielded 15 infected ants and their corresponding parasites which are specified in table S1. Both parasite and host samples were placed in individual Eppendorf tubes containing 50 </w:t>
      </w:r>
      <w:r w:rsidRPr="00F56116">
        <w:rPr>
          <w:rFonts w:cstheme="minorHAnsi"/>
        </w:rPr>
        <w:t xml:space="preserve">µL of </w:t>
      </w:r>
      <w:proofErr w:type="spellStart"/>
      <w:r w:rsidRPr="00F56116">
        <w:rPr>
          <w:rFonts w:cstheme="minorHAnsi"/>
        </w:rPr>
        <w:t>trizol</w:t>
      </w:r>
      <w:proofErr w:type="spellEnd"/>
      <w:r w:rsidRPr="00F56116">
        <w:rPr>
          <w:rFonts w:cstheme="minorHAnsi"/>
        </w:rPr>
        <w:t xml:space="preserve">. RNA of these samples was extracted using the Qiagen RNeasy extraction kit. These samples were then sent to Novogene for RNA sequencing (for details regarding this procedure please be referred to Sistermans et al. 2025). Raw reads of </w:t>
      </w:r>
      <w:r w:rsidRPr="00F56116">
        <w:rPr>
          <w:rFonts w:cstheme="minorHAnsi"/>
          <w:i/>
          <w:iCs/>
        </w:rPr>
        <w:t>Anomotaenia brevis</w:t>
      </w:r>
      <w:r w:rsidRPr="00F56116">
        <w:rPr>
          <w:rFonts w:cstheme="minorHAnsi"/>
        </w:rPr>
        <w:t xml:space="preserve"> were then mapped against their </w:t>
      </w:r>
      <w:r w:rsidRPr="00F56116">
        <w:rPr>
          <w:rFonts w:cstheme="minorHAnsi"/>
          <w:i/>
          <w:iCs/>
        </w:rPr>
        <w:t>A. brevis</w:t>
      </w:r>
      <w:r w:rsidRPr="00F56116">
        <w:t xml:space="preserve"> genome combined with a </w:t>
      </w:r>
      <w:r w:rsidRPr="00F56116">
        <w:rPr>
          <w:i/>
          <w:iCs/>
        </w:rPr>
        <w:t xml:space="preserve">T. </w:t>
      </w:r>
      <w:proofErr w:type="spellStart"/>
      <w:r w:rsidRPr="00F56116">
        <w:rPr>
          <w:i/>
          <w:iCs/>
        </w:rPr>
        <w:t>nylanderi</w:t>
      </w:r>
      <w:proofErr w:type="spellEnd"/>
      <w:r w:rsidRPr="00F56116">
        <w:t xml:space="preserve"> genome assembly </w:t>
      </w:r>
      <w:r w:rsidRPr="00F56116">
        <w:fldChar w:fldCharType="begin"/>
      </w:r>
      <w:r w:rsidR="00E007A4">
        <w:instrText xml:space="preserve"> ADDIN ZOTERO_ITEM CSL_CITATION {"citationID":"eQcDtPRK","properties":{"formattedCitation":"[2]","plainCitation":"[2]","noteIndex":0},"citationItems":[{"id":131,"uris":["http://zotero.org/users/14525203/items/JMRH42HR"],"itemData":{"id":131,"type":"article-journal","abstract":"The evolution of an obligate parasitic lifestyle often leads to the reduction of morphological and physiological traits, which may be accompanied by loss of genes and functions. Slave-making ants are social parasites that exploit the work force of closely related ant species for social behaviors such as brood care and foraging. Recent divergence between these social parasites and their hosts enables comparative studies of gene family evolution. We sequenced the genomes of eight ant species, representing three independent origins of ant slavery. During the evolution of eusociality, chemoreceptor genes multiplied due to the importance of chemical communication in insect societies. We investigated the evolutionary fate of these chemoreceptors and found that slave-making ant genomes harbored only half as many gustatory receptors as their hosts', potentially mirroring the outsourcing of foraging tasks to host workers. In addition, parasites had fewer odorant receptors and their loss shows striking patterns of convergence across independent origins of parasitism, in particular in orthologs often implicated in sociality like the 9-exon odorant receptors. These convergent losses represent a rare case of convergent molecular evolution at the level of individual genes. Thus, evolution can operate in a way that is both repeatable and reversible when independent ant lineages lose important social traits during the transition to a parasitic lifestyle.","container-title":"Molecular Biology and Evolution","DOI":"10.1093/molbev/msab305","ISSN":"15371719","issue":"1","note":"PMID: 34668533","title":"Convergent Loss of Chemoreceptors across Independent Origins of Slave-Making in Ants","volume":"39","author":[{"family":"Jongepier","given":"Evelien"},{"family":"Séguret","given":"Alice"},{"family":"Labutin","given":"Anton"},{"family":"Feldmeyer","given":"Barbara"},{"family":"Gstöttl","given":"Claudia"},{"family":"Foitzik","given":"Susanne"},{"family":"Heinze","given":"Jürgen"},{"family":"Bornberg-Bauer","given":"Erich"}],"issued":{"date-parts":[["2022"]]}}}],"schema":"https://github.com/citation-style-language/schema/raw/master/csl-citation.json"} </w:instrText>
      </w:r>
      <w:r w:rsidRPr="00F56116">
        <w:fldChar w:fldCharType="separate"/>
      </w:r>
      <w:r w:rsidR="00E007A4" w:rsidRPr="00E007A4">
        <w:rPr>
          <w:rFonts w:ascii="Calibri" w:hAnsi="Calibri" w:cs="Calibri"/>
        </w:rPr>
        <w:t>[2]</w:t>
      </w:r>
      <w:r w:rsidRPr="00F56116">
        <w:fldChar w:fldCharType="end"/>
      </w:r>
      <w:r w:rsidRPr="00F56116">
        <w:t xml:space="preserve"> using STAR </w:t>
      </w:r>
      <w:r w:rsidR="00AF4D72">
        <w:t xml:space="preserve">(version </w:t>
      </w:r>
      <w:r w:rsidR="00AF4D72" w:rsidRPr="00AF4D72">
        <w:t>2.7.10b</w:t>
      </w:r>
      <w:r w:rsidR="00AF4D72">
        <w:t xml:space="preserve">) </w:t>
      </w:r>
      <w:r w:rsidRPr="00F56116">
        <w:fldChar w:fldCharType="begin"/>
      </w:r>
      <w:r w:rsidR="00E007A4">
        <w:instrText xml:space="preserve"> ADDIN ZOTERO_ITEM CSL_CITATION {"citationID":"igtYskWF","properties":{"formattedCitation":"[3]","plainCitation":"[3]","noteIndex":0},"citationItems":[{"id":489,"uris":["http://zotero.org/users/14525203/items/N4SDGIYT"],"itemData":{"id":489,"type":"article-journal","DOI":"10.1093/bioinformatics/bts635","issue":"1","page":"15-21","title":"Sequence analysis","volume":"29","author":[{"family":"Dobin","given":"Alexander"},{"family":"Davis","given":"Carrie A"},{"family":"Schlesinger","given":"Felix"},{"family":"Drenkow","given":"Jorg"},{"family":"Zaleski","given":"Chris"},{"family":"Jha","given":"Sonali"},{"family":"Batut","given":"Philippe"},{"family":"Chaisson","given":"Mark"},{"family":"Gingeras","given":"Thomas R"}],"issued":{"date-parts":[["2013"]]}}}],"schema":"https://github.com/citation-style-language/schema/raw/master/csl-citation.json"} </w:instrText>
      </w:r>
      <w:r w:rsidRPr="00F56116">
        <w:fldChar w:fldCharType="separate"/>
      </w:r>
      <w:r w:rsidR="00E007A4" w:rsidRPr="00E007A4">
        <w:rPr>
          <w:rFonts w:ascii="Calibri" w:hAnsi="Calibri" w:cs="Calibri"/>
        </w:rPr>
        <w:t>[3]</w:t>
      </w:r>
      <w:r w:rsidRPr="00F56116">
        <w:fldChar w:fldCharType="end"/>
      </w:r>
      <w:r w:rsidRPr="00F56116">
        <w:t xml:space="preserve">. They then constructed a gene count matrix using </w:t>
      </w:r>
      <w:proofErr w:type="spellStart"/>
      <w:r w:rsidRPr="00F56116">
        <w:t>htseq</w:t>
      </w:r>
      <w:proofErr w:type="spellEnd"/>
      <w:r w:rsidRPr="00F56116">
        <w:t xml:space="preserve">-count </w:t>
      </w:r>
      <w:r w:rsidRPr="00F56116">
        <w:fldChar w:fldCharType="begin"/>
      </w:r>
      <w:r w:rsidR="00E007A4">
        <w:instrText xml:space="preserve"> ADDIN ZOTERO_ITEM CSL_CITATION {"citationID":"BJ3JQPTx","properties":{"formattedCitation":"[4]","plainCitation":"[4]","noteIndex":0},"citationItems":[{"id":487,"uris":["http://zotero.org/users/14525203/items/XCIAQ27T"],"itemData":{"id":487,"type":"article-journal","issue":"March","page":"2943-2945","title":"Gene expression Analysing high-throughput sequencing data in Python with HTSeq 2 . 0","volume":"38","author":[{"family":"Zanini","given":"Fabio"},{"family":"Anders","given":"Simon"},{"family":"Pyl","given":"Paul Theodor"},{"family":"Pimanda","given":"John E"}],"issued":{"date-parts":[["2022"]]}}}],"schema":"https://github.com/citation-style-language/schema/raw/master/csl-citation.json"} </w:instrText>
      </w:r>
      <w:r w:rsidRPr="00F56116">
        <w:fldChar w:fldCharType="separate"/>
      </w:r>
      <w:r w:rsidR="00E007A4" w:rsidRPr="00E007A4">
        <w:rPr>
          <w:rFonts w:ascii="Calibri" w:hAnsi="Calibri" w:cs="Calibri"/>
        </w:rPr>
        <w:t>[4]</w:t>
      </w:r>
      <w:r w:rsidRPr="00F56116">
        <w:fldChar w:fldCharType="end"/>
      </w:r>
      <w:r w:rsidRPr="00F56116">
        <w:t xml:space="preserve">, filtering out all reads that mapped multiple times (filtering out potential contaminant reads). For </w:t>
      </w:r>
      <w:r w:rsidRPr="00F56116">
        <w:rPr>
          <w:i/>
          <w:iCs/>
        </w:rPr>
        <w:t xml:space="preserve">T. nylanderi </w:t>
      </w:r>
      <w:r w:rsidRPr="00F56116">
        <w:t xml:space="preserve">they first filtered raw reads against the genomes of </w:t>
      </w:r>
      <w:r w:rsidRPr="00F56116">
        <w:rPr>
          <w:i/>
          <w:iCs/>
        </w:rPr>
        <w:t>A. brevis</w:t>
      </w:r>
      <w:r w:rsidRPr="00F56116">
        <w:t xml:space="preserve">, humans and </w:t>
      </w:r>
      <w:r w:rsidRPr="00F56116">
        <w:rPr>
          <w:i/>
          <w:iCs/>
        </w:rPr>
        <w:t>E. coli</w:t>
      </w:r>
      <w:r w:rsidRPr="00F56116">
        <w:t xml:space="preserve"> using </w:t>
      </w:r>
      <w:proofErr w:type="spellStart"/>
      <w:r w:rsidRPr="00F56116">
        <w:t>fastqscreen</w:t>
      </w:r>
      <w:proofErr w:type="spellEnd"/>
      <w:r w:rsidR="00A019DD">
        <w:t xml:space="preserve"> (version </w:t>
      </w:r>
      <w:r w:rsidR="00A019DD" w:rsidRPr="00A019DD">
        <w:t>0.14.0</w:t>
      </w:r>
      <w:r w:rsidR="00A019DD">
        <w:t>)</w:t>
      </w:r>
      <w:r w:rsidRPr="00F56116">
        <w:t xml:space="preserve"> </w:t>
      </w:r>
      <w:r w:rsidRPr="00F56116">
        <w:fldChar w:fldCharType="begin"/>
      </w:r>
      <w:r w:rsidR="00E007A4">
        <w:instrText xml:space="preserve"> ADDIN ZOTERO_ITEM CSL_CITATION {"citationID":"awkCpQvb","properties":{"formattedCitation":"[5]","plainCitation":"[5]","noteIndex":0},"citationItems":[{"id":65,"uris":["http://zotero.org/users/14525203/items/NWK6YIYU"],"itemData":{"id":65,"type":"article-journal","abstract":"DNA sequencing analysis typically involves mapping reads to just one reference genome. Mapping against multiple genomes is necessary, however, when the genome of origin requires confirmation. Mapping against multiple genomes is also advisable for detecting contamination or for identifying sample swaps which, if left undetected, may lead to incorrect experimental conclusions. Consequently, we present FastQ Screen, a tool to validate the origin of DNA samples by quantifying the proportion of reads that map to a panel of reference genomes. FastQ Screen is intended to be used routinely as a quality control measure and for analysing samples in which the origin of the DNA is uncertain or has multiple sources.","container-title":"F1000Research","DOI":"10.12688/f1000research.15931.1","ISSN":"1759796X","issue":"May","note":"PMID: 30254741","page":"1-13","title":"Fastq screen: A tool for multi-genome mapping and quality control [version 1; referees: 3 approved, 1 approved with reservations]","volume":"7","author":[{"family":"Wingett","given":"Steven W."},{"family":"Andrews","given":"Simon"}],"issued":{"date-parts":[["2018"]]}}}],"schema":"https://github.com/citation-style-language/schema/raw/master/csl-citation.json"} </w:instrText>
      </w:r>
      <w:r w:rsidRPr="00F56116">
        <w:fldChar w:fldCharType="separate"/>
      </w:r>
      <w:r w:rsidR="00E007A4" w:rsidRPr="00E007A4">
        <w:rPr>
          <w:rFonts w:ascii="Calibri" w:hAnsi="Calibri" w:cs="Calibri"/>
        </w:rPr>
        <w:t>[5]</w:t>
      </w:r>
      <w:r w:rsidRPr="00F56116">
        <w:fldChar w:fldCharType="end"/>
      </w:r>
      <w:r w:rsidRPr="00F56116">
        <w:t xml:space="preserve"> and then trimmed the reads using </w:t>
      </w:r>
      <w:proofErr w:type="spellStart"/>
      <w:r w:rsidRPr="00F56116">
        <w:t>fastp</w:t>
      </w:r>
      <w:proofErr w:type="spellEnd"/>
      <w:r w:rsidR="00A019DD">
        <w:t xml:space="preserve"> </w:t>
      </w:r>
      <w:r w:rsidRPr="00F56116">
        <w:t xml:space="preserve"> </w:t>
      </w:r>
      <w:r w:rsidRPr="00F56116">
        <w:fldChar w:fldCharType="begin"/>
      </w:r>
      <w:r w:rsidR="00E007A4">
        <w:instrText xml:space="preserve"> ADDIN ZOTERO_ITEM CSL_CITATION {"citationID":"YsLy0556","properties":{"formattedCitation":"[6]","plainCitation":"[6]","noteIndex":0},"citationItems":[{"id":111,"uris":["http://zotero.org/users/14525203/items/9LGITJLV"],"itemData":{"id":111,"type":"article-journal","abstract":"Motivation Quality control and preprocessing of FASTQ files are essential to providing clean data for downstream analysis. Traditionally, a different tool is used for each operation, such as quality control, adapter trimming and quality filtering. These tools are often insufficiently fast as most are developed using high-level programming languages (e.g. Python and Java) and provide limited multi-threading support. Reading and loading data multiple times also renders preprocessing slow and I/O inefficient. Results We developed fastp as an ultra-fast FASTQ preprocessor with useful quality control and data-filtering features. It can perform quality control, adapter trimming, quality filtering, per-read quality pruning and many other operations with a single scan of the FASTQ data. This tool is developed in C++ and has multi-threading support. Based on our evaluation, fastp is 2-5 times faster than other FASTQ preprocessing tools such as Trimmomatic or Cutadapt despite performing far more operations than similar tools. Availability and implementation The open-source code and corresponding instructions are available at https://github.com/OpenGene/fastp.","container-title":"Bioinformatics","DOI":"10.1093/bioinformatics/bty560","ISSN":"14602059","issue":"17","note":"PMID: 30423086","page":"i884-i890","title":"Fastp: An ultra-fast all-in-one FASTQ preprocessor","volume":"34","author":[{"family":"Chen","given":"Shifu"},{"family":"Zhou","given":"Yanqing"},{"family":"Chen","given":"Yaru"},{"family":"Gu","given":"Jia"}],"issued":{"date-parts":[["2018"]]}}}],"schema":"https://github.com/citation-style-language/schema/raw/master/csl-citation.json"} </w:instrText>
      </w:r>
      <w:r w:rsidRPr="00F56116">
        <w:fldChar w:fldCharType="separate"/>
      </w:r>
      <w:r w:rsidR="00E007A4" w:rsidRPr="00E007A4">
        <w:rPr>
          <w:rFonts w:ascii="Calibri" w:hAnsi="Calibri" w:cs="Calibri"/>
        </w:rPr>
        <w:t>[6]</w:t>
      </w:r>
      <w:r w:rsidRPr="00F56116">
        <w:fldChar w:fldCharType="end"/>
      </w:r>
      <w:r w:rsidRPr="00F56116">
        <w:t xml:space="preserve">. Reads were then mapped against the earlier-mentioned </w:t>
      </w:r>
      <w:r w:rsidRPr="00F56116">
        <w:rPr>
          <w:i/>
          <w:iCs/>
        </w:rPr>
        <w:t xml:space="preserve">T. </w:t>
      </w:r>
      <w:proofErr w:type="spellStart"/>
      <w:r w:rsidRPr="00F56116">
        <w:rPr>
          <w:i/>
          <w:iCs/>
        </w:rPr>
        <w:t>nylanderi</w:t>
      </w:r>
      <w:proofErr w:type="spellEnd"/>
      <w:r w:rsidRPr="00F56116">
        <w:t xml:space="preserve"> genome </w:t>
      </w:r>
      <w:r w:rsidRPr="00F56116">
        <w:fldChar w:fldCharType="begin"/>
      </w:r>
      <w:r w:rsidR="00E007A4">
        <w:instrText xml:space="preserve"> ADDIN ZOTERO_ITEM CSL_CITATION {"citationID":"6Waydpjt","properties":{"formattedCitation":"[2]","plainCitation":"[2]","noteIndex":0},"citationItems":[{"id":131,"uris":["http://zotero.org/users/14525203/items/JMRH42HR"],"itemData":{"id":131,"type":"article-journal","abstract":"The evolution of an obligate parasitic lifestyle often leads to the reduction of morphological and physiological traits, which may be accompanied by loss of genes and functions. Slave-making ants are social parasites that exploit the work force of closely related ant species for social behaviors such as brood care and foraging. Recent divergence between these social parasites and their hosts enables comparative studies of gene family evolution. We sequenced the genomes of eight ant species, representing three independent origins of ant slavery. During the evolution of eusociality, chemoreceptor genes multiplied due to the importance of chemical communication in insect societies. We investigated the evolutionary fate of these chemoreceptors and found that slave-making ant genomes harbored only half as many gustatory receptors as their hosts', potentially mirroring the outsourcing of foraging tasks to host workers. In addition, parasites had fewer odorant receptors and their loss shows striking patterns of convergence across independent origins of parasitism, in particular in orthologs often implicated in sociality like the 9-exon odorant receptors. These convergent losses represent a rare case of convergent molecular evolution at the level of individual genes. Thus, evolution can operate in a way that is both repeatable and reversible when independent ant lineages lose important social traits during the transition to a parasitic lifestyle.","container-title":"Molecular Biology and Evolution","DOI":"10.1093/molbev/msab305","ISSN":"15371719","issue":"1","note":"PMID: 34668533","title":"Convergent Loss of Chemoreceptors across Independent Origins of Slave-Making in Ants","volume":"39","author":[{"family":"Jongepier","given":"Evelien"},{"family":"Séguret","given":"Alice"},{"family":"Labutin","given":"Anton"},{"family":"Feldmeyer","given":"Barbara"},{"family":"Gstöttl","given":"Claudia"},{"family":"Foitzik","given":"Susanne"},{"family":"Heinze","given":"Jürgen"},{"family":"Bornberg-Bauer","given":"Erich"}],"issued":{"date-parts":[["2022"]]}}}],"schema":"https://github.com/citation-style-language/schema/raw/master/csl-citation.json"} </w:instrText>
      </w:r>
      <w:r w:rsidRPr="00F56116">
        <w:fldChar w:fldCharType="separate"/>
      </w:r>
      <w:r w:rsidR="00E007A4" w:rsidRPr="00E007A4">
        <w:rPr>
          <w:rFonts w:ascii="Calibri" w:hAnsi="Calibri" w:cs="Calibri"/>
        </w:rPr>
        <w:t>[2]</w:t>
      </w:r>
      <w:r w:rsidRPr="00F56116">
        <w:fldChar w:fldCharType="end"/>
      </w:r>
      <w:r w:rsidRPr="00F56116">
        <w:t xml:space="preserve"> using </w:t>
      </w:r>
      <w:proofErr w:type="spellStart"/>
      <w:r w:rsidRPr="00F56116">
        <w:t>hisat</w:t>
      </w:r>
      <w:proofErr w:type="spellEnd"/>
      <w:r w:rsidRPr="00F56116">
        <w:t xml:space="preserve"> </w:t>
      </w:r>
      <w:r w:rsidR="00A019DD">
        <w:t xml:space="preserve">(version </w:t>
      </w:r>
      <w:r w:rsidR="00A019DD" w:rsidRPr="00A019DD">
        <w:t>2.1.0</w:t>
      </w:r>
      <w:r w:rsidR="00A019DD">
        <w:t xml:space="preserve">) </w:t>
      </w:r>
      <w:r w:rsidRPr="00F56116">
        <w:fldChar w:fldCharType="begin"/>
      </w:r>
      <w:r w:rsidR="00E007A4">
        <w:instrText xml:space="preserve"> ADDIN ZOTERO_ITEM CSL_CITATION {"citationID":"M7eVcVnU","properties":{"formattedCitation":"[7]","plainCitation":"[7]","noteIndex":0},"citationItems":[{"id":125,"uris":["http://zotero.org/users/14525203/items/QACUT54Z"],"itemData":{"id":125,"type":"article-journal","abstract":"HISAT (hierarchical indexing for spliced alignment of transcripts) is a highly efficient system for aligning reads from RNA sequencing experiments. HISAT uses an indexing scheme based on the Burrows-Wheeler transform and the Ferragina-Manzini (FM) index, employing two types of indexes for alignment: a whole-genome FM index to anchor each alignment and numerous local FM indexes for very rapid extensions of these alignments. HISAT's hierarchical index for the human genome contains 48,000 local FM indexes, each representing a genomic region of 1/464,000 bp. Tests on real and simulated data sets showed that HISAT is the fastest system currently available, with equal or better accuracy than any other method. Despite its large number of indexes, HISAT requires only 4.3 gigabytes of memory. HISAT supports genomes of any size, including those larger than 4 billion bases.","container-title":"Nature Methods","DOI":"10.1038/nmeth.3317","ISSN":"15487105","issue":"4","note":"PMID: 25751142","page":"357-360","title":"HISAT: A fast spliced aligner with low memory requirements","volume":"12","author":[{"family":"Kim","given":"Daehwan"},{"family":"Langmead","given":"Ben"},{"family":"Salzberg","given":"Steven L."}],"issued":{"date-parts":[["2015"]]}}}],"schema":"https://github.com/citation-style-language/schema/raw/master/csl-citation.json"} </w:instrText>
      </w:r>
      <w:r w:rsidRPr="00F56116">
        <w:fldChar w:fldCharType="separate"/>
      </w:r>
      <w:r w:rsidR="00E007A4" w:rsidRPr="00E007A4">
        <w:rPr>
          <w:rFonts w:ascii="Calibri" w:hAnsi="Calibri" w:cs="Calibri"/>
        </w:rPr>
        <w:t>[7]</w:t>
      </w:r>
      <w:r w:rsidRPr="00F56116">
        <w:fldChar w:fldCharType="end"/>
      </w:r>
      <w:r w:rsidRPr="00F56116">
        <w:t xml:space="preserve"> and created a gene count matrix as well as a genome-guided transcriptome assembly using </w:t>
      </w:r>
      <w:proofErr w:type="spellStart"/>
      <w:r w:rsidRPr="00F56116">
        <w:t>stringtie</w:t>
      </w:r>
      <w:proofErr w:type="spellEnd"/>
      <w:r w:rsidR="00A019DD">
        <w:t xml:space="preserve"> (version </w:t>
      </w:r>
      <w:r w:rsidR="00A019DD" w:rsidRPr="00A019DD">
        <w:t>1.3.6</w:t>
      </w:r>
      <w:r w:rsidR="00A019DD">
        <w:t>)</w:t>
      </w:r>
      <w:r w:rsidRPr="00F56116">
        <w:t xml:space="preserve"> </w:t>
      </w:r>
      <w:r w:rsidRPr="00F56116">
        <w:fldChar w:fldCharType="begin"/>
      </w:r>
      <w:r w:rsidR="00E007A4">
        <w:instrText xml:space="preserve"> ADDIN ZOTERO_ITEM CSL_CITATION {"citationID":"DoTUZl4V","properties":{"formattedCitation":"[8]","plainCitation":"[8]","noteIndex":0},"citationItems":[{"id":36,"uris":["http://zotero.org/users/14525203/items/5MGEVU58"],"itemData":{"id":36,"type":"article-journal","abstract":"Methods used to sequence the transcriptome often produce more than 200 million short sequences. We introduce StringTie, a computational method that applies a network flow algorithm originally developed in optimization theory, together with optional de novo assembly, to assemble these complex data sets into transcripts. When used to analyze both simulated and real data sets, StringTie produces more complete and accurate reconstructions of genes and better estimates of expression levels, compared with other leading transcript assembly programs including Cufflinks, IsoLasso, Scripture and Traph. For example, on 90 million reads from human blood, StringTie correctly assembled 10,990 transcripts, whereas the next best assembly was of 7,187 transcripts by Cufflinks, which is a 53% increase in transcripts assembled. On a simulated data set, StringTie correctly assembled 7,559 transcripts, which is 20% more than the 6,310 assembled by Cufflinks. As well as producing a more complete transcriptome assembly, StringTie runs faster on all data sets tested to date compared with other assembly software, including Cufflinks.","container-title":"Nature Biotechnology","DOI":"10.1038/nbt.3122","ISSN":"15461696","issue":"3","note":"PMID: 25690850","page":"290-295","title":"StringTie enables improved reconstruction of a transcriptome from RNA-seq reads","volume":"33","author":[{"family":"Pertea","given":"Mihaela"},{"family":"Pertea","given":"Geo M."},{"family":"Antonescu","given":"Corina M."},{"family":"Chang","given":"Tsung Cheng"},{"family":"Mendell","given":"Joshua T."},{"family":"Salzberg","given":"Steven L."}],"issued":{"date-parts":[["2015"]]}}}],"schema":"https://github.com/citation-style-language/schema/raw/master/csl-citation.json"} </w:instrText>
      </w:r>
      <w:r w:rsidRPr="00F56116">
        <w:fldChar w:fldCharType="separate"/>
      </w:r>
      <w:r w:rsidR="00E007A4" w:rsidRPr="00E007A4">
        <w:rPr>
          <w:rFonts w:ascii="Calibri" w:hAnsi="Calibri" w:cs="Calibri"/>
        </w:rPr>
        <w:t>[8]</w:t>
      </w:r>
      <w:r w:rsidRPr="00F56116">
        <w:fldChar w:fldCharType="end"/>
      </w:r>
      <w:r w:rsidRPr="00F56116">
        <w:t>. BLAST annotation of both genomes was obtained using BLAST DIAMOND</w:t>
      </w:r>
      <w:r w:rsidR="00A019DD">
        <w:t xml:space="preserve"> </w:t>
      </w:r>
      <w:r w:rsidRPr="00F56116">
        <w:t xml:space="preserve"> </w:t>
      </w:r>
      <w:r w:rsidRPr="00F56116">
        <w:fldChar w:fldCharType="begin"/>
      </w:r>
      <w:r w:rsidR="00E007A4">
        <w:instrText xml:space="preserve"> ADDIN ZOTERO_ITEM CSL_CITATION {"citationID":"Akn552SZ","properties":{"formattedCitation":"[9]","plainCitation":"[9]","noteIndex":0},"citationItems":[{"id":79,"uris":["http://zotero.org/users/14525203/items/FELRZPNS"],"itemData":{"id":79,"type":"article-journal","abstract":"The alignment of sequencing reads against a protein reference database is a major computational bottleneck in metagenomics and data-intensive evolutionary projects. Although recent tools offer improved performance over the gold standard BLASTX, they exhibit only a modest speedup or low sensitivity. We introduce DIAMOND, an open-source algorithm based on double indexing that is 20,000 times faster than BLASTX on short reads and has a similar degree of sensitivity.","container-title":"Nature Methods","DOI":"10.1038/nmeth.3176","ISSN":"15487105","issue":"1","note":"PMID: 25402007","page":"59-63","title":"Fast and sensitive protein alignment using DIAMOND","volume":"12","author":[{"family":"Buchfink","given":"Benjamin"},{"family":"Xie","given":"Chao"},{"family":"Huson","given":"Daniel H."}],"issued":{"date-parts":[["2014"]]}}}],"schema":"https://github.com/citation-style-language/schema/raw/master/csl-citation.json"} </w:instrText>
      </w:r>
      <w:r w:rsidRPr="00F56116">
        <w:fldChar w:fldCharType="separate"/>
      </w:r>
      <w:r w:rsidR="00E007A4" w:rsidRPr="00E007A4">
        <w:rPr>
          <w:rFonts w:ascii="Calibri" w:hAnsi="Calibri" w:cs="Calibri"/>
        </w:rPr>
        <w:t>[9]</w:t>
      </w:r>
      <w:r w:rsidRPr="00F56116">
        <w:fldChar w:fldCharType="end"/>
      </w:r>
      <w:r w:rsidRPr="00F56116">
        <w:t xml:space="preserve"> and both GO and KEGG terms were obtained using </w:t>
      </w:r>
      <w:proofErr w:type="spellStart"/>
      <w:r w:rsidRPr="00F56116">
        <w:t>eggNOG</w:t>
      </w:r>
      <w:proofErr w:type="spellEnd"/>
      <w:r w:rsidRPr="00F56116">
        <w:t xml:space="preserve"> </w:t>
      </w:r>
      <w:r w:rsidRPr="00F56116">
        <w:fldChar w:fldCharType="begin"/>
      </w:r>
      <w:r w:rsidR="00E007A4">
        <w:instrText xml:space="preserve"> ADDIN ZOTERO_ITEM CSL_CITATION {"citationID":"DHJj9aWl","properties":{"formattedCitation":"[10]","plainCitation":"[10]","noteIndex":0},"citationItems":[{"id":75,"uris":["http://zotero.org/users/14525203/items/IUCINSYP"],"itemData":{"id":75,"type":"article-journal","abstract":"Even though automated functional annotation of genes represents a fundamental step in most genomic and metagenomic workflows, it remains challenging at large scales. Here, we describe a major upgrade to eggNOG-mapper, a tool for functional annotation based on precomputed orthology assignments, now optimized for vast (meta)genomic data sets. Improvements in version 2 include a full update of both the genomes and functional databases to those from eggNOG v5, as well as several efficiency enhancements and new features. Most notably, eggNOG-mapper v2 now allows for: 1) de novo gene prediction from raw contigs, 2) built-in pairwise orthology prediction, 3) fast protein domain discovery, and 4) automated GFF decoration. eggNOG-mapper v2 is available as a standalone tool or as an online service at http://eggnogmapper.embl.de.","container-title":"Molecular Biology and Evolution","DOI":"10.1093/molbev/msab293","ISSN":"15371719","issue":"12","note":"PMID: 34597405","page":"5825-5829","title":"eggNOG-mapper v2: Functional Annotation, Orthology Assignments, and Domain Prediction at the Metagenomic Scale","volume":"38","author":[{"family":"Cantalapiedra","given":"Carlos P."},{"family":"Hern̗andez-Plaza","given":"Ana"},{"family":"Letunic","given":"Ivica"},{"family":"Bork","given":"Peer"},{"family":"Huerta-Cepas","given":"Jaime"}],"issued":{"date-parts":[["2021"]]}}}],"schema":"https://github.com/citation-style-language/schema/raw/master/csl-citation.json"} </w:instrText>
      </w:r>
      <w:r w:rsidRPr="00F56116">
        <w:fldChar w:fldCharType="separate"/>
      </w:r>
      <w:r w:rsidR="00E007A4" w:rsidRPr="00E007A4">
        <w:rPr>
          <w:rFonts w:ascii="Calibri" w:hAnsi="Calibri" w:cs="Calibri"/>
        </w:rPr>
        <w:t>[10]</w:t>
      </w:r>
      <w:r w:rsidRPr="00F56116">
        <w:fldChar w:fldCharType="end"/>
      </w:r>
      <w:r w:rsidRPr="00F56116">
        <w:t xml:space="preserve">. Besides raw reads (found on SRA, </w:t>
      </w:r>
      <w:r w:rsidRPr="00F56116">
        <w:rPr>
          <w:rFonts w:ascii="Calibri" w:hAnsi="Calibri" w:cs="Calibri"/>
        </w:rPr>
        <w:t>PRJNA1246159)</w:t>
      </w:r>
      <w:r w:rsidRPr="00F56116">
        <w:t xml:space="preserve"> all these data can be found on Dryad (DOI: </w:t>
      </w:r>
      <w:r w:rsidRPr="00F56116">
        <w:rPr>
          <w:rFonts w:cstheme="minorHAnsi"/>
        </w:rPr>
        <w:t xml:space="preserve">10.5061/dryad.8cz8w9h3b). </w:t>
      </w:r>
    </w:p>
    <w:p w14:paraId="2604F5D1" w14:textId="7C853CBF" w:rsidR="00BD7696" w:rsidRPr="00F56116" w:rsidRDefault="00BD7696">
      <w:pPr>
        <w:spacing w:line="278" w:lineRule="auto"/>
        <w:rPr>
          <w:rFonts w:cstheme="minorHAnsi"/>
        </w:rPr>
      </w:pPr>
    </w:p>
    <w:p w14:paraId="4E19B7E0" w14:textId="77777777" w:rsidR="00E632E6" w:rsidRDefault="00E632E6" w:rsidP="00E632E6">
      <w:pPr>
        <w:spacing w:after="120" w:line="480" w:lineRule="auto"/>
        <w:jc w:val="both"/>
        <w:rPr>
          <w:b/>
          <w:bCs/>
          <w:lang w:val="en-US"/>
        </w:rPr>
      </w:pPr>
      <w:bookmarkStart w:id="0" w:name="_Hlk216942522"/>
      <w:r w:rsidRPr="00E632E6">
        <w:rPr>
          <w:b/>
          <w:bCs/>
          <w:lang w:val="en-US"/>
        </w:rPr>
        <w:t>Links to genes differentially expressed between infected and uninfected workers</w:t>
      </w:r>
    </w:p>
    <w:p w14:paraId="4B220C80" w14:textId="7F6E915C" w:rsidR="00B94CCF" w:rsidRPr="00F56116" w:rsidRDefault="004C3B1F" w:rsidP="00BD7696">
      <w:pPr>
        <w:spacing w:after="120" w:line="480" w:lineRule="auto"/>
        <w:jc w:val="both"/>
      </w:pPr>
      <w:r w:rsidRPr="00F56116">
        <w:t xml:space="preserve">We </w:t>
      </w:r>
      <w:r w:rsidR="00077E07" w:rsidRPr="00F56116">
        <w:t>tested whether differentially expressed genes (DEGs) between infected and u</w:t>
      </w:r>
      <w:r w:rsidR="00957529" w:rsidRPr="00F56116">
        <w:t>ninfected ants using DESeq2 (</w:t>
      </w:r>
      <w:r w:rsidR="00CD1A50">
        <w:t xml:space="preserve">version 1.50.2; </w:t>
      </w:r>
      <w:r w:rsidR="00957529" w:rsidRPr="00F56116">
        <w:t xml:space="preserve">Love et al. 2014). We ran a Likelihood Ratio Test (LRT), testing parasite infection on the 15 infected and 15 uninfected samples taking the colony identity as reduced factor. Note that, despite having more metadata, like cestode number, colony size, and colony infection rate, we only took the colony identity as reduced factor since cestode number is heavily nested in infection, </w:t>
      </w:r>
      <w:r w:rsidR="00957529" w:rsidRPr="00F56116">
        <w:lastRenderedPageBreak/>
        <w:t xml:space="preserve">and colony size and infection rate are completely nested in colony identity. We then assigned a module colour to each of the DEGs and tested whether they were significantly more present than ant genes in the WGCNA module than should be expected by chance using a fisher’s exact test, correcting for multiple testing using the Benjamini Hochberg method. </w:t>
      </w:r>
      <w:r w:rsidR="00B94CCF">
        <w:t>We further analysed whether DEGs were more likely to be hub genes through a Fisher’s exact test. We then tested whether DEGs correlated more with cestode genes or ant genes than should be expected by chance. We did this by calculating confidence intervals for the proportion of cestode genes in each module, due to the number of tests we would be doing, we Bonferroni-corrected our Z-scores by dividing the alpha by the number of tests. We then checked if the proportion of cestode genes each DEG correlates with is within the upper and lower bounds of the confidence interval, when it’s lower than the confidence interval, it means that the gene correlates significantly more with ant genes and when it’s higher, the gene correlates more with cestode genes. We then counted for each module how may genes correlate with every group.</w:t>
      </w:r>
      <w:r w:rsidR="00AF4D72">
        <w:t xml:space="preserve"> Finally, with the DEGs now grouped into modules and whether they are more strongly linked to parasite genes, host genes or non-significant based on module proportions we enriched KEGG terms for these groups of DEGs using the </w:t>
      </w:r>
      <w:proofErr w:type="spellStart"/>
      <w:r w:rsidR="00AF4D72">
        <w:t>clusterProfiler</w:t>
      </w:r>
      <w:proofErr w:type="spellEnd"/>
      <w:r w:rsidR="00AF4D72">
        <w:t xml:space="preserve"> R package (version 4.18.3) to untangle the possible functions of these genes. </w:t>
      </w:r>
    </w:p>
    <w:p w14:paraId="27A70C7C" w14:textId="572D82AB" w:rsidR="002A63B9" w:rsidRDefault="00E632E6" w:rsidP="00E632E6">
      <w:pPr>
        <w:spacing w:after="120" w:line="480" w:lineRule="auto"/>
        <w:ind w:firstLine="708"/>
        <w:jc w:val="both"/>
      </w:pPr>
      <w:bookmarkStart w:id="1" w:name="_Hlk216942145"/>
      <w:bookmarkEnd w:id="0"/>
      <w:r>
        <w:t>W</w:t>
      </w:r>
      <w:r w:rsidR="00957529" w:rsidRPr="00F56116">
        <w:t xml:space="preserve">e found a total of </w:t>
      </w:r>
      <w:r w:rsidR="001437DC" w:rsidRPr="00F56116">
        <w:t xml:space="preserve">683 DEGs for parasite infection, 368 of which were overexpressed in uninfected ants and 315 were overexpressed in infected ants. We then assigned to each gene their respective module and upon running Fisher’s exact test we found four modules with an adjusted P-value under 0.05, these being magenta, pink, </w:t>
      </w:r>
      <w:proofErr w:type="spellStart"/>
      <w:r w:rsidR="001437DC" w:rsidRPr="00F56116">
        <w:t>lightgreen</w:t>
      </w:r>
      <w:proofErr w:type="spellEnd"/>
      <w:r w:rsidR="001437DC" w:rsidRPr="00F56116">
        <w:t xml:space="preserve"> and turquoise. </w:t>
      </w:r>
      <w:r w:rsidR="00FC016C" w:rsidRPr="00F56116">
        <w:t>As we visually confirm (figure S</w:t>
      </w:r>
      <w:r w:rsidR="00567C0A">
        <w:t>4</w:t>
      </w:r>
      <w:r w:rsidR="00FC016C" w:rsidRPr="00F56116">
        <w:t xml:space="preserve">), DEGs had a significantly stronger presence in the turquoise and magenta modules whereas they were less strongly present in </w:t>
      </w:r>
      <w:proofErr w:type="spellStart"/>
      <w:r w:rsidR="00FC016C" w:rsidRPr="00F56116">
        <w:t>lightgreen</w:t>
      </w:r>
      <w:proofErr w:type="spellEnd"/>
      <w:r w:rsidR="00FC016C" w:rsidRPr="00F56116">
        <w:t xml:space="preserve"> and pink. </w:t>
      </w:r>
      <w:r w:rsidR="00EB4E51" w:rsidRPr="00F56116">
        <w:t>This would suggest that the turquoise and magenta modules are more strongly influenced by the presence of cestode genes in our WGCNA dataset. However, given that all modules are represented in the DEGs, we believe it to be probable that our methods do not have a strong bias towards any one module.</w:t>
      </w:r>
    </w:p>
    <w:p w14:paraId="5C258FFE" w14:textId="4B550C2B" w:rsidR="00B94CCF" w:rsidRDefault="00B94CCF" w:rsidP="00E632E6">
      <w:pPr>
        <w:spacing w:after="0" w:line="480" w:lineRule="auto"/>
        <w:ind w:firstLine="708"/>
        <w:jc w:val="both"/>
      </w:pPr>
      <w:bookmarkStart w:id="2" w:name="_Hlk216940951"/>
      <w:r>
        <w:lastRenderedPageBreak/>
        <w:t xml:space="preserve">When testing whether DEGs were more likely to be hub genes we employed Fisher’s exact test and found out that DEGs were not more likely to be hub genes (p-value=0.088). When we tested whether DEGs were more likely to correlate with </w:t>
      </w:r>
      <w:r w:rsidR="00002296">
        <w:t xml:space="preserve">cestode genes, we found strong evidence that this is the case (table S4), we found a total of 320 genes to be more strongly associated with cestode genes against a total of 52 genes that were more strongly associated with ant genes and 309 genes that did not deviate from the null-hypothesis. </w:t>
      </w:r>
    </w:p>
    <w:bookmarkEnd w:id="1"/>
    <w:bookmarkEnd w:id="2"/>
    <w:p w14:paraId="062C5F4F" w14:textId="1D82E6F3" w:rsidR="002A63B9" w:rsidRDefault="00E632E6" w:rsidP="00E632E6">
      <w:pPr>
        <w:spacing w:after="0" w:line="480" w:lineRule="auto"/>
        <w:ind w:firstLine="708"/>
        <w:jc w:val="both"/>
      </w:pPr>
      <w:r w:rsidRPr="00E632E6">
        <w:t xml:space="preserve">Finally, we performed KEGG enrichment on DEG clusters defined by module membership and by whether genes correlated more strongly with cestode genes, ant genes, or showed no significant bias, as described above. KEGG terms were enriched for five modules (Fig. S5). Two modules showed enrichment across multiple correlation groups: blue (ant-correlated and non-significant genes) and brown (all three groups). DEGs in the brown module that correlated strongly with parasite genes were enriched for several neurodegenerative and neurological disease pathways, including </w:t>
      </w:r>
      <w:r w:rsidRPr="00E632E6">
        <w:rPr>
          <w:i/>
          <w:iCs/>
        </w:rPr>
        <w:t>Prion disease</w:t>
      </w:r>
      <w:r w:rsidRPr="00E632E6">
        <w:t xml:space="preserve"> (ko05020), </w:t>
      </w:r>
      <w:r w:rsidRPr="00E632E6">
        <w:rPr>
          <w:i/>
          <w:iCs/>
        </w:rPr>
        <w:t>Parkinson disease</w:t>
      </w:r>
      <w:r w:rsidRPr="00E632E6">
        <w:t xml:space="preserve"> (ko05012), </w:t>
      </w:r>
      <w:r w:rsidRPr="00E632E6">
        <w:rPr>
          <w:i/>
          <w:iCs/>
        </w:rPr>
        <w:t>Alzheimer disease</w:t>
      </w:r>
      <w:r w:rsidRPr="00E632E6">
        <w:t xml:space="preserve"> (ko05010), and </w:t>
      </w:r>
      <w:r w:rsidRPr="00E632E6">
        <w:rPr>
          <w:i/>
          <w:iCs/>
        </w:rPr>
        <w:t>Huntington disease</w:t>
      </w:r>
      <w:r w:rsidRPr="00E632E6">
        <w:t xml:space="preserve"> (ko05016). Additional cestode-correlated clusters were enriched for metabolic pathways, such as biosynthesis of secondary metabolites in the dark orange module.</w:t>
      </w:r>
    </w:p>
    <w:p w14:paraId="3FEFD651" w14:textId="77777777" w:rsidR="00E632E6" w:rsidRPr="00F56116" w:rsidRDefault="00E632E6" w:rsidP="00E632E6">
      <w:pPr>
        <w:spacing w:after="0" w:line="480" w:lineRule="auto"/>
        <w:ind w:firstLine="708"/>
        <w:jc w:val="both"/>
      </w:pPr>
    </w:p>
    <w:p w14:paraId="682BA066" w14:textId="45F88662" w:rsidR="000313AA" w:rsidRPr="00E632E6" w:rsidRDefault="00E632E6" w:rsidP="00BD7696">
      <w:pPr>
        <w:spacing w:after="120" w:line="480" w:lineRule="auto"/>
        <w:jc w:val="both"/>
        <w:rPr>
          <w:b/>
          <w:bCs/>
        </w:rPr>
      </w:pPr>
      <w:r>
        <w:rPr>
          <w:b/>
          <w:bCs/>
        </w:rPr>
        <w:t>Link of parasite load and parasite prevalence to module eigenvalues</w:t>
      </w:r>
    </w:p>
    <w:p w14:paraId="7DDB7EF6" w14:textId="77777777" w:rsidR="00E632E6" w:rsidRDefault="00E632E6" w:rsidP="00E632E6">
      <w:pPr>
        <w:spacing w:after="120" w:line="480" w:lineRule="auto"/>
        <w:jc w:val="both"/>
      </w:pPr>
      <w:r w:rsidRPr="00E632E6">
        <w:t>Because our dataset includes variation in parasite prevalence and controlled differences in parasite load, both of which are important drivers of gene expression in this system, we tested whether either factor influenced module-level expression. For each module, we extracted eigengene values per sample and correlated them with parasite load and parasite prevalence using Pearson correlation tests.</w:t>
      </w:r>
    </w:p>
    <w:p w14:paraId="625FFE54" w14:textId="6E1EF983" w:rsidR="00E007A4" w:rsidRDefault="00E632E6" w:rsidP="00E632E6">
      <w:pPr>
        <w:spacing w:after="120" w:line="480" w:lineRule="auto"/>
        <w:ind w:firstLine="708"/>
        <w:jc w:val="both"/>
      </w:pPr>
      <w:r>
        <w:t>W</w:t>
      </w:r>
      <w:r w:rsidRPr="00E632E6">
        <w:t>e detected no significant correlations between module eigengenes and parasite load or parasite prevalence (Fig. S3). This was expected for parasite load, as it was controlled for in the original dataset. For parasite prevalence, any effects may be restricted to the differentially expressed genes identified previously, which may be insufficient to influence these much larger modules.</w:t>
      </w:r>
    </w:p>
    <w:p w14:paraId="5F6466CD" w14:textId="77777777" w:rsidR="00E007A4" w:rsidRPr="00567C0A" w:rsidRDefault="00E007A4" w:rsidP="00E007A4">
      <w:pPr>
        <w:pStyle w:val="Bibliografie"/>
        <w:rPr>
          <w:b/>
          <w:bCs/>
        </w:rPr>
      </w:pPr>
      <w:r w:rsidRPr="00567C0A">
        <w:rPr>
          <w:b/>
          <w:bCs/>
        </w:rPr>
        <w:lastRenderedPageBreak/>
        <w:t>References in supplement</w:t>
      </w:r>
    </w:p>
    <w:p w14:paraId="6BD11821" w14:textId="3910987B" w:rsidR="00E007A4" w:rsidRPr="00E007A4" w:rsidRDefault="00E007A4" w:rsidP="00E007A4">
      <w:pPr>
        <w:pStyle w:val="Bibliografie"/>
        <w:rPr>
          <w:rFonts w:ascii="Calibri" w:hAnsi="Calibri" w:cs="Calibri"/>
        </w:rPr>
      </w:pPr>
      <w:r>
        <w:fldChar w:fldCharType="begin"/>
      </w:r>
      <w:r w:rsidRPr="00567C0A">
        <w:instrText xml:space="preserve"> ADDIN ZOTERO_BIBL {"uncited":[],"omitted":[],"custom":[]} CSL_BIBLIOGRAPHY </w:instrText>
      </w:r>
      <w:r>
        <w:fldChar w:fldCharType="separate"/>
      </w:r>
      <w:r w:rsidRPr="00567C0A">
        <w:rPr>
          <w:rFonts w:ascii="Calibri" w:hAnsi="Calibri" w:cs="Calibri"/>
        </w:rPr>
        <w:t xml:space="preserve">1. Sistermans T, Darras H, </w:t>
      </w:r>
      <w:proofErr w:type="spellStart"/>
      <w:r w:rsidRPr="00567C0A">
        <w:rPr>
          <w:rFonts w:ascii="Calibri" w:hAnsi="Calibri" w:cs="Calibri"/>
        </w:rPr>
        <w:t>Rognet</w:t>
      </w:r>
      <w:proofErr w:type="spellEnd"/>
      <w:r w:rsidRPr="00567C0A">
        <w:rPr>
          <w:rFonts w:ascii="Calibri" w:hAnsi="Calibri" w:cs="Calibri"/>
        </w:rPr>
        <w:t xml:space="preserve"> V, Beros S, Hartke J, Stoldt M, et al. </w:t>
      </w:r>
      <w:r w:rsidRPr="00E007A4">
        <w:rPr>
          <w:rFonts w:ascii="Calibri" w:hAnsi="Calibri" w:cs="Calibri"/>
        </w:rPr>
        <w:t>Parasite prevalence in a social host has colony-wide impacts on transcriptional activity and survival. Evolution. 2025;:qpaf118. 10.1093/evolut/qpaf118.</w:t>
      </w:r>
    </w:p>
    <w:p w14:paraId="4F979D4D" w14:textId="4E45987F" w:rsidR="00E007A4" w:rsidRPr="00E007A4" w:rsidRDefault="00E007A4" w:rsidP="00E007A4">
      <w:pPr>
        <w:pStyle w:val="Bibliografie"/>
        <w:rPr>
          <w:rFonts w:ascii="Calibri" w:hAnsi="Calibri" w:cs="Calibri"/>
        </w:rPr>
      </w:pPr>
      <w:r w:rsidRPr="00E007A4">
        <w:rPr>
          <w:rFonts w:ascii="Calibri" w:hAnsi="Calibri" w:cs="Calibri"/>
        </w:rPr>
        <w:t>2. Jongepier E, Séguret A, Labutin A, Feldmeyer B, Gstöttl C, Foitzik S, et al. Convergent Loss of Chemoreceptors across Independent Origins of Slave-Making in Ants. Molecular Biology and Evolution. 2022;39. 10.1093/molbev/msab305.</w:t>
      </w:r>
    </w:p>
    <w:p w14:paraId="067A81CC" w14:textId="2B3F2441" w:rsidR="00E007A4" w:rsidRPr="00E007A4" w:rsidRDefault="00E007A4" w:rsidP="00E007A4">
      <w:pPr>
        <w:pStyle w:val="Bibliografie"/>
        <w:rPr>
          <w:rFonts w:ascii="Calibri" w:hAnsi="Calibri" w:cs="Calibri"/>
        </w:rPr>
      </w:pPr>
      <w:r w:rsidRPr="00E007A4">
        <w:rPr>
          <w:rFonts w:ascii="Calibri" w:hAnsi="Calibri" w:cs="Calibri"/>
        </w:rPr>
        <w:t>3. Dobin A, Davis CA, Schlesinger F, Drenkow J, Zaleski C, Jha S, et al. STAR: ultrafast universal RNA-seq aligner</w:t>
      </w:r>
      <w:r>
        <w:rPr>
          <w:rFonts w:ascii="Calibri" w:hAnsi="Calibri" w:cs="Calibri"/>
        </w:rPr>
        <w:t>. Bioinformatic</w:t>
      </w:r>
      <w:r w:rsidRPr="00E007A4">
        <w:rPr>
          <w:rFonts w:ascii="Calibri" w:hAnsi="Calibri" w:cs="Calibri"/>
        </w:rPr>
        <w:t>s. 2013;29:15–21. 10.1093/bioinformatics/bts635.</w:t>
      </w:r>
    </w:p>
    <w:p w14:paraId="24D21506" w14:textId="3E49BF23" w:rsidR="00E007A4" w:rsidRPr="00E007A4" w:rsidRDefault="00E007A4" w:rsidP="00E007A4">
      <w:pPr>
        <w:pStyle w:val="Bibliografie"/>
        <w:rPr>
          <w:rFonts w:ascii="Calibri" w:hAnsi="Calibri" w:cs="Calibri"/>
        </w:rPr>
      </w:pPr>
      <w:r w:rsidRPr="00E007A4">
        <w:rPr>
          <w:rFonts w:ascii="Calibri" w:hAnsi="Calibri" w:cs="Calibri"/>
        </w:rPr>
        <w:t>4. Zanini F, Anders S, Pyl PT, Pimanda JE. Gene expression Analysing high-throughput sequencing data in Python with HTSeq 2.0. 2022;38 March:2943–5.</w:t>
      </w:r>
    </w:p>
    <w:p w14:paraId="2A7D5D93" w14:textId="19AAC1EA" w:rsidR="00E007A4" w:rsidRPr="00E007A4" w:rsidRDefault="00E007A4" w:rsidP="00E007A4">
      <w:pPr>
        <w:pStyle w:val="Bibliografie"/>
        <w:rPr>
          <w:rFonts w:ascii="Calibri" w:hAnsi="Calibri" w:cs="Calibri"/>
        </w:rPr>
      </w:pPr>
      <w:r w:rsidRPr="00E007A4">
        <w:rPr>
          <w:rFonts w:ascii="Calibri" w:hAnsi="Calibri" w:cs="Calibri"/>
        </w:rPr>
        <w:t>5. Wingett SW, Andrews S. Fastq screen: A tool for multi-genome mapping and quality control. F1000Research. 2018;7 May:1–13. 10.12688/f1000research.15931.1.</w:t>
      </w:r>
    </w:p>
    <w:p w14:paraId="267B9470" w14:textId="5BF477BF" w:rsidR="00E007A4" w:rsidRPr="00E007A4" w:rsidRDefault="00E007A4" w:rsidP="00E007A4">
      <w:pPr>
        <w:pStyle w:val="Bibliografie"/>
        <w:rPr>
          <w:rFonts w:ascii="Calibri" w:hAnsi="Calibri" w:cs="Calibri"/>
        </w:rPr>
      </w:pPr>
      <w:r w:rsidRPr="00E007A4">
        <w:rPr>
          <w:rFonts w:ascii="Calibri" w:hAnsi="Calibri" w:cs="Calibri"/>
        </w:rPr>
        <w:t>6. Chen S, Zhou Y, Chen Y, Gu J. Fastp: An ultra-fast all-in-one FASTQ preprocessor. Bioinformatics. 2018;34:i884–90. 10.1093/bioinformatics/bty560.</w:t>
      </w:r>
    </w:p>
    <w:p w14:paraId="6DFA63D4" w14:textId="016AF185" w:rsidR="00E007A4" w:rsidRPr="00E007A4" w:rsidRDefault="00E007A4" w:rsidP="00E007A4">
      <w:pPr>
        <w:pStyle w:val="Bibliografie"/>
        <w:rPr>
          <w:rFonts w:ascii="Calibri" w:hAnsi="Calibri" w:cs="Calibri"/>
        </w:rPr>
      </w:pPr>
      <w:r w:rsidRPr="00E007A4">
        <w:rPr>
          <w:rFonts w:ascii="Calibri" w:hAnsi="Calibri" w:cs="Calibri"/>
        </w:rPr>
        <w:t>7. Kim D, Langmead B, Salzberg SL. HISAT: A fast spliced aligner with low memory requirements. Nature Methods. 2015;12:357–60. 10.1038/nmeth.3317.</w:t>
      </w:r>
    </w:p>
    <w:p w14:paraId="39D49F5F" w14:textId="1DFD2324" w:rsidR="00E007A4" w:rsidRPr="00E007A4" w:rsidRDefault="00E007A4" w:rsidP="00E007A4">
      <w:pPr>
        <w:pStyle w:val="Bibliografie"/>
        <w:rPr>
          <w:rFonts w:ascii="Calibri" w:hAnsi="Calibri" w:cs="Calibri"/>
        </w:rPr>
      </w:pPr>
      <w:r w:rsidRPr="00E007A4">
        <w:rPr>
          <w:rFonts w:ascii="Calibri" w:hAnsi="Calibri" w:cs="Calibri"/>
        </w:rPr>
        <w:t>8. Pertea M, Pertea GM, Antonescu CM, Chang TC, Mendell JT, Salzberg SL. StringTie enables improved reconstruction of a transcriptome from RNA-seq reads. Nature Biotechnology. 2015;33:290–5. 10.1038/nbt.3122.</w:t>
      </w:r>
    </w:p>
    <w:p w14:paraId="2CF2D3F5" w14:textId="00DD593E" w:rsidR="00E007A4" w:rsidRPr="00E007A4" w:rsidRDefault="00E007A4" w:rsidP="00E007A4">
      <w:pPr>
        <w:pStyle w:val="Bibliografie"/>
        <w:rPr>
          <w:rFonts w:ascii="Calibri" w:hAnsi="Calibri" w:cs="Calibri"/>
        </w:rPr>
      </w:pPr>
      <w:r w:rsidRPr="00E007A4">
        <w:rPr>
          <w:rFonts w:ascii="Calibri" w:hAnsi="Calibri" w:cs="Calibri"/>
        </w:rPr>
        <w:t>9. Buchfink B, Xie C, Huson DH. Fast and sensitive protein alignment using DIAMOND. Nature Methods. 2014;12:59–63. 10.1038/nmeth.3176.</w:t>
      </w:r>
    </w:p>
    <w:p w14:paraId="7ABA2CAD" w14:textId="3CD5A438" w:rsidR="00E007A4" w:rsidRPr="00E007A4" w:rsidRDefault="00E007A4" w:rsidP="00E007A4">
      <w:pPr>
        <w:pStyle w:val="Bibliografie"/>
        <w:rPr>
          <w:rFonts w:ascii="Calibri" w:hAnsi="Calibri" w:cs="Calibri"/>
        </w:rPr>
      </w:pPr>
      <w:r w:rsidRPr="00E007A4">
        <w:rPr>
          <w:rFonts w:ascii="Calibri" w:hAnsi="Calibri" w:cs="Calibri"/>
        </w:rPr>
        <w:t>10. Cantalapiedra CP, Hern̗andez-Plaza A, Letunic I, Bork P, Huerta-Cepas J. eggNOG-mapper v2: Functional Annotation, Orthology Assignments, and Domain Prediction at the Metagenomic Scale. Molecular Biology and Evolution. 2021;38:5825–9. 10.1093/molbev/msab293.</w:t>
      </w:r>
    </w:p>
    <w:p w14:paraId="7A857D25" w14:textId="73114479" w:rsidR="00F56116" w:rsidRPr="00E632E6" w:rsidRDefault="00E007A4" w:rsidP="00E007A4">
      <w:pPr>
        <w:spacing w:line="278" w:lineRule="auto"/>
      </w:pPr>
      <w:r>
        <w:fldChar w:fldCharType="end"/>
      </w:r>
    </w:p>
    <w:sectPr w:rsidR="00F56116" w:rsidRPr="00E632E6" w:rsidSect="00E632E6">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AA"/>
    <w:rsid w:val="00002296"/>
    <w:rsid w:val="00004762"/>
    <w:rsid w:val="000313AA"/>
    <w:rsid w:val="00077E07"/>
    <w:rsid w:val="000E6F9C"/>
    <w:rsid w:val="0014068D"/>
    <w:rsid w:val="001437DC"/>
    <w:rsid w:val="00170784"/>
    <w:rsid w:val="00251BCA"/>
    <w:rsid w:val="00290FCB"/>
    <w:rsid w:val="002A63B9"/>
    <w:rsid w:val="00322A7D"/>
    <w:rsid w:val="004C3B1F"/>
    <w:rsid w:val="00554FC4"/>
    <w:rsid w:val="00567C0A"/>
    <w:rsid w:val="00574B8F"/>
    <w:rsid w:val="005D1381"/>
    <w:rsid w:val="005E2D8B"/>
    <w:rsid w:val="005F7BEF"/>
    <w:rsid w:val="006573A0"/>
    <w:rsid w:val="006D3B8D"/>
    <w:rsid w:val="008426E4"/>
    <w:rsid w:val="00891D5E"/>
    <w:rsid w:val="008B573F"/>
    <w:rsid w:val="008F3D74"/>
    <w:rsid w:val="008F5AC6"/>
    <w:rsid w:val="00957529"/>
    <w:rsid w:val="00A019DD"/>
    <w:rsid w:val="00AD3F03"/>
    <w:rsid w:val="00AE3901"/>
    <w:rsid w:val="00AF4D72"/>
    <w:rsid w:val="00B94CCF"/>
    <w:rsid w:val="00BB442B"/>
    <w:rsid w:val="00BD7696"/>
    <w:rsid w:val="00CD1301"/>
    <w:rsid w:val="00CD1A50"/>
    <w:rsid w:val="00E007A4"/>
    <w:rsid w:val="00E632E6"/>
    <w:rsid w:val="00EB4E51"/>
    <w:rsid w:val="00F461F0"/>
    <w:rsid w:val="00F56116"/>
    <w:rsid w:val="00FC01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63F6A"/>
  <w15:chartTrackingRefBased/>
  <w15:docId w15:val="{354BA9A3-9CFF-44FF-AE0B-C20A6863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13AA"/>
    <w:pPr>
      <w:spacing w:line="259" w:lineRule="auto"/>
    </w:pPr>
    <w:rPr>
      <w:kern w:val="0"/>
      <w:sz w:val="22"/>
      <w:szCs w:val="22"/>
      <w:lang w:val="en-GB"/>
      <w14:ligatures w14:val="none"/>
    </w:rPr>
  </w:style>
  <w:style w:type="paragraph" w:styleId="Kop1">
    <w:name w:val="heading 1"/>
    <w:basedOn w:val="Standaard"/>
    <w:next w:val="Standaard"/>
    <w:link w:val="Kop1Char"/>
    <w:uiPriority w:val="9"/>
    <w:qFormat/>
    <w:rsid w:val="000313A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nl-NL"/>
      <w14:ligatures w14:val="standardContextual"/>
    </w:rPr>
  </w:style>
  <w:style w:type="paragraph" w:styleId="Kop2">
    <w:name w:val="heading 2"/>
    <w:basedOn w:val="Standaard"/>
    <w:next w:val="Standaard"/>
    <w:link w:val="Kop2Char"/>
    <w:uiPriority w:val="9"/>
    <w:semiHidden/>
    <w:unhideWhenUsed/>
    <w:qFormat/>
    <w:rsid w:val="000313A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nl-NL"/>
      <w14:ligatures w14:val="standardContextual"/>
    </w:rPr>
  </w:style>
  <w:style w:type="paragraph" w:styleId="Kop3">
    <w:name w:val="heading 3"/>
    <w:basedOn w:val="Standaard"/>
    <w:next w:val="Standaard"/>
    <w:link w:val="Kop3Char"/>
    <w:uiPriority w:val="9"/>
    <w:semiHidden/>
    <w:unhideWhenUsed/>
    <w:qFormat/>
    <w:rsid w:val="000313AA"/>
    <w:pPr>
      <w:keepNext/>
      <w:keepLines/>
      <w:spacing w:before="160" w:after="80" w:line="278" w:lineRule="auto"/>
      <w:outlineLvl w:val="2"/>
    </w:pPr>
    <w:rPr>
      <w:rFonts w:eastAsiaTheme="majorEastAsia" w:cstheme="majorBidi"/>
      <w:color w:val="2F5496" w:themeColor="accent1" w:themeShade="BF"/>
      <w:kern w:val="2"/>
      <w:sz w:val="28"/>
      <w:szCs w:val="28"/>
      <w:lang w:val="nl-NL"/>
      <w14:ligatures w14:val="standardContextual"/>
    </w:rPr>
  </w:style>
  <w:style w:type="paragraph" w:styleId="Kop4">
    <w:name w:val="heading 4"/>
    <w:basedOn w:val="Standaard"/>
    <w:next w:val="Standaard"/>
    <w:link w:val="Kop4Char"/>
    <w:uiPriority w:val="9"/>
    <w:semiHidden/>
    <w:unhideWhenUsed/>
    <w:qFormat/>
    <w:rsid w:val="000313AA"/>
    <w:pPr>
      <w:keepNext/>
      <w:keepLines/>
      <w:spacing w:before="80" w:after="40" w:line="278" w:lineRule="auto"/>
      <w:outlineLvl w:val="3"/>
    </w:pPr>
    <w:rPr>
      <w:rFonts w:eastAsiaTheme="majorEastAsia" w:cstheme="majorBidi"/>
      <w:i/>
      <w:iCs/>
      <w:color w:val="2F5496" w:themeColor="accent1" w:themeShade="BF"/>
      <w:kern w:val="2"/>
      <w:sz w:val="24"/>
      <w:szCs w:val="24"/>
      <w:lang w:val="nl-NL"/>
      <w14:ligatures w14:val="standardContextual"/>
    </w:rPr>
  </w:style>
  <w:style w:type="paragraph" w:styleId="Kop5">
    <w:name w:val="heading 5"/>
    <w:basedOn w:val="Standaard"/>
    <w:next w:val="Standaard"/>
    <w:link w:val="Kop5Char"/>
    <w:uiPriority w:val="9"/>
    <w:semiHidden/>
    <w:unhideWhenUsed/>
    <w:qFormat/>
    <w:rsid w:val="000313AA"/>
    <w:pPr>
      <w:keepNext/>
      <w:keepLines/>
      <w:spacing w:before="80" w:after="40" w:line="278" w:lineRule="auto"/>
      <w:outlineLvl w:val="4"/>
    </w:pPr>
    <w:rPr>
      <w:rFonts w:eastAsiaTheme="majorEastAsia" w:cstheme="majorBidi"/>
      <w:color w:val="2F5496" w:themeColor="accent1" w:themeShade="BF"/>
      <w:kern w:val="2"/>
      <w:sz w:val="24"/>
      <w:szCs w:val="24"/>
      <w:lang w:val="nl-NL"/>
      <w14:ligatures w14:val="standardContextual"/>
    </w:rPr>
  </w:style>
  <w:style w:type="paragraph" w:styleId="Kop6">
    <w:name w:val="heading 6"/>
    <w:basedOn w:val="Standaard"/>
    <w:next w:val="Standaard"/>
    <w:link w:val="Kop6Char"/>
    <w:uiPriority w:val="9"/>
    <w:semiHidden/>
    <w:unhideWhenUsed/>
    <w:qFormat/>
    <w:rsid w:val="000313AA"/>
    <w:pPr>
      <w:keepNext/>
      <w:keepLines/>
      <w:spacing w:before="40" w:after="0" w:line="278" w:lineRule="auto"/>
      <w:outlineLvl w:val="5"/>
    </w:pPr>
    <w:rPr>
      <w:rFonts w:eastAsiaTheme="majorEastAsia" w:cstheme="majorBidi"/>
      <w:i/>
      <w:iCs/>
      <w:color w:val="595959" w:themeColor="text1" w:themeTint="A6"/>
      <w:kern w:val="2"/>
      <w:sz w:val="24"/>
      <w:szCs w:val="24"/>
      <w:lang w:val="nl-NL"/>
      <w14:ligatures w14:val="standardContextual"/>
    </w:rPr>
  </w:style>
  <w:style w:type="paragraph" w:styleId="Kop7">
    <w:name w:val="heading 7"/>
    <w:basedOn w:val="Standaard"/>
    <w:next w:val="Standaard"/>
    <w:link w:val="Kop7Char"/>
    <w:uiPriority w:val="9"/>
    <w:semiHidden/>
    <w:unhideWhenUsed/>
    <w:qFormat/>
    <w:rsid w:val="000313AA"/>
    <w:pPr>
      <w:keepNext/>
      <w:keepLines/>
      <w:spacing w:before="40" w:after="0" w:line="278" w:lineRule="auto"/>
      <w:outlineLvl w:val="6"/>
    </w:pPr>
    <w:rPr>
      <w:rFonts w:eastAsiaTheme="majorEastAsia" w:cstheme="majorBidi"/>
      <w:color w:val="595959" w:themeColor="text1" w:themeTint="A6"/>
      <w:kern w:val="2"/>
      <w:sz w:val="24"/>
      <w:szCs w:val="24"/>
      <w:lang w:val="nl-NL"/>
      <w14:ligatures w14:val="standardContextual"/>
    </w:rPr>
  </w:style>
  <w:style w:type="paragraph" w:styleId="Kop8">
    <w:name w:val="heading 8"/>
    <w:basedOn w:val="Standaard"/>
    <w:next w:val="Standaard"/>
    <w:link w:val="Kop8Char"/>
    <w:uiPriority w:val="9"/>
    <w:semiHidden/>
    <w:unhideWhenUsed/>
    <w:qFormat/>
    <w:rsid w:val="000313AA"/>
    <w:pPr>
      <w:keepNext/>
      <w:keepLines/>
      <w:spacing w:after="0" w:line="278" w:lineRule="auto"/>
      <w:outlineLvl w:val="7"/>
    </w:pPr>
    <w:rPr>
      <w:rFonts w:eastAsiaTheme="majorEastAsia" w:cstheme="majorBidi"/>
      <w:i/>
      <w:iCs/>
      <w:color w:val="272727" w:themeColor="text1" w:themeTint="D8"/>
      <w:kern w:val="2"/>
      <w:sz w:val="24"/>
      <w:szCs w:val="24"/>
      <w:lang w:val="nl-NL"/>
      <w14:ligatures w14:val="standardContextual"/>
    </w:rPr>
  </w:style>
  <w:style w:type="paragraph" w:styleId="Kop9">
    <w:name w:val="heading 9"/>
    <w:basedOn w:val="Standaard"/>
    <w:next w:val="Standaard"/>
    <w:link w:val="Kop9Char"/>
    <w:uiPriority w:val="9"/>
    <w:semiHidden/>
    <w:unhideWhenUsed/>
    <w:qFormat/>
    <w:rsid w:val="000313AA"/>
    <w:pPr>
      <w:keepNext/>
      <w:keepLines/>
      <w:spacing w:after="0" w:line="278" w:lineRule="auto"/>
      <w:outlineLvl w:val="8"/>
    </w:pPr>
    <w:rPr>
      <w:rFonts w:eastAsiaTheme="majorEastAsia" w:cstheme="majorBidi"/>
      <w:color w:val="272727" w:themeColor="text1" w:themeTint="D8"/>
      <w:kern w:val="2"/>
      <w:sz w:val="24"/>
      <w:szCs w:val="24"/>
      <w:lang w:val="nl-N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13A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313A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313A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313A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313A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313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13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13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13AA"/>
    <w:rPr>
      <w:rFonts w:eastAsiaTheme="majorEastAsia" w:cstheme="majorBidi"/>
      <w:color w:val="272727" w:themeColor="text1" w:themeTint="D8"/>
    </w:rPr>
  </w:style>
  <w:style w:type="paragraph" w:styleId="Titel">
    <w:name w:val="Title"/>
    <w:basedOn w:val="Standaard"/>
    <w:next w:val="Standaard"/>
    <w:link w:val="TitelChar"/>
    <w:uiPriority w:val="10"/>
    <w:qFormat/>
    <w:rsid w:val="000313AA"/>
    <w:pPr>
      <w:spacing w:after="80" w:line="240" w:lineRule="auto"/>
      <w:contextualSpacing/>
    </w:pPr>
    <w:rPr>
      <w:rFonts w:asciiTheme="majorHAnsi" w:eastAsiaTheme="majorEastAsia" w:hAnsiTheme="majorHAnsi" w:cstheme="majorBidi"/>
      <w:spacing w:val="-10"/>
      <w:kern w:val="28"/>
      <w:sz w:val="56"/>
      <w:szCs w:val="56"/>
      <w:lang w:val="nl-NL"/>
      <w14:ligatures w14:val="standardContextual"/>
    </w:rPr>
  </w:style>
  <w:style w:type="character" w:customStyle="1" w:styleId="TitelChar">
    <w:name w:val="Titel Char"/>
    <w:basedOn w:val="Standaardalinea-lettertype"/>
    <w:link w:val="Titel"/>
    <w:uiPriority w:val="10"/>
    <w:rsid w:val="000313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13AA"/>
    <w:pPr>
      <w:numPr>
        <w:ilvl w:val="1"/>
      </w:numPr>
      <w:spacing w:line="278" w:lineRule="auto"/>
    </w:pPr>
    <w:rPr>
      <w:rFonts w:eastAsiaTheme="majorEastAsia" w:cstheme="majorBidi"/>
      <w:color w:val="595959" w:themeColor="text1" w:themeTint="A6"/>
      <w:spacing w:val="15"/>
      <w:kern w:val="2"/>
      <w:sz w:val="28"/>
      <w:szCs w:val="28"/>
      <w:lang w:val="nl-NL"/>
      <w14:ligatures w14:val="standardContextual"/>
    </w:rPr>
  </w:style>
  <w:style w:type="character" w:customStyle="1" w:styleId="OndertitelChar">
    <w:name w:val="Ondertitel Char"/>
    <w:basedOn w:val="Standaardalinea-lettertype"/>
    <w:link w:val="Ondertitel"/>
    <w:uiPriority w:val="11"/>
    <w:rsid w:val="000313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13AA"/>
    <w:pPr>
      <w:spacing w:before="160" w:line="278" w:lineRule="auto"/>
      <w:jc w:val="center"/>
    </w:pPr>
    <w:rPr>
      <w:i/>
      <w:iCs/>
      <w:color w:val="404040" w:themeColor="text1" w:themeTint="BF"/>
      <w:kern w:val="2"/>
      <w:sz w:val="24"/>
      <w:szCs w:val="24"/>
      <w:lang w:val="nl-NL"/>
      <w14:ligatures w14:val="standardContextual"/>
    </w:rPr>
  </w:style>
  <w:style w:type="character" w:customStyle="1" w:styleId="CitaatChar">
    <w:name w:val="Citaat Char"/>
    <w:basedOn w:val="Standaardalinea-lettertype"/>
    <w:link w:val="Citaat"/>
    <w:uiPriority w:val="29"/>
    <w:rsid w:val="000313AA"/>
    <w:rPr>
      <w:i/>
      <w:iCs/>
      <w:color w:val="404040" w:themeColor="text1" w:themeTint="BF"/>
    </w:rPr>
  </w:style>
  <w:style w:type="paragraph" w:styleId="Lijstalinea">
    <w:name w:val="List Paragraph"/>
    <w:basedOn w:val="Standaard"/>
    <w:uiPriority w:val="34"/>
    <w:qFormat/>
    <w:rsid w:val="000313AA"/>
    <w:pPr>
      <w:spacing w:line="278" w:lineRule="auto"/>
      <w:ind w:left="720"/>
      <w:contextualSpacing/>
    </w:pPr>
    <w:rPr>
      <w:kern w:val="2"/>
      <w:sz w:val="24"/>
      <w:szCs w:val="24"/>
      <w:lang w:val="nl-NL"/>
      <w14:ligatures w14:val="standardContextual"/>
    </w:rPr>
  </w:style>
  <w:style w:type="character" w:styleId="Intensievebenadrukking">
    <w:name w:val="Intense Emphasis"/>
    <w:basedOn w:val="Standaardalinea-lettertype"/>
    <w:uiPriority w:val="21"/>
    <w:qFormat/>
    <w:rsid w:val="000313AA"/>
    <w:rPr>
      <w:i/>
      <w:iCs/>
      <w:color w:val="2F5496" w:themeColor="accent1" w:themeShade="BF"/>
    </w:rPr>
  </w:style>
  <w:style w:type="paragraph" w:styleId="Duidelijkcitaat">
    <w:name w:val="Intense Quote"/>
    <w:basedOn w:val="Standaard"/>
    <w:next w:val="Standaard"/>
    <w:link w:val="DuidelijkcitaatChar"/>
    <w:uiPriority w:val="30"/>
    <w:qFormat/>
    <w:rsid w:val="000313A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nl-NL"/>
      <w14:ligatures w14:val="standardContextual"/>
    </w:rPr>
  </w:style>
  <w:style w:type="character" w:customStyle="1" w:styleId="DuidelijkcitaatChar">
    <w:name w:val="Duidelijk citaat Char"/>
    <w:basedOn w:val="Standaardalinea-lettertype"/>
    <w:link w:val="Duidelijkcitaat"/>
    <w:uiPriority w:val="30"/>
    <w:rsid w:val="000313AA"/>
    <w:rPr>
      <w:i/>
      <w:iCs/>
      <w:color w:val="2F5496" w:themeColor="accent1" w:themeShade="BF"/>
    </w:rPr>
  </w:style>
  <w:style w:type="character" w:styleId="Intensieveverwijzing">
    <w:name w:val="Intense Reference"/>
    <w:basedOn w:val="Standaardalinea-lettertype"/>
    <w:uiPriority w:val="32"/>
    <w:qFormat/>
    <w:rsid w:val="000313AA"/>
    <w:rPr>
      <w:b/>
      <w:bCs/>
      <w:smallCaps/>
      <w:color w:val="2F5496" w:themeColor="accent1" w:themeShade="BF"/>
      <w:spacing w:val="5"/>
    </w:rPr>
  </w:style>
  <w:style w:type="table" w:styleId="Tabelraster">
    <w:name w:val="Table Grid"/>
    <w:basedOn w:val="Standaardtabel"/>
    <w:uiPriority w:val="39"/>
    <w:rsid w:val="000313AA"/>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gelnummer">
    <w:name w:val="line number"/>
    <w:basedOn w:val="Standaardalinea-lettertype"/>
    <w:uiPriority w:val="99"/>
    <w:semiHidden/>
    <w:unhideWhenUsed/>
    <w:rsid w:val="000313AA"/>
  </w:style>
  <w:style w:type="paragraph" w:styleId="Revisie">
    <w:name w:val="Revision"/>
    <w:hidden/>
    <w:uiPriority w:val="99"/>
    <w:semiHidden/>
    <w:rsid w:val="00077E07"/>
    <w:pPr>
      <w:spacing w:after="0" w:line="240" w:lineRule="auto"/>
    </w:pPr>
    <w:rPr>
      <w:kern w:val="0"/>
      <w:sz w:val="22"/>
      <w:szCs w:val="22"/>
      <w:lang w:val="en-GB"/>
      <w14:ligatures w14:val="none"/>
    </w:rPr>
  </w:style>
  <w:style w:type="paragraph" w:styleId="Bibliografie">
    <w:name w:val="Bibliography"/>
    <w:basedOn w:val="Standaard"/>
    <w:next w:val="Standaard"/>
    <w:uiPriority w:val="37"/>
    <w:unhideWhenUsed/>
    <w:rsid w:val="00E007A4"/>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067546">
      <w:bodyDiv w:val="1"/>
      <w:marLeft w:val="0"/>
      <w:marRight w:val="0"/>
      <w:marTop w:val="0"/>
      <w:marBottom w:val="0"/>
      <w:divBdr>
        <w:top w:val="none" w:sz="0" w:space="0" w:color="auto"/>
        <w:left w:val="none" w:sz="0" w:space="0" w:color="auto"/>
        <w:bottom w:val="none" w:sz="0" w:space="0" w:color="auto"/>
        <w:right w:val="none" w:sz="0" w:space="0" w:color="auto"/>
      </w:divBdr>
    </w:div>
    <w:div w:id="1012145143">
      <w:bodyDiv w:val="1"/>
      <w:marLeft w:val="0"/>
      <w:marRight w:val="0"/>
      <w:marTop w:val="0"/>
      <w:marBottom w:val="0"/>
      <w:divBdr>
        <w:top w:val="none" w:sz="0" w:space="0" w:color="auto"/>
        <w:left w:val="none" w:sz="0" w:space="0" w:color="auto"/>
        <w:bottom w:val="none" w:sz="0" w:space="0" w:color="auto"/>
        <w:right w:val="none" w:sz="0" w:space="0" w:color="auto"/>
      </w:divBdr>
    </w:div>
    <w:div w:id="1466462263">
      <w:bodyDiv w:val="1"/>
      <w:marLeft w:val="0"/>
      <w:marRight w:val="0"/>
      <w:marTop w:val="0"/>
      <w:marBottom w:val="0"/>
      <w:divBdr>
        <w:top w:val="none" w:sz="0" w:space="0" w:color="auto"/>
        <w:left w:val="none" w:sz="0" w:space="0" w:color="auto"/>
        <w:bottom w:val="none" w:sz="0" w:space="0" w:color="auto"/>
        <w:right w:val="none" w:sz="0" w:space="0" w:color="auto"/>
      </w:divBdr>
    </w:div>
    <w:div w:id="1947997733">
      <w:bodyDiv w:val="1"/>
      <w:marLeft w:val="0"/>
      <w:marRight w:val="0"/>
      <w:marTop w:val="0"/>
      <w:marBottom w:val="0"/>
      <w:divBdr>
        <w:top w:val="none" w:sz="0" w:space="0" w:color="auto"/>
        <w:left w:val="none" w:sz="0" w:space="0" w:color="auto"/>
        <w:bottom w:val="none" w:sz="0" w:space="0" w:color="auto"/>
        <w:right w:val="none" w:sz="0" w:space="0" w:color="auto"/>
      </w:divBdr>
    </w:div>
    <w:div w:id="199532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27DC82A0F340048B763778A4B073868" ma:contentTypeVersion="14" ma:contentTypeDescription="Ein neues Dokument erstellen." ma:contentTypeScope="" ma:versionID="e3bfcd03ae548f34f557c49e962129ba">
  <xsd:schema xmlns:xsd="http://www.w3.org/2001/XMLSchema" xmlns:xs="http://www.w3.org/2001/XMLSchema" xmlns:p="http://schemas.microsoft.com/office/2006/metadata/properties" xmlns:ns3="5e6ffb41-c5ed-4bed-ae87-620d83782fb8" xmlns:ns4="9bd12854-bad0-4d45-bacd-fa29c11a8587" targetNamespace="http://schemas.microsoft.com/office/2006/metadata/properties" ma:root="true" ma:fieldsID="9dbdb6a73868f85c0786886e663a1861" ns3:_="" ns4:_="">
    <xsd:import namespace="5e6ffb41-c5ed-4bed-ae87-620d83782fb8"/>
    <xsd:import namespace="9bd12854-bad0-4d45-bacd-fa29c11a85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ffb41-c5ed-4bed-ae87-620d83782fb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d12854-bad0-4d45-bacd-fa29c11a85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bd12854-bad0-4d45-bacd-fa29c11a8587" xsi:nil="true"/>
  </documentManagement>
</p:properties>
</file>

<file path=customXml/itemProps1.xml><?xml version="1.0" encoding="utf-8"?>
<ds:datastoreItem xmlns:ds="http://schemas.openxmlformats.org/officeDocument/2006/customXml" ds:itemID="{E020C828-53EA-42F6-A8E3-3FFE5F142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ffb41-c5ed-4bed-ae87-620d83782fb8"/>
    <ds:schemaRef ds:uri="9bd12854-bad0-4d45-bacd-fa29c11a8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A9AC6B-8EF5-422B-9205-E9E1B0A58C56}">
  <ds:schemaRefs>
    <ds:schemaRef ds:uri="http://schemas.microsoft.com/sharepoint/v3/contenttype/forms"/>
  </ds:schemaRefs>
</ds:datastoreItem>
</file>

<file path=customXml/itemProps3.xml><?xml version="1.0" encoding="utf-8"?>
<ds:datastoreItem xmlns:ds="http://schemas.openxmlformats.org/officeDocument/2006/customXml" ds:itemID="{7A46D4DF-65DC-4321-9043-D6F30F925F5D}">
  <ds:schemaRefs>
    <ds:schemaRef ds:uri="http://schemas.microsoft.com/office/2006/metadata/properties"/>
    <ds:schemaRef ds:uri="http://schemas.microsoft.com/office/infopath/2007/PartnerControls"/>
    <ds:schemaRef ds:uri="9bd12854-bad0-4d45-bacd-fa29c11a858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6159</Words>
  <Characters>33879</Characters>
  <Application>Microsoft Office Word</Application>
  <DocSecurity>0</DocSecurity>
  <Lines>282</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Sistermans</dc:creator>
  <cp:keywords/>
  <dc:description/>
  <cp:lastModifiedBy>Tom Sistermans</cp:lastModifiedBy>
  <cp:revision>2</cp:revision>
  <dcterms:created xsi:type="dcterms:W3CDTF">2025-12-19T15:49:00Z</dcterms:created>
  <dcterms:modified xsi:type="dcterms:W3CDTF">2025-12-19T15:49:00Z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0x010100F27DC82A0F340048B763778A4B073868</vt:lpwstr>
  </property>
  <property fmtid="{D5CDD505-2E9C-101B-9397-08002B2CF9AE}" pid="3" name="ZOTERO_PREF_1">
    <vt:lpwstr>&lt;data data-version="3" zotero-version="7.0.30"&gt;&lt;session id="i0WuFpjT"/&gt;&lt;style id="http://www.zotero.org/styles/bmc-genomics" hasBibliography="1" bibliographyStyleHasBeenSet="1"/&gt;&lt;prefs&gt;&lt;pref name="fieldType" value="Field"/&gt;&lt;/prefs&gt;&lt;/data&gt;</vt:lpwstr>
  </property>
</Properties>
</file>