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AE4B" w14:textId="28EB695E" w:rsidR="00CE5FD3" w:rsidRPr="009A1D40" w:rsidRDefault="00CE5FD3" w:rsidP="00CE5FD3">
      <w:pPr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bookmarkStart w:id="0" w:name="_Hlk216314874"/>
      <w:r w:rsidRPr="009A1D4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Table </w:t>
      </w:r>
      <w:r w:rsidR="00B24F32">
        <w:rPr>
          <w:rFonts w:asciiTheme="majorBidi" w:hAnsiTheme="majorBidi" w:cstheme="majorBidi"/>
          <w:color w:val="000000" w:themeColor="text1"/>
          <w:sz w:val="20"/>
          <w:szCs w:val="20"/>
        </w:rPr>
        <w:t>S</w:t>
      </w:r>
      <w:r w:rsidRPr="009A1D4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1. </w:t>
      </w:r>
      <w:bookmarkStart w:id="1" w:name="_Hlk216571098"/>
      <w:r w:rsidRPr="009A1D4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Sequencing quality metrics </w:t>
      </w:r>
      <w:bookmarkEnd w:id="1"/>
      <w:r w:rsidRPr="009A1D40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for metagenomic datasets (350 bp average read length) generated from microbiome samples collected from bulk (S) and rhizosphere (R) soils of </w:t>
      </w:r>
      <w:r w:rsidRPr="00E50B64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Moringa oleifera</w:t>
      </w:r>
      <w:r w:rsidRPr="009A1D40">
        <w:rPr>
          <w:rFonts w:asciiTheme="majorBidi" w:hAnsiTheme="majorBidi" w:cstheme="majorBidi"/>
          <w:color w:val="000000" w:themeColor="text1"/>
          <w:sz w:val="20"/>
          <w:szCs w:val="20"/>
        </w:rPr>
        <w:t>.</w:t>
      </w:r>
    </w:p>
    <w:tbl>
      <w:tblPr>
        <w:tblpPr w:leftFromText="180" w:rightFromText="180" w:vertAnchor="text" w:horzAnchor="margin" w:tblpY="66"/>
        <w:tblW w:w="1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"/>
        <w:gridCol w:w="1191"/>
        <w:gridCol w:w="1584"/>
        <w:gridCol w:w="1206"/>
        <w:gridCol w:w="825"/>
        <w:gridCol w:w="1275"/>
        <w:gridCol w:w="1417"/>
        <w:gridCol w:w="1417"/>
        <w:gridCol w:w="1247"/>
        <w:gridCol w:w="1247"/>
      </w:tblGrid>
      <w:tr w:rsidR="00CE5FD3" w:rsidRPr="009A1D40" w14:paraId="6F811B32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4FAF4EB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Sample</w:t>
            </w:r>
          </w:p>
          <w:p w14:paraId="136C53D2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ID</w:t>
            </w:r>
          </w:p>
        </w:tc>
        <w:tc>
          <w:tcPr>
            <w:tcW w:w="1191" w:type="dxa"/>
            <w:noWrap/>
            <w:vAlign w:val="center"/>
            <w:hideMark/>
          </w:tcPr>
          <w:p w14:paraId="3DD86AB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Raw data</w:t>
            </w:r>
          </w:p>
          <w:p w14:paraId="3283D17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(Gb)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84" w:type="dxa"/>
            <w:vAlign w:val="center"/>
          </w:tcPr>
          <w:p w14:paraId="060899C8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Raw reads</w:t>
            </w:r>
          </w:p>
          <w:p w14:paraId="13003A5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(no.)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06" w:type="dxa"/>
            <w:vAlign w:val="center"/>
          </w:tcPr>
          <w:p w14:paraId="0AC9F2C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Low Q</w:t>
            </w:r>
          </w:p>
          <w:p w14:paraId="00742686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25" w:type="dxa"/>
            <w:vAlign w:val="center"/>
          </w:tcPr>
          <w:p w14:paraId="02F68ED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Ns</w:t>
            </w:r>
          </w:p>
          <w:p w14:paraId="47D19AE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75" w:type="dxa"/>
            <w:noWrap/>
            <w:vAlign w:val="center"/>
            <w:hideMark/>
          </w:tcPr>
          <w:p w14:paraId="4F2F7C7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Clean data (Gb)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17" w:type="dxa"/>
            <w:noWrap/>
            <w:vAlign w:val="center"/>
            <w:hideMark/>
          </w:tcPr>
          <w:p w14:paraId="6BC7DBB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Clean (Q20)</w:t>
            </w:r>
          </w:p>
          <w:p w14:paraId="6D44010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417" w:type="dxa"/>
            <w:noWrap/>
            <w:vAlign w:val="center"/>
            <w:hideMark/>
          </w:tcPr>
          <w:p w14:paraId="64E90AF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Clean (Q30)</w:t>
            </w:r>
          </w:p>
          <w:p w14:paraId="5B577FD3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247" w:type="dxa"/>
            <w:noWrap/>
            <w:vAlign w:val="center"/>
            <w:hideMark/>
          </w:tcPr>
          <w:p w14:paraId="46CF9B6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Clean GC</w:t>
            </w:r>
          </w:p>
          <w:p w14:paraId="258A2294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247" w:type="dxa"/>
            <w:noWrap/>
            <w:vAlign w:val="center"/>
            <w:hideMark/>
          </w:tcPr>
          <w:p w14:paraId="3F5D3EEA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Effective</w:t>
            </w:r>
          </w:p>
          <w:p w14:paraId="774364D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(%)</w:t>
            </w: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9</w:t>
            </w:r>
          </w:p>
        </w:tc>
      </w:tr>
      <w:tr w:rsidR="00CE5FD3" w:rsidRPr="009A1D40" w14:paraId="768B1FF2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46FD2DE5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S1</w:t>
            </w:r>
          </w:p>
        </w:tc>
        <w:tc>
          <w:tcPr>
            <w:tcW w:w="1191" w:type="dxa"/>
            <w:noWrap/>
            <w:vAlign w:val="bottom"/>
            <w:hideMark/>
          </w:tcPr>
          <w:p w14:paraId="79D69735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6.02</w:t>
            </w:r>
          </w:p>
        </w:tc>
        <w:tc>
          <w:tcPr>
            <w:tcW w:w="1584" w:type="dxa"/>
            <w:vAlign w:val="bottom"/>
          </w:tcPr>
          <w:p w14:paraId="3873D779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40,123,352</w:t>
            </w:r>
          </w:p>
        </w:tc>
        <w:tc>
          <w:tcPr>
            <w:tcW w:w="1206" w:type="dxa"/>
            <w:vAlign w:val="bottom"/>
          </w:tcPr>
          <w:p w14:paraId="4F1E0350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4D720368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75" w:type="dxa"/>
            <w:noWrap/>
            <w:vAlign w:val="bottom"/>
            <w:hideMark/>
          </w:tcPr>
          <w:p w14:paraId="29F9837A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417" w:type="dxa"/>
            <w:noWrap/>
            <w:vAlign w:val="bottom"/>
            <w:hideMark/>
          </w:tcPr>
          <w:p w14:paraId="643598D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97.68</w:t>
            </w:r>
          </w:p>
        </w:tc>
        <w:tc>
          <w:tcPr>
            <w:tcW w:w="1417" w:type="dxa"/>
            <w:noWrap/>
            <w:vAlign w:val="bottom"/>
            <w:hideMark/>
          </w:tcPr>
          <w:p w14:paraId="7736434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93.54</w:t>
            </w:r>
          </w:p>
        </w:tc>
        <w:tc>
          <w:tcPr>
            <w:tcW w:w="1247" w:type="dxa"/>
            <w:noWrap/>
            <w:vAlign w:val="bottom"/>
            <w:hideMark/>
          </w:tcPr>
          <w:p w14:paraId="77C0EC30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53.33</w:t>
            </w:r>
          </w:p>
        </w:tc>
        <w:tc>
          <w:tcPr>
            <w:tcW w:w="1247" w:type="dxa"/>
            <w:noWrap/>
            <w:vAlign w:val="bottom"/>
            <w:hideMark/>
          </w:tcPr>
          <w:p w14:paraId="3F31DA29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99.73</w:t>
            </w:r>
          </w:p>
        </w:tc>
      </w:tr>
      <w:tr w:rsidR="00CE5FD3" w:rsidRPr="009A1D40" w14:paraId="0ED04490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52558AF0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S2</w:t>
            </w:r>
          </w:p>
        </w:tc>
        <w:tc>
          <w:tcPr>
            <w:tcW w:w="1191" w:type="dxa"/>
            <w:noWrap/>
            <w:vAlign w:val="bottom"/>
            <w:hideMark/>
          </w:tcPr>
          <w:p w14:paraId="36BFF520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8.03</w:t>
            </w:r>
          </w:p>
        </w:tc>
        <w:tc>
          <w:tcPr>
            <w:tcW w:w="1584" w:type="dxa"/>
            <w:vAlign w:val="bottom"/>
          </w:tcPr>
          <w:p w14:paraId="7D2BA197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53,530,450</w:t>
            </w:r>
          </w:p>
        </w:tc>
        <w:tc>
          <w:tcPr>
            <w:tcW w:w="1206" w:type="dxa"/>
            <w:vAlign w:val="bottom"/>
          </w:tcPr>
          <w:p w14:paraId="0DE31D50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5CE8387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275" w:type="dxa"/>
            <w:noWrap/>
            <w:vAlign w:val="bottom"/>
          </w:tcPr>
          <w:p w14:paraId="53CBF69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1417" w:type="dxa"/>
            <w:noWrap/>
            <w:vAlign w:val="bottom"/>
          </w:tcPr>
          <w:p w14:paraId="52C0D1C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97.71</w:t>
            </w:r>
          </w:p>
        </w:tc>
        <w:tc>
          <w:tcPr>
            <w:tcW w:w="1417" w:type="dxa"/>
            <w:noWrap/>
            <w:vAlign w:val="bottom"/>
          </w:tcPr>
          <w:p w14:paraId="4A3BC875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93.64</w:t>
            </w:r>
          </w:p>
        </w:tc>
        <w:tc>
          <w:tcPr>
            <w:tcW w:w="1247" w:type="dxa"/>
            <w:noWrap/>
            <w:vAlign w:val="bottom"/>
          </w:tcPr>
          <w:p w14:paraId="7286073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56.59</w:t>
            </w:r>
          </w:p>
        </w:tc>
        <w:tc>
          <w:tcPr>
            <w:tcW w:w="1247" w:type="dxa"/>
            <w:noWrap/>
            <w:vAlign w:val="bottom"/>
          </w:tcPr>
          <w:p w14:paraId="1ACEE913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99.69</w:t>
            </w:r>
          </w:p>
        </w:tc>
      </w:tr>
      <w:tr w:rsidR="00CE5FD3" w:rsidRPr="009A1D40" w14:paraId="6D296A97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66E306C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S3</w:t>
            </w:r>
          </w:p>
        </w:tc>
        <w:tc>
          <w:tcPr>
            <w:tcW w:w="1191" w:type="dxa"/>
            <w:noWrap/>
            <w:vAlign w:val="bottom"/>
            <w:hideMark/>
          </w:tcPr>
          <w:p w14:paraId="2E88D30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8.47</w:t>
            </w:r>
          </w:p>
        </w:tc>
        <w:tc>
          <w:tcPr>
            <w:tcW w:w="1584" w:type="dxa"/>
            <w:vAlign w:val="bottom"/>
          </w:tcPr>
          <w:p w14:paraId="52152E67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56,437,554</w:t>
            </w:r>
          </w:p>
        </w:tc>
        <w:tc>
          <w:tcPr>
            <w:tcW w:w="1206" w:type="dxa"/>
            <w:vAlign w:val="bottom"/>
          </w:tcPr>
          <w:p w14:paraId="11A2045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0F8DCFD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75" w:type="dxa"/>
            <w:noWrap/>
            <w:vAlign w:val="bottom"/>
          </w:tcPr>
          <w:p w14:paraId="4E6BD242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8.45</w:t>
            </w:r>
          </w:p>
        </w:tc>
        <w:tc>
          <w:tcPr>
            <w:tcW w:w="1417" w:type="dxa"/>
            <w:noWrap/>
            <w:vAlign w:val="bottom"/>
          </w:tcPr>
          <w:p w14:paraId="196E15A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98.14</w:t>
            </w:r>
          </w:p>
        </w:tc>
        <w:tc>
          <w:tcPr>
            <w:tcW w:w="1417" w:type="dxa"/>
            <w:noWrap/>
            <w:vAlign w:val="bottom"/>
          </w:tcPr>
          <w:p w14:paraId="2F4276A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94.78</w:t>
            </w:r>
          </w:p>
        </w:tc>
        <w:tc>
          <w:tcPr>
            <w:tcW w:w="1247" w:type="dxa"/>
            <w:noWrap/>
            <w:vAlign w:val="bottom"/>
          </w:tcPr>
          <w:p w14:paraId="23CF82B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67.94</w:t>
            </w:r>
          </w:p>
        </w:tc>
        <w:tc>
          <w:tcPr>
            <w:tcW w:w="1247" w:type="dxa"/>
            <w:noWrap/>
            <w:vAlign w:val="bottom"/>
          </w:tcPr>
          <w:p w14:paraId="6AD7A03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99.77</w:t>
            </w:r>
          </w:p>
        </w:tc>
      </w:tr>
      <w:tr w:rsidR="00CE5FD3" w:rsidRPr="009A1D40" w14:paraId="4E825F2E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68EB072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R1</w:t>
            </w:r>
          </w:p>
        </w:tc>
        <w:tc>
          <w:tcPr>
            <w:tcW w:w="1191" w:type="dxa"/>
            <w:noWrap/>
            <w:vAlign w:val="bottom"/>
            <w:hideMark/>
          </w:tcPr>
          <w:p w14:paraId="1B7F784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7.03</w:t>
            </w:r>
          </w:p>
        </w:tc>
        <w:tc>
          <w:tcPr>
            <w:tcW w:w="1584" w:type="dxa"/>
            <w:vAlign w:val="bottom"/>
          </w:tcPr>
          <w:p w14:paraId="04372733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46,870,664</w:t>
            </w:r>
          </w:p>
        </w:tc>
        <w:tc>
          <w:tcPr>
            <w:tcW w:w="1206" w:type="dxa"/>
            <w:vAlign w:val="bottom"/>
          </w:tcPr>
          <w:p w14:paraId="52E7815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25" w:type="dxa"/>
            <w:vAlign w:val="bottom"/>
          </w:tcPr>
          <w:p w14:paraId="165A51E2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75" w:type="dxa"/>
            <w:noWrap/>
            <w:vAlign w:val="bottom"/>
          </w:tcPr>
          <w:p w14:paraId="22040C1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7.01</w:t>
            </w:r>
          </w:p>
        </w:tc>
        <w:tc>
          <w:tcPr>
            <w:tcW w:w="1417" w:type="dxa"/>
            <w:noWrap/>
            <w:vAlign w:val="bottom"/>
          </w:tcPr>
          <w:p w14:paraId="104FAE29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97.49</w:t>
            </w:r>
          </w:p>
        </w:tc>
        <w:tc>
          <w:tcPr>
            <w:tcW w:w="1417" w:type="dxa"/>
            <w:noWrap/>
            <w:vAlign w:val="bottom"/>
          </w:tcPr>
          <w:p w14:paraId="5BD92765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247" w:type="dxa"/>
            <w:noWrap/>
            <w:vAlign w:val="bottom"/>
          </w:tcPr>
          <w:p w14:paraId="34C938F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66.38</w:t>
            </w:r>
          </w:p>
        </w:tc>
        <w:tc>
          <w:tcPr>
            <w:tcW w:w="1247" w:type="dxa"/>
            <w:noWrap/>
            <w:vAlign w:val="bottom"/>
          </w:tcPr>
          <w:p w14:paraId="269C1FF2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99.75</w:t>
            </w:r>
          </w:p>
        </w:tc>
      </w:tr>
      <w:tr w:rsidR="00CE5FD3" w:rsidRPr="009A1D40" w14:paraId="6D7A2695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7A8A407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R2</w:t>
            </w:r>
          </w:p>
        </w:tc>
        <w:tc>
          <w:tcPr>
            <w:tcW w:w="1191" w:type="dxa"/>
            <w:noWrap/>
            <w:vAlign w:val="bottom"/>
            <w:hideMark/>
          </w:tcPr>
          <w:p w14:paraId="24D951B5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8.14</w:t>
            </w:r>
          </w:p>
        </w:tc>
        <w:tc>
          <w:tcPr>
            <w:tcW w:w="1584" w:type="dxa"/>
            <w:vAlign w:val="bottom"/>
          </w:tcPr>
          <w:p w14:paraId="4020531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54,268,014</w:t>
            </w:r>
          </w:p>
        </w:tc>
        <w:tc>
          <w:tcPr>
            <w:tcW w:w="1206" w:type="dxa"/>
            <w:vAlign w:val="bottom"/>
          </w:tcPr>
          <w:p w14:paraId="33214884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1EE7C6A6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75" w:type="dxa"/>
            <w:noWrap/>
            <w:vAlign w:val="bottom"/>
          </w:tcPr>
          <w:p w14:paraId="3CBC87DA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8.12</w:t>
            </w:r>
          </w:p>
        </w:tc>
        <w:tc>
          <w:tcPr>
            <w:tcW w:w="1417" w:type="dxa"/>
            <w:noWrap/>
            <w:vAlign w:val="bottom"/>
          </w:tcPr>
          <w:p w14:paraId="27B47CD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98.19</w:t>
            </w:r>
          </w:p>
        </w:tc>
        <w:tc>
          <w:tcPr>
            <w:tcW w:w="1417" w:type="dxa"/>
            <w:noWrap/>
            <w:vAlign w:val="bottom"/>
          </w:tcPr>
          <w:p w14:paraId="52269C0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94.91</w:t>
            </w:r>
          </w:p>
        </w:tc>
        <w:tc>
          <w:tcPr>
            <w:tcW w:w="1247" w:type="dxa"/>
            <w:noWrap/>
            <w:vAlign w:val="bottom"/>
          </w:tcPr>
          <w:p w14:paraId="2E3D64E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67.96</w:t>
            </w:r>
          </w:p>
        </w:tc>
        <w:tc>
          <w:tcPr>
            <w:tcW w:w="1247" w:type="dxa"/>
            <w:noWrap/>
            <w:vAlign w:val="bottom"/>
          </w:tcPr>
          <w:p w14:paraId="0455DFD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99.71</w:t>
            </w:r>
          </w:p>
        </w:tc>
      </w:tr>
      <w:tr w:rsidR="00CE5FD3" w:rsidRPr="009A1D40" w14:paraId="4DD19348" w14:textId="77777777" w:rsidTr="00E9334D">
        <w:trPr>
          <w:trHeight w:val="20"/>
        </w:trPr>
        <w:tc>
          <w:tcPr>
            <w:tcW w:w="907" w:type="dxa"/>
            <w:noWrap/>
            <w:vAlign w:val="center"/>
            <w:hideMark/>
          </w:tcPr>
          <w:p w14:paraId="0227014B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R3</w:t>
            </w:r>
          </w:p>
        </w:tc>
        <w:tc>
          <w:tcPr>
            <w:tcW w:w="1191" w:type="dxa"/>
            <w:noWrap/>
            <w:vAlign w:val="bottom"/>
            <w:hideMark/>
          </w:tcPr>
          <w:p w14:paraId="2D6941BC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7.48</w:t>
            </w:r>
          </w:p>
        </w:tc>
        <w:tc>
          <w:tcPr>
            <w:tcW w:w="1584" w:type="dxa"/>
            <w:vAlign w:val="bottom"/>
          </w:tcPr>
          <w:p w14:paraId="3A0B9893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49,871,224</w:t>
            </w:r>
          </w:p>
        </w:tc>
        <w:tc>
          <w:tcPr>
            <w:tcW w:w="1206" w:type="dxa"/>
            <w:vAlign w:val="bottom"/>
          </w:tcPr>
          <w:p w14:paraId="69E9109F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5" w:type="dxa"/>
            <w:vAlign w:val="bottom"/>
          </w:tcPr>
          <w:p w14:paraId="2D2FA012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275" w:type="dxa"/>
            <w:noWrap/>
            <w:vAlign w:val="bottom"/>
          </w:tcPr>
          <w:p w14:paraId="171C932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7.46</w:t>
            </w:r>
          </w:p>
        </w:tc>
        <w:tc>
          <w:tcPr>
            <w:tcW w:w="1417" w:type="dxa"/>
            <w:noWrap/>
            <w:vAlign w:val="bottom"/>
          </w:tcPr>
          <w:p w14:paraId="3E45227E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97.59</w:t>
            </w:r>
          </w:p>
        </w:tc>
        <w:tc>
          <w:tcPr>
            <w:tcW w:w="1417" w:type="dxa"/>
            <w:noWrap/>
            <w:vAlign w:val="bottom"/>
          </w:tcPr>
          <w:p w14:paraId="7D491CE1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93.34</w:t>
            </w:r>
          </w:p>
        </w:tc>
        <w:tc>
          <w:tcPr>
            <w:tcW w:w="1247" w:type="dxa"/>
            <w:noWrap/>
            <w:vAlign w:val="bottom"/>
          </w:tcPr>
          <w:p w14:paraId="78E5CD29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247" w:type="dxa"/>
            <w:noWrap/>
            <w:vAlign w:val="bottom"/>
          </w:tcPr>
          <w:p w14:paraId="22FC8D9D" w14:textId="77777777" w:rsidR="00CE5FD3" w:rsidRPr="009A1D40" w:rsidRDefault="00CE5FD3" w:rsidP="00E9334D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9A1D4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99.71</w:t>
            </w:r>
          </w:p>
        </w:tc>
      </w:tr>
    </w:tbl>
    <w:p w14:paraId="212E88E1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41BB9483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4A950934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51F3E239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2382CD9E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48E6FC0A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5ACD9ACC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6CB60E5F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32421EFD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</w:pPr>
    </w:p>
    <w:p w14:paraId="558AEF40" w14:textId="1F52458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1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Raw data: Data derived from deep sequencing in Gb. </w:t>
      </w:r>
    </w:p>
    <w:p w14:paraId="4E0955C6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2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Raw reads (no.): Number of raw reads generated from deep sequencing. </w:t>
      </w:r>
    </w:p>
    <w:p w14:paraId="572C5981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3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Low </w:t>
      </w:r>
      <w:proofErr w:type="gramStart"/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>Q(</w:t>
      </w:r>
      <w:proofErr w:type="gramEnd"/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>%): Percentage of reads that do not meet the standard criteria of filtering.</w:t>
      </w:r>
    </w:p>
    <w:p w14:paraId="5B729C21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4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>Ns (%): Percentage of unread nucleotides.</w:t>
      </w:r>
    </w:p>
    <w:p w14:paraId="56DC77E7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5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Clean data: Filtered and valid data in Gb. </w:t>
      </w:r>
    </w:p>
    <w:p w14:paraId="62F0B18E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6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Clean Q20 (%): Percentage of the clean data with a sequencing error rate less than 0.01 (mass value greater than 20). </w:t>
      </w:r>
    </w:p>
    <w:p w14:paraId="46D89038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7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Clean Q30 (%): Percentage of the clean data with a sequencing error rate less than 0.001 (mass value greater than 30). </w:t>
      </w:r>
    </w:p>
    <w:p w14:paraId="7D2182F1" w14:textId="77777777" w:rsidR="00CE5FD3" w:rsidRPr="009A1D40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8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 xml:space="preserve">Clean GC (%): Percentage of GC among total base pairs in clean data. </w:t>
      </w:r>
    </w:p>
    <w:p w14:paraId="09A94626" w14:textId="77777777" w:rsidR="00CE5FD3" w:rsidRDefault="00CE5FD3" w:rsidP="00CE5FD3">
      <w:pPr>
        <w:rPr>
          <w:rFonts w:asciiTheme="majorBidi" w:hAnsiTheme="majorBidi" w:cstheme="majorBidi"/>
          <w:i/>
          <w:iCs/>
          <w:color w:val="242021"/>
          <w:sz w:val="20"/>
          <w:szCs w:val="20"/>
        </w:rPr>
      </w:pP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  <w:vertAlign w:val="superscript"/>
        </w:rPr>
        <w:t>9</w:t>
      </w:r>
      <w:r w:rsidRPr="009A1D40">
        <w:rPr>
          <w:rFonts w:asciiTheme="majorBidi" w:hAnsiTheme="majorBidi" w:cstheme="majorBidi"/>
          <w:i/>
          <w:iCs/>
          <w:color w:val="242021"/>
          <w:sz w:val="20"/>
          <w:szCs w:val="20"/>
        </w:rPr>
        <w:t>Effective (%): Percentage of clean data among raw data.</w:t>
      </w:r>
      <w:bookmarkEnd w:id="0"/>
    </w:p>
    <w:p w14:paraId="44781DE4" w14:textId="77777777" w:rsidR="009547E6" w:rsidRDefault="009547E6"/>
    <w:sectPr w:rsidR="009547E6" w:rsidSect="00CE5F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D3"/>
    <w:rsid w:val="003F059F"/>
    <w:rsid w:val="00686E10"/>
    <w:rsid w:val="009547E6"/>
    <w:rsid w:val="00AF15F5"/>
    <w:rsid w:val="00B24F32"/>
    <w:rsid w:val="00CE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83A6"/>
  <w15:chartTrackingRefBased/>
  <w15:docId w15:val="{163E8064-1DFC-4B56-876C-698791A1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E5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FD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FD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FD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FD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FD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5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FD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5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FD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5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FD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5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FD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1117</Characters>
  <Application>Microsoft Office Word</Application>
  <DocSecurity>0</DocSecurity>
  <Lines>101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SHERIF EDRIS AHMAD EDRIS</dc:creator>
  <cp:keywords/>
  <dc:description/>
  <cp:lastModifiedBy>SHERIF EDRIS AHMAD EDRIS</cp:lastModifiedBy>
  <cp:revision>2</cp:revision>
  <dcterms:created xsi:type="dcterms:W3CDTF">2025-12-20T22:24:00Z</dcterms:created>
  <dcterms:modified xsi:type="dcterms:W3CDTF">2025-12-20T23:31:00Z</dcterms:modified>
</cp:coreProperties>
</file>