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C96F5" w14:textId="77777777" w:rsidR="00AC3DBC" w:rsidRDefault="00AC3DBC" w:rsidP="00AC3DBC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637E98">
        <w:rPr>
          <w:rFonts w:ascii="Times New Roman" w:hAnsi="Times New Roman" w:cs="Times New Roman"/>
          <w:color w:val="000000" w:themeColor="text1"/>
        </w:rPr>
        <w:t>Supplementary Figures</w:t>
      </w:r>
    </w:p>
    <w:p w14:paraId="0C48215B" w14:textId="77777777" w:rsidR="00AC3DBC" w:rsidRPr="00252675" w:rsidRDefault="00AC3DBC" w:rsidP="00AC3DBC">
      <w:pPr>
        <w:pStyle w:val="Heading2"/>
        <w:rPr>
          <w:rFonts w:ascii="Times New Roman" w:hAnsi="Times New Roman" w:cs="Times New Roman"/>
          <w:color w:val="000000" w:themeColor="text1"/>
        </w:rPr>
      </w:pPr>
      <w:r>
        <w:rPr>
          <w:noProof/>
        </w:rPr>
        <w:drawing>
          <wp:inline distT="0" distB="0" distL="0" distR="0" wp14:anchorId="5BA1883C" wp14:editId="5EF44F85">
            <wp:extent cx="5635273" cy="4045837"/>
            <wp:effectExtent l="0" t="0" r="3810" b="0"/>
            <wp:docPr id="1945544942" name="drawing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544942" name="drawing" descr="A screenshot of a graph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8683" cy="4062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45D33" w14:textId="77777777" w:rsidR="00AC3DBC" w:rsidRPr="00D81E3A" w:rsidRDefault="00AC3DBC" w:rsidP="00AC3DB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9B8678" wp14:editId="32828BAD">
                <wp:simplePos x="0" y="0"/>
                <wp:positionH relativeFrom="margin">
                  <wp:align>center</wp:align>
                </wp:positionH>
                <wp:positionV relativeFrom="paragraph">
                  <wp:posOffset>2718371</wp:posOffset>
                </wp:positionV>
                <wp:extent cx="6693535" cy="635"/>
                <wp:effectExtent l="0" t="0" r="0" b="0"/>
                <wp:wrapSquare wrapText="bothSides"/>
                <wp:docPr id="6647200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353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083F77A" w14:textId="77777777" w:rsidR="00AC3DBC" w:rsidRDefault="00AC3DBC" w:rsidP="00AC3DBC">
                            <w:pPr>
                              <w:pStyle w:val="Caption"/>
                            </w:pPr>
                            <w:r>
                              <w:t xml:space="preserve">Figure S1: Examples of Fragment Analyzer System 5200 (Laboratory A) and </w:t>
                            </w:r>
                            <w:proofErr w:type="spellStart"/>
                            <w:r>
                              <w:t>TapeStation</w:t>
                            </w:r>
                            <w:proofErr w:type="spellEnd"/>
                            <w:r>
                              <w:t xml:space="preserve"> 4150 (Laboratory B) results for some samples before pooling of libraries. STR markers are expected between approximately 200 and 500 bp.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9B867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214.05pt;width:527.05pt;height:.0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" stroked="f">
                <v:textbox style="mso-fit-shape-to-text:t" inset="0,0,0,0">
                  <w:txbxContent>
                    <w:p w14:paraId="0083F77A" w14:textId="77777777" w:rsidR="00AC3DBC" w:rsidRDefault="00AC3DBC" w:rsidP="00AC3DBC">
                      <w:pPr>
                        <w:pStyle w:val="Caption"/>
                      </w:pPr>
                      <w:r>
                        <w:t xml:space="preserve">Figure S1: Examples of Fragment Analyzer System 5200 (Laboratory A) and </w:t>
                      </w:r>
                      <w:proofErr w:type="spellStart"/>
                      <w:r>
                        <w:t>TapeStation</w:t>
                      </w:r>
                      <w:proofErr w:type="spellEnd"/>
                      <w:r>
                        <w:t xml:space="preserve"> 4150 (Laboratory B) results for some samples before pooling of libraries. STR markers are expected between approximately 200 and 500 bp.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5353CC5" wp14:editId="766931FF">
            <wp:extent cx="5772859" cy="2555333"/>
            <wp:effectExtent l="0" t="0" r="0" b="0"/>
            <wp:docPr id="153810215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102152" name="draw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859" cy="255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8A456" w14:textId="77777777" w:rsidR="00AC3DBC" w:rsidRDefault="00AC3DBC" w:rsidP="00AC3DBC">
      <w:pPr>
        <w:pStyle w:val="Heading2"/>
        <w:rPr>
          <w:rFonts w:ascii="Times New Roman" w:hAnsi="Times New Roman" w:cs="Times New Roman"/>
          <w:color w:val="000000" w:themeColor="text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AFFB13" wp14:editId="463FD00F">
                <wp:simplePos x="0" y="0"/>
                <wp:positionH relativeFrom="margin">
                  <wp:posOffset>-487045</wp:posOffset>
                </wp:positionH>
                <wp:positionV relativeFrom="paragraph">
                  <wp:posOffset>3847465</wp:posOffset>
                </wp:positionV>
                <wp:extent cx="6447790" cy="635"/>
                <wp:effectExtent l="0" t="0" r="0" b="635"/>
                <wp:wrapSquare wrapText="bothSides"/>
                <wp:docPr id="110228553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779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C7E4398" w14:textId="77777777" w:rsidR="00AC3DBC" w:rsidRPr="00FA6F25" w:rsidRDefault="00AC3DBC" w:rsidP="00AC3DBC">
                            <w:pPr>
                              <w:pStyle w:val="Caption"/>
                              <w:jc w:val="both"/>
                              <w:rPr>
                                <w:noProof/>
                                <w:color w:val="000000" w:themeColor="text1"/>
                              </w:rPr>
                            </w:pPr>
                            <w:r>
                              <w:t xml:space="preserve">Figure S2: Proportion of artefacts and errors after consensus read generation, divided per STR marker for polymerases applied in the barcoding PCR (A, B and C) and in the adaptor PCR (D, E and F). A. and D. n-1 stutter ratio, B. and E. n+1 stutter ratio and C. and F. proportion of other errors. </w:t>
                            </w:r>
                            <w:r w:rsidRPr="005429E2">
                              <w:t>The boxplots show median values, the first and third quartiles and the whiskers 1.5 interquartile ranges, dots represent outliers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AFFB13" id="_x0000_s1027" type="#_x0000_t202" style="position:absolute;margin-left:-38.35pt;margin-top:302.95pt;width:507.7pt;height:.05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" stroked="f">
                <v:textbox style="mso-fit-shape-to-text:t" inset="0,0,0,0">
                  <w:txbxContent>
                    <w:p w14:paraId="2C7E4398" w14:textId="77777777" w:rsidR="00AC3DBC" w:rsidRPr="00FA6F25" w:rsidRDefault="00AC3DBC" w:rsidP="00AC3DBC">
                      <w:pPr>
                        <w:pStyle w:val="Caption"/>
                        <w:jc w:val="both"/>
                        <w:rPr>
                          <w:noProof/>
                          <w:color w:val="000000" w:themeColor="text1"/>
                        </w:rPr>
                      </w:pPr>
                      <w:r>
                        <w:t xml:space="preserve">Figure S2: Proportion of artefacts and errors after consensus read generation, divided per STR marker for polymerases applied in the barcoding PCR (A, B and C) and in the adaptor PCR (D, E and F). A. and D. n-1 stutter ratio, B. and E. n+1 stutter ratio and C. and F. proportion of other errors. </w:t>
                      </w:r>
                      <w:r w:rsidRPr="005429E2">
                        <w:t>The boxplots show median values, the first and third quartiles and the whiskers 1.5 interquartile ranges, dots represent outliers</w:t>
                      </w:r>
                      <w: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37E98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191DA638" wp14:editId="217E72DC">
            <wp:simplePos x="0" y="0"/>
            <wp:positionH relativeFrom="margin">
              <wp:align>center</wp:align>
            </wp:positionH>
            <wp:positionV relativeFrom="paragraph">
              <wp:posOffset>-266</wp:posOffset>
            </wp:positionV>
            <wp:extent cx="6918960" cy="3531235"/>
            <wp:effectExtent l="0" t="0" r="0" b="0"/>
            <wp:wrapTopAndBottom/>
            <wp:docPr id="776104675" name="Picture 22" descr="A group of colorful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104675" name="Picture 22" descr="A group of colorful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8960" cy="353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D54F70" w14:textId="77777777" w:rsidR="00AC3DBC" w:rsidRPr="008634B4" w:rsidRDefault="00AC3DBC" w:rsidP="00AC3DBC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8634B4">
        <w:rPr>
          <w:rFonts w:ascii="Times New Roman" w:hAnsi="Times New Roman" w:cs="Times New Roman"/>
          <w:color w:val="000000" w:themeColor="text1"/>
          <w:sz w:val="32"/>
          <w:szCs w:val="32"/>
        </w:rPr>
        <w:t>Supplementary Tables</w:t>
      </w:r>
    </w:p>
    <w:p w14:paraId="63552725" w14:textId="25AE040F" w:rsidR="00AC3DBC" w:rsidRDefault="00AC3DBC" w:rsidP="00AC3DBC">
      <w:pPr>
        <w:pStyle w:val="Caption"/>
        <w:keepNext/>
      </w:pPr>
      <w:r>
        <w:t>Table S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32325D">
        <w:rPr>
          <w:noProof/>
        </w:rPr>
        <w:t>1</w:t>
      </w:r>
      <w:r>
        <w:rPr>
          <w:noProof/>
        </w:rPr>
        <w:fldChar w:fldCharType="end"/>
      </w:r>
      <w:r>
        <w:t>: Concentrations of samples determined with Qubit in ng/µL before pooling of the libraries, ranging from lowest concentrations to highest. Left column includes samples from Laboratory A and right column includes samples from Laboratory B.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3119"/>
        <w:gridCol w:w="2834"/>
      </w:tblGrid>
      <w:tr w:rsidR="00AC3DBC" w:rsidRPr="00E72AA5" w14:paraId="4A6871B9" w14:textId="77777777" w:rsidTr="002011C2">
        <w:tc>
          <w:tcPr>
            <w:tcW w:w="3397" w:type="dxa"/>
          </w:tcPr>
          <w:p w14:paraId="54CB9DC4" w14:textId="77777777" w:rsidR="00AC3DBC" w:rsidRPr="00D055B4" w:rsidRDefault="00AC3DBC" w:rsidP="002011C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055B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Polymerase in barcoding PCR</w:t>
            </w:r>
          </w:p>
        </w:tc>
        <w:tc>
          <w:tcPr>
            <w:tcW w:w="5953" w:type="dxa"/>
            <w:gridSpan w:val="2"/>
          </w:tcPr>
          <w:p w14:paraId="2270548D" w14:textId="77777777" w:rsidR="00AC3DBC" w:rsidRPr="00D055B4" w:rsidRDefault="00AC3DBC" w:rsidP="002011C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055B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Qubit concentration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range </w:t>
            </w:r>
            <w:r w:rsidRPr="00D055B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(ng/µL)</w:t>
            </w:r>
          </w:p>
        </w:tc>
      </w:tr>
      <w:tr w:rsidR="00AC3DBC" w:rsidRPr="00E72AA5" w14:paraId="38EDBB14" w14:textId="77777777" w:rsidTr="002011C2">
        <w:tc>
          <w:tcPr>
            <w:tcW w:w="3397" w:type="dxa"/>
          </w:tcPr>
          <w:p w14:paraId="23DFB182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72AA5">
              <w:rPr>
                <w:rFonts w:ascii="Times New Roman" w:hAnsi="Times New Roman" w:cs="Times New Roman"/>
                <w:color w:val="000000" w:themeColor="text1"/>
              </w:rPr>
              <w:t>SuperFi</w:t>
            </w:r>
            <w:proofErr w:type="spellEnd"/>
            <w:r w:rsidRPr="00E72AA5">
              <w:rPr>
                <w:rFonts w:ascii="Times New Roman" w:hAnsi="Times New Roman" w:cs="Times New Roman"/>
                <w:color w:val="000000" w:themeColor="text1"/>
              </w:rPr>
              <w:t xml:space="preserve"> II</w:t>
            </w:r>
          </w:p>
        </w:tc>
        <w:tc>
          <w:tcPr>
            <w:tcW w:w="3119" w:type="dxa"/>
          </w:tcPr>
          <w:p w14:paraId="57A97FE6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1.83, </w:t>
            </w:r>
            <w:r w:rsidRPr="00E72AA5">
              <w:rPr>
                <w:rFonts w:ascii="Times New Roman" w:hAnsi="Times New Roman" w:cs="Times New Roman"/>
                <w:color w:val="000000" w:themeColor="text1"/>
              </w:rPr>
              <w:t>2.</w:t>
            </w:r>
            <w:r>
              <w:rPr>
                <w:rFonts w:ascii="Times New Roman" w:hAnsi="Times New Roman" w:cs="Times New Roman"/>
                <w:color w:val="000000" w:themeColor="text1"/>
              </w:rPr>
              <w:t>39</w:t>
            </w:r>
          </w:p>
        </w:tc>
        <w:tc>
          <w:tcPr>
            <w:tcW w:w="2834" w:type="dxa"/>
          </w:tcPr>
          <w:p w14:paraId="1C9C72D3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3.83, 7.00</w:t>
            </w:r>
          </w:p>
        </w:tc>
      </w:tr>
      <w:tr w:rsidR="00AC3DBC" w:rsidRPr="00E72AA5" w14:paraId="10F0657A" w14:textId="77777777" w:rsidTr="002011C2">
        <w:tc>
          <w:tcPr>
            <w:tcW w:w="3397" w:type="dxa"/>
          </w:tcPr>
          <w:p w14:paraId="132ED179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72AA5">
              <w:rPr>
                <w:rFonts w:ascii="Times New Roman" w:hAnsi="Times New Roman" w:cs="Times New Roman"/>
                <w:color w:val="000000" w:themeColor="text1"/>
              </w:rPr>
              <w:t>Phusion HS II</w:t>
            </w:r>
          </w:p>
        </w:tc>
        <w:tc>
          <w:tcPr>
            <w:tcW w:w="3119" w:type="dxa"/>
          </w:tcPr>
          <w:p w14:paraId="0626D552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72AA5">
              <w:rPr>
                <w:rFonts w:ascii="Times New Roman" w:hAnsi="Times New Roman" w:cs="Times New Roman"/>
                <w:color w:val="000000" w:themeColor="text1"/>
              </w:rPr>
              <w:t>2.7</w:t>
            </w:r>
            <w:r>
              <w:rPr>
                <w:rFonts w:ascii="Times New Roman" w:hAnsi="Times New Roman" w:cs="Times New Roman"/>
                <w:color w:val="000000" w:themeColor="text1"/>
              </w:rPr>
              <w:t>3, 3.27</w:t>
            </w:r>
          </w:p>
        </w:tc>
        <w:tc>
          <w:tcPr>
            <w:tcW w:w="2834" w:type="dxa"/>
          </w:tcPr>
          <w:p w14:paraId="1AD24D69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2.91, 6.92</w:t>
            </w:r>
          </w:p>
        </w:tc>
      </w:tr>
      <w:tr w:rsidR="00AC3DBC" w:rsidRPr="00E72AA5" w14:paraId="63B13BE1" w14:textId="77777777" w:rsidTr="002011C2">
        <w:tc>
          <w:tcPr>
            <w:tcW w:w="3397" w:type="dxa"/>
          </w:tcPr>
          <w:p w14:paraId="7171B2DD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72AA5">
              <w:rPr>
                <w:rFonts w:ascii="Times New Roman" w:hAnsi="Times New Roman" w:cs="Times New Roman"/>
                <w:color w:val="000000" w:themeColor="text1"/>
              </w:rPr>
              <w:t>AccuPrime</w:t>
            </w:r>
            <w:proofErr w:type="spellEnd"/>
            <w:r w:rsidRPr="00E72AA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23144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Pfx</w:t>
            </w:r>
            <w:proofErr w:type="spellEnd"/>
          </w:p>
        </w:tc>
        <w:tc>
          <w:tcPr>
            <w:tcW w:w="3119" w:type="dxa"/>
          </w:tcPr>
          <w:p w14:paraId="31E7B54F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5.52, </w:t>
            </w:r>
            <w:r w:rsidRPr="00E72AA5">
              <w:rPr>
                <w:rFonts w:ascii="Times New Roman" w:hAnsi="Times New Roman" w:cs="Times New Roman"/>
                <w:color w:val="000000" w:themeColor="text1"/>
              </w:rPr>
              <w:t>7.12</w:t>
            </w:r>
          </w:p>
        </w:tc>
        <w:tc>
          <w:tcPr>
            <w:tcW w:w="2834" w:type="dxa"/>
          </w:tcPr>
          <w:p w14:paraId="21235644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AC3DBC" w:rsidRPr="00E72AA5" w14:paraId="56F247D1" w14:textId="77777777" w:rsidTr="002011C2">
        <w:tc>
          <w:tcPr>
            <w:tcW w:w="3397" w:type="dxa"/>
          </w:tcPr>
          <w:p w14:paraId="21530407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72AA5">
              <w:rPr>
                <w:rFonts w:ascii="Times New Roman" w:hAnsi="Times New Roman" w:cs="Times New Roman"/>
                <w:color w:val="000000" w:themeColor="text1"/>
              </w:rPr>
              <w:t>AccuPrime</w:t>
            </w:r>
            <w:proofErr w:type="spellEnd"/>
            <w:r w:rsidRPr="00E72AA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23144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Taq</w:t>
            </w:r>
            <w:r w:rsidRPr="00E72AA5">
              <w:rPr>
                <w:rFonts w:ascii="Times New Roman" w:hAnsi="Times New Roman" w:cs="Times New Roman"/>
                <w:color w:val="000000" w:themeColor="text1"/>
              </w:rPr>
              <w:t xml:space="preserve"> HF</w:t>
            </w:r>
          </w:p>
        </w:tc>
        <w:tc>
          <w:tcPr>
            <w:tcW w:w="3119" w:type="dxa"/>
          </w:tcPr>
          <w:p w14:paraId="08CE397E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0.987, </w:t>
            </w:r>
            <w:r w:rsidRPr="00E72AA5">
              <w:rPr>
                <w:rFonts w:ascii="Times New Roman" w:hAnsi="Times New Roman" w:cs="Times New Roman"/>
                <w:color w:val="000000" w:themeColor="text1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</w:rPr>
              <w:t>78</w:t>
            </w:r>
          </w:p>
        </w:tc>
        <w:tc>
          <w:tcPr>
            <w:tcW w:w="2834" w:type="dxa"/>
          </w:tcPr>
          <w:p w14:paraId="6A804C0C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2.34, 9.20</w:t>
            </w:r>
          </w:p>
        </w:tc>
      </w:tr>
      <w:tr w:rsidR="00AC3DBC" w:rsidRPr="00E72AA5" w14:paraId="2DBDF803" w14:textId="77777777" w:rsidTr="002011C2">
        <w:tc>
          <w:tcPr>
            <w:tcW w:w="3397" w:type="dxa"/>
          </w:tcPr>
          <w:p w14:paraId="27BA0680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Ex</w:t>
            </w:r>
            <w:r w:rsidRPr="00F7294F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Taq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HS</w:t>
            </w:r>
          </w:p>
        </w:tc>
        <w:tc>
          <w:tcPr>
            <w:tcW w:w="3119" w:type="dxa"/>
          </w:tcPr>
          <w:p w14:paraId="269833B8" w14:textId="77777777" w:rsidR="00AC3DBC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834" w:type="dxa"/>
          </w:tcPr>
          <w:p w14:paraId="3804DDCE" w14:textId="77777777" w:rsidR="00AC3DBC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2.70, 4.36</w:t>
            </w:r>
          </w:p>
        </w:tc>
      </w:tr>
      <w:tr w:rsidR="00AC3DBC" w:rsidRPr="00E72AA5" w14:paraId="5833C156" w14:textId="77777777" w:rsidTr="002011C2">
        <w:tc>
          <w:tcPr>
            <w:tcW w:w="3397" w:type="dxa"/>
          </w:tcPr>
          <w:p w14:paraId="6BE04C33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Immolase</w:t>
            </w:r>
            <w:proofErr w:type="spellEnd"/>
          </w:p>
        </w:tc>
        <w:tc>
          <w:tcPr>
            <w:tcW w:w="3119" w:type="dxa"/>
          </w:tcPr>
          <w:p w14:paraId="16D83AD0" w14:textId="77777777" w:rsidR="00AC3DBC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3.56, 4.68</w:t>
            </w:r>
          </w:p>
        </w:tc>
        <w:tc>
          <w:tcPr>
            <w:tcW w:w="2834" w:type="dxa"/>
          </w:tcPr>
          <w:p w14:paraId="005501D4" w14:textId="77777777" w:rsidR="00AC3DBC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AC3DBC" w:rsidRPr="00E72AA5" w14:paraId="77CC77AF" w14:textId="77777777" w:rsidTr="002011C2">
        <w:tc>
          <w:tcPr>
            <w:tcW w:w="3397" w:type="dxa"/>
          </w:tcPr>
          <w:p w14:paraId="548CD73C" w14:textId="77777777" w:rsidR="00AC3DBC" w:rsidRPr="00D055B4" w:rsidRDefault="00AC3DBC" w:rsidP="002011C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055B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Polymerase in adaptor PCR</w:t>
            </w:r>
          </w:p>
        </w:tc>
        <w:tc>
          <w:tcPr>
            <w:tcW w:w="5953" w:type="dxa"/>
            <w:gridSpan w:val="2"/>
          </w:tcPr>
          <w:p w14:paraId="3A29FC9A" w14:textId="77777777" w:rsidR="00AC3DBC" w:rsidRPr="00D055B4" w:rsidRDefault="00AC3DBC" w:rsidP="002011C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055B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Qubit concentration (ng/µL)</w:t>
            </w:r>
          </w:p>
        </w:tc>
      </w:tr>
      <w:tr w:rsidR="00AC3DBC" w:rsidRPr="00E72AA5" w14:paraId="4BDBC01D" w14:textId="77777777" w:rsidTr="002011C2">
        <w:tc>
          <w:tcPr>
            <w:tcW w:w="3397" w:type="dxa"/>
          </w:tcPr>
          <w:p w14:paraId="7A18694F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72AA5">
              <w:rPr>
                <w:rFonts w:ascii="Times New Roman" w:hAnsi="Times New Roman" w:cs="Times New Roman"/>
                <w:color w:val="000000" w:themeColor="text1"/>
              </w:rPr>
              <w:t>Phusion HS II</w:t>
            </w:r>
          </w:p>
        </w:tc>
        <w:tc>
          <w:tcPr>
            <w:tcW w:w="3119" w:type="dxa"/>
          </w:tcPr>
          <w:p w14:paraId="158CFBE8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2.05, 3.28</w:t>
            </w:r>
          </w:p>
        </w:tc>
        <w:tc>
          <w:tcPr>
            <w:tcW w:w="2834" w:type="dxa"/>
          </w:tcPr>
          <w:p w14:paraId="5CA89EAA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3.33, 5.28</w:t>
            </w:r>
          </w:p>
        </w:tc>
      </w:tr>
      <w:tr w:rsidR="00AC3DBC" w:rsidRPr="00E72AA5" w14:paraId="0EAC94B7" w14:textId="77777777" w:rsidTr="002011C2">
        <w:tc>
          <w:tcPr>
            <w:tcW w:w="3397" w:type="dxa"/>
          </w:tcPr>
          <w:p w14:paraId="48660901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72AA5">
              <w:rPr>
                <w:rFonts w:ascii="Times New Roman" w:hAnsi="Times New Roman" w:cs="Times New Roman"/>
                <w:color w:val="000000" w:themeColor="text1"/>
              </w:rPr>
              <w:t>AccuPrime</w:t>
            </w:r>
            <w:proofErr w:type="spellEnd"/>
            <w:r w:rsidRPr="00E72AA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23144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Pfx</w:t>
            </w:r>
            <w:proofErr w:type="spellEnd"/>
          </w:p>
        </w:tc>
        <w:tc>
          <w:tcPr>
            <w:tcW w:w="3119" w:type="dxa"/>
          </w:tcPr>
          <w:p w14:paraId="0D74377E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1.04, 1.32</w:t>
            </w:r>
          </w:p>
        </w:tc>
        <w:tc>
          <w:tcPr>
            <w:tcW w:w="2834" w:type="dxa"/>
          </w:tcPr>
          <w:p w14:paraId="3E81A53B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AC3DBC" w:rsidRPr="00E72AA5" w14:paraId="5C96AE0E" w14:textId="77777777" w:rsidTr="002011C2">
        <w:tc>
          <w:tcPr>
            <w:tcW w:w="3397" w:type="dxa"/>
          </w:tcPr>
          <w:p w14:paraId="0DD1E083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72AA5">
              <w:rPr>
                <w:rFonts w:ascii="Times New Roman" w:hAnsi="Times New Roman" w:cs="Times New Roman"/>
                <w:color w:val="000000" w:themeColor="text1"/>
              </w:rPr>
              <w:t>AccuPrime</w:t>
            </w:r>
            <w:proofErr w:type="spellEnd"/>
            <w:r w:rsidRPr="00E72AA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23144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Taq</w:t>
            </w:r>
            <w:r w:rsidRPr="00E72AA5">
              <w:rPr>
                <w:rFonts w:ascii="Times New Roman" w:hAnsi="Times New Roman" w:cs="Times New Roman"/>
                <w:color w:val="000000" w:themeColor="text1"/>
              </w:rPr>
              <w:t xml:space="preserve"> HF</w:t>
            </w:r>
          </w:p>
        </w:tc>
        <w:tc>
          <w:tcPr>
            <w:tcW w:w="3119" w:type="dxa"/>
          </w:tcPr>
          <w:p w14:paraId="479EC5A0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0.463, 1.03</w:t>
            </w:r>
          </w:p>
        </w:tc>
        <w:tc>
          <w:tcPr>
            <w:tcW w:w="2834" w:type="dxa"/>
          </w:tcPr>
          <w:p w14:paraId="31106245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1.36, 3.00</w:t>
            </w:r>
          </w:p>
        </w:tc>
      </w:tr>
      <w:tr w:rsidR="00AC3DBC" w:rsidRPr="00E72AA5" w14:paraId="7C2F691D" w14:textId="77777777" w:rsidTr="002011C2">
        <w:tc>
          <w:tcPr>
            <w:tcW w:w="3397" w:type="dxa"/>
          </w:tcPr>
          <w:p w14:paraId="1BA049BF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Ex</w:t>
            </w:r>
            <w:r w:rsidRPr="00F7294F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Taq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HS</w:t>
            </w:r>
          </w:p>
        </w:tc>
        <w:tc>
          <w:tcPr>
            <w:tcW w:w="3119" w:type="dxa"/>
          </w:tcPr>
          <w:p w14:paraId="6F39E51F" w14:textId="77777777" w:rsidR="00AC3DBC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1.41, 2.97</w:t>
            </w:r>
          </w:p>
        </w:tc>
        <w:tc>
          <w:tcPr>
            <w:tcW w:w="2834" w:type="dxa"/>
          </w:tcPr>
          <w:p w14:paraId="1B17D412" w14:textId="77777777" w:rsidR="00AC3DBC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2.70, 4.36</w:t>
            </w:r>
          </w:p>
        </w:tc>
      </w:tr>
      <w:tr w:rsidR="00AC3DBC" w:rsidRPr="00E72AA5" w14:paraId="46343351" w14:textId="77777777" w:rsidTr="002011C2">
        <w:tc>
          <w:tcPr>
            <w:tcW w:w="3397" w:type="dxa"/>
          </w:tcPr>
          <w:p w14:paraId="41E06EAD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72AA5">
              <w:rPr>
                <w:rFonts w:ascii="Times New Roman" w:hAnsi="Times New Roman" w:cs="Times New Roman"/>
                <w:color w:val="000000" w:themeColor="text1"/>
              </w:rPr>
              <w:t>Immolase</w:t>
            </w:r>
            <w:proofErr w:type="spellEnd"/>
          </w:p>
        </w:tc>
        <w:tc>
          <w:tcPr>
            <w:tcW w:w="3119" w:type="dxa"/>
          </w:tcPr>
          <w:p w14:paraId="5A02C77A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1.03, 1.72</w:t>
            </w:r>
          </w:p>
        </w:tc>
        <w:tc>
          <w:tcPr>
            <w:tcW w:w="2834" w:type="dxa"/>
          </w:tcPr>
          <w:p w14:paraId="37AB6AFD" w14:textId="77777777" w:rsidR="00AC3DBC" w:rsidRPr="00E72AA5" w:rsidRDefault="00AC3DBC" w:rsidP="002011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2.20, 5.35</w:t>
            </w:r>
          </w:p>
        </w:tc>
      </w:tr>
    </w:tbl>
    <w:p w14:paraId="61EE8219" w14:textId="77777777" w:rsidR="00421C7F" w:rsidRDefault="00421C7F"/>
    <w:sectPr w:rsidR="00421C7F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BDFBE" w14:textId="77777777" w:rsidR="00D9310A" w:rsidRDefault="00D9310A" w:rsidP="00ED7A91">
      <w:pPr>
        <w:spacing w:after="0" w:line="240" w:lineRule="auto"/>
      </w:pPr>
      <w:r>
        <w:separator/>
      </w:r>
    </w:p>
  </w:endnote>
  <w:endnote w:type="continuationSeparator" w:id="0">
    <w:p w14:paraId="2ED893DC" w14:textId="77777777" w:rsidR="00D9310A" w:rsidRDefault="00D9310A" w:rsidP="00ED7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83498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93D788" w14:textId="5DC1469E" w:rsidR="00ED7A91" w:rsidRDefault="00ED7A9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B57771" w14:textId="77777777" w:rsidR="00ED7A91" w:rsidRDefault="00ED7A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40440" w14:textId="77777777" w:rsidR="00D9310A" w:rsidRDefault="00D9310A" w:rsidP="00ED7A91">
      <w:pPr>
        <w:spacing w:after="0" w:line="240" w:lineRule="auto"/>
      </w:pPr>
      <w:r>
        <w:separator/>
      </w:r>
    </w:p>
  </w:footnote>
  <w:footnote w:type="continuationSeparator" w:id="0">
    <w:p w14:paraId="17DCCE70" w14:textId="77777777" w:rsidR="00D9310A" w:rsidRDefault="00D9310A" w:rsidP="00ED7A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DBC"/>
    <w:rsid w:val="00172AD6"/>
    <w:rsid w:val="0032325D"/>
    <w:rsid w:val="00421C7F"/>
    <w:rsid w:val="008E678E"/>
    <w:rsid w:val="00AC3DBC"/>
    <w:rsid w:val="00D9310A"/>
    <w:rsid w:val="00ED0BAA"/>
    <w:rsid w:val="00ED7A91"/>
    <w:rsid w:val="00F3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732606"/>
  <w15:chartTrackingRefBased/>
  <w15:docId w15:val="{4CAB98D2-BC5D-49EC-9AA8-0B83FF204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DBC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3DB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3DB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DB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DB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DB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DB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DB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DB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DB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DB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C3D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DB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DB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DB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D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D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D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D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D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3D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DB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3D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DBC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AC3D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DBC"/>
    <w:pPr>
      <w:spacing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AC3DB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DB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DB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DBC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AC3DBC"/>
    <w:pPr>
      <w:spacing w:after="0" w:line="240" w:lineRule="auto"/>
    </w:pPr>
    <w:rPr>
      <w:sz w:val="24"/>
      <w:szCs w:val="24"/>
    </w:rPr>
    <w:tblPr/>
  </w:style>
  <w:style w:type="paragraph" w:styleId="Caption">
    <w:name w:val="caption"/>
    <w:basedOn w:val="Normal"/>
    <w:next w:val="Normal"/>
    <w:uiPriority w:val="35"/>
    <w:unhideWhenUsed/>
    <w:qFormat/>
    <w:rsid w:val="00AC3DB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D7A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7A9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D7A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7A9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Hedman</dc:creator>
  <cp:keywords/>
  <dc:description/>
  <cp:lastModifiedBy>Johannes Hedman</cp:lastModifiedBy>
  <cp:revision>3</cp:revision>
  <cp:lastPrinted>2025-11-25T15:08:00Z</cp:lastPrinted>
  <dcterms:created xsi:type="dcterms:W3CDTF">2025-11-25T15:03:00Z</dcterms:created>
  <dcterms:modified xsi:type="dcterms:W3CDTF">2025-11-28T08:21:00Z</dcterms:modified>
</cp:coreProperties>
</file>