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88E9" w14:textId="77777777" w:rsidR="00683635" w:rsidRDefault="00000000" w:rsidP="001A3EA7">
      <w:pPr>
        <w:widowControl/>
        <w:spacing w:line="480" w:lineRule="auto"/>
        <w:jc w:val="left"/>
        <w:outlineLvl w:val="5"/>
        <w:rPr>
          <w:rFonts w:ascii="Arial" w:eastAsia="等线" w:hAnsi="Arial" w:cs="Arial"/>
        </w:rPr>
      </w:pPr>
      <w:r>
        <w:rPr>
          <w:rFonts w:ascii="Arial" w:eastAsia="等线" w:hAnsi="Arial" w:cs="Arial"/>
          <w:sz w:val="24"/>
          <w:szCs w:val="24"/>
        </w:rPr>
        <w:t xml:space="preserve">Supplementary </w:t>
      </w:r>
      <w:r>
        <w:rPr>
          <w:rFonts w:ascii="Arial" w:eastAsia="等线" w:hAnsi="Arial" w:cs="Arial" w:hint="eastAsia"/>
          <w:sz w:val="24"/>
          <w:szCs w:val="24"/>
        </w:rPr>
        <w:t>Figure</w:t>
      </w:r>
    </w:p>
    <w:p w14:paraId="660A097D" w14:textId="77777777" w:rsidR="00683635" w:rsidRDefault="00000000">
      <w:pPr>
        <w:rPr>
          <w:rFonts w:ascii="等线" w:eastAsia="等线" w:hAnsi="等线" w:cs="Times New Roman" w:hint="eastAsia"/>
        </w:rPr>
      </w:pPr>
      <w:r>
        <w:rPr>
          <w:rFonts w:ascii="Arial" w:eastAsia="等线" w:hAnsi="Arial" w:cs="Arial"/>
        </w:rPr>
        <w:t xml:space="preserve">  </w:t>
      </w:r>
      <w:r>
        <w:rPr>
          <w:rFonts w:ascii="等线" w:eastAsia="等线" w:hAnsi="等线" w:cs="Times New Roman"/>
          <w:noProof/>
        </w:rPr>
        <w:drawing>
          <wp:inline distT="0" distB="0" distL="0" distR="0" wp14:anchorId="53CEF17E" wp14:editId="4513580C">
            <wp:extent cx="5274310" cy="4338955"/>
            <wp:effectExtent l="0" t="0" r="2540" b="4445"/>
            <wp:docPr id="21194141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14192"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4338955"/>
                    </a:xfrm>
                    <a:prstGeom prst="rect">
                      <a:avLst/>
                    </a:prstGeom>
                    <a:noFill/>
                    <a:ln>
                      <a:noFill/>
                    </a:ln>
                  </pic:spPr>
                </pic:pic>
              </a:graphicData>
            </a:graphic>
          </wp:inline>
        </w:drawing>
      </w:r>
    </w:p>
    <w:p w14:paraId="2A1AFF1E" w14:textId="77777777" w:rsidR="00683635" w:rsidRPr="00DA6FC0" w:rsidRDefault="00000000" w:rsidP="001A3EA7">
      <w:pPr>
        <w:keepNext/>
        <w:widowControl/>
        <w:spacing w:line="480" w:lineRule="auto"/>
        <w:jc w:val="left"/>
        <w:outlineLvl w:val="6"/>
        <w:rPr>
          <w:rFonts w:ascii="Arial" w:hAnsi="Arial" w:cs="Arial"/>
          <w:b/>
          <w:bCs/>
          <w:sz w:val="24"/>
          <w:szCs w:val="24"/>
        </w:rPr>
      </w:pPr>
      <w:bookmarkStart w:id="0" w:name="_Ref231915787"/>
      <w:r w:rsidRPr="00DA6FC0">
        <w:rPr>
          <w:rFonts w:ascii="Arial" w:hAnsi="Arial" w:cs="Arial" w:hint="eastAsia"/>
          <w:b/>
          <w:bCs/>
          <w:sz w:val="24"/>
          <w:szCs w:val="24"/>
        </w:rPr>
        <w:t>Figure S</w:t>
      </w:r>
      <w:bookmarkEnd w:id="0"/>
      <w:r w:rsidRPr="00DA6FC0">
        <w:rPr>
          <w:rFonts w:ascii="Arial" w:hAnsi="Arial" w:cs="Arial" w:hint="eastAsia"/>
          <w:b/>
          <w:bCs/>
          <w:sz w:val="24"/>
          <w:szCs w:val="24"/>
        </w:rPr>
        <w:t>1 Inter-organ methylation divergence and endothelial-specific DMR functional annotation</w:t>
      </w:r>
    </w:p>
    <w:p w14:paraId="42965E2F"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(a)Boxplots showing the distribution of inter-organ methylation distances ac</w:t>
      </w:r>
      <w:r w:rsidRPr="001A3EA7">
        <w:rPr>
          <w:rFonts w:ascii="Arial" w:hAnsi="Arial" w:cs="Arial"/>
          <w:sz w:val="24"/>
          <w:szCs w:val="24"/>
        </w:rPr>
        <w:t xml:space="preserve">ross four major cell lineages: epithelial cells (EPC), endothelial cells (ENC), fibroblasts (Fibro), and smooth muscle cells (SMC). </w:t>
      </w:r>
      <w:r w:rsidRPr="001A3EA7">
        <w:rPr>
          <w:rFonts w:ascii="Arial" w:hAnsi="Arial" w:cs="Arial" w:hint="eastAsia"/>
          <w:sz w:val="24"/>
          <w:szCs w:val="24"/>
        </w:rPr>
        <w:t>Distances were calculated using lineage-specific DMRs and quantified by Euclidean distance (left</w:t>
      </w:r>
      <w:r w:rsidRPr="001A3EA7">
        <w:rPr>
          <w:rFonts w:ascii="Arial" w:hAnsi="Arial" w:cs="Arial"/>
          <w:sz w:val="24"/>
          <w:szCs w:val="24"/>
        </w:rPr>
        <w:t>) and correlation distance (1 − Pearson correlation coefficient; right). Each box represents all pairwise comparisons between samples originating from different organs within the same lineage. Statistical significance was assessed using pairwise Wilcoxon r</w:t>
      </w:r>
      <w:r w:rsidRPr="001A3EA7">
        <w:rPr>
          <w:rFonts w:ascii="Arial" w:hAnsi="Arial" w:cs="Arial" w:hint="eastAsia"/>
          <w:sz w:val="24"/>
          <w:szCs w:val="24"/>
        </w:rPr>
        <w:t>ank-sum tests with false discovery rate (FDR) correction. Center lines indicate medians, boxes represent interquartile ranges (IQRs), and whiskers extend to 1.5</w:t>
      </w:r>
      <w:r w:rsidRPr="001A3EA7">
        <w:rPr>
          <w:rFonts w:ascii="等线" w:eastAsia="等线" w:hAnsi="等线" w:cs="Arial" w:hint="eastAsia"/>
          <w:sz w:val="24"/>
          <w:szCs w:val="24"/>
        </w:rPr>
        <w:t>ⅹ</w:t>
      </w:r>
      <w:r w:rsidRPr="001A3EA7">
        <w:rPr>
          <w:rFonts w:ascii="Arial" w:hAnsi="Arial" w:cs="Arial" w:hint="eastAsia"/>
          <w:sz w:val="24"/>
          <w:szCs w:val="24"/>
        </w:rPr>
        <w:t>IQR. Significance levels: *p&lt;0.05, **p&lt;0.01, ***p&lt;0.001, ns, not significant.</w:t>
      </w:r>
    </w:p>
    <w:p w14:paraId="1DA817F4"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 xml:space="preserve">(b) Heatmaps of mean inter-organ correlation distance within each cell lineage. Color intensity ranges from blue (low distance, high methylation similarity) to red (high distance, low methylation </w:t>
      </w:r>
      <w:r w:rsidRPr="001A3EA7">
        <w:rPr>
          <w:rFonts w:ascii="Arial" w:hAnsi="Arial" w:cs="Arial" w:hint="eastAsia"/>
          <w:sz w:val="24"/>
          <w:szCs w:val="24"/>
        </w:rPr>
        <w:lastRenderedPageBreak/>
        <w:t>similarity), with numerical values indicating the average correlation distance between paired organs.</w:t>
      </w:r>
    </w:p>
    <w:p w14:paraId="54ABAE2D"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(c) Heatmaps showing the mean inter-organ Euclidean distance within each lineage. Values correspond to the average Euclidean distance calculated across lineage-specific DMRs for each organ pair. Higher values indicate greater methylation differences between organs.</w:t>
      </w:r>
    </w:p>
    <w:p w14:paraId="5945D993"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(d) ChromHMM chromatin state enrichment analysis of tissue-specific DMRs from three blood immune cell types (NK cells, B cells, and CD8+ T cells). The y-axis represents the fold enrichment of DMRs in each chromatin state relative to the genomic background. Values above the dashed line (fold enrichment = 1) indicate significant enrichment, while values below indicate depletion.</w:t>
      </w:r>
    </w:p>
    <w:p w14:paraId="67B8C573"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(e) Heatmap displaying DNA methylation levels of 700 endothelial cell-specific DMRs across 7 tissue-derived endothelial cell types. Rows represent cell types, columns represent individual DMRs, and color intensity indicates average methylation level ranging from 0 (blue, hypomethylation) to 1 (yellow, hypermethylation).</w:t>
      </w:r>
    </w:p>
    <w:p w14:paraId="367BBFF1"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(f) Pie chart illustrating the genomic distribution of the 700 endothelial-specific DMRs across promoter, exon, intron, and intergenic regions.</w:t>
      </w:r>
    </w:p>
    <w:p w14:paraId="447F615C"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hint="eastAsia"/>
          <w:sz w:val="24"/>
          <w:szCs w:val="24"/>
        </w:rPr>
        <w:t>(g) Enhancer-state annotation of the 700 ENC-specific methylation regions. The upper panel summarizes the overall distribution of enhancer categories, whereas the lower panel shows the proportion of each enhancer subtype across individual cell types using stacked bar plots.</w:t>
      </w:r>
    </w:p>
    <w:p w14:paraId="65C6D3F8" w14:textId="77777777" w:rsidR="001A3EA7" w:rsidRPr="001A3EA7" w:rsidRDefault="001A3EA7" w:rsidP="001A3EA7">
      <w:pPr>
        <w:widowControl/>
        <w:snapToGrid w:val="0"/>
        <w:spacing w:line="480" w:lineRule="auto"/>
        <w:jc w:val="left"/>
        <w:rPr>
          <w:rFonts w:ascii="Arial" w:hAnsi="Arial" w:cs="Arial"/>
          <w:sz w:val="24"/>
          <w:szCs w:val="24"/>
        </w:rPr>
      </w:pPr>
      <w:r w:rsidRPr="001A3EA7">
        <w:rPr>
          <w:rFonts w:ascii="Arial" w:hAnsi="Arial" w:cs="Arial"/>
          <w:sz w:val="24"/>
          <w:szCs w:val="24"/>
        </w:rPr>
        <w:t xml:space="preserve">Abbreviations: </w:t>
      </w:r>
      <w:r w:rsidRPr="001A3EA7">
        <w:rPr>
          <w:rFonts w:ascii="Arial" w:hAnsi="Arial" w:cs="Arial" w:hint="eastAsia"/>
          <w:sz w:val="24"/>
          <w:szCs w:val="24"/>
        </w:rPr>
        <w:t>pELS , proximal enhancer-like ; dELS , distal enhancer-like ;ENC, endothelial cell;</w:t>
      </w:r>
      <w:r w:rsidRPr="001A3EA7">
        <w:rPr>
          <w:rFonts w:ascii="Arial" w:hAnsi="Arial" w:cs="Arial"/>
          <w:sz w:val="24"/>
          <w:szCs w:val="24"/>
        </w:rPr>
        <w:t xml:space="preserve"> </w:t>
      </w:r>
      <w:r w:rsidRPr="001A3EA7">
        <w:rPr>
          <w:rFonts w:ascii="Arial" w:hAnsi="Arial" w:cs="Arial" w:hint="eastAsia"/>
          <w:sz w:val="24"/>
          <w:szCs w:val="24"/>
        </w:rPr>
        <w:t>EPC,</w:t>
      </w:r>
      <w:r w:rsidRPr="001A3EA7">
        <w:rPr>
          <w:rFonts w:ascii="Arial" w:hAnsi="Arial" w:cs="Arial"/>
          <w:sz w:val="24"/>
          <w:szCs w:val="24"/>
        </w:rPr>
        <w:t>epithelial cells</w:t>
      </w:r>
      <w:r w:rsidRPr="001A3EA7">
        <w:rPr>
          <w:rFonts w:ascii="Arial" w:hAnsi="Arial" w:cs="Arial" w:hint="eastAsia"/>
          <w:sz w:val="24"/>
          <w:szCs w:val="24"/>
        </w:rPr>
        <w:t>;Fibro,</w:t>
      </w:r>
      <w:r w:rsidRPr="001A3EA7">
        <w:rPr>
          <w:rFonts w:ascii="Arial" w:hAnsi="Arial" w:cs="Arial"/>
          <w:sz w:val="24"/>
          <w:szCs w:val="24"/>
        </w:rPr>
        <w:t xml:space="preserve"> fibroblasts</w:t>
      </w:r>
      <w:r w:rsidRPr="001A3EA7">
        <w:rPr>
          <w:rFonts w:ascii="Arial" w:hAnsi="Arial" w:cs="Arial" w:hint="eastAsia"/>
          <w:sz w:val="24"/>
          <w:szCs w:val="24"/>
        </w:rPr>
        <w:t>;SMC,</w:t>
      </w:r>
      <w:r w:rsidRPr="001A3EA7">
        <w:rPr>
          <w:rFonts w:ascii="Arial" w:hAnsi="Arial" w:cs="Arial"/>
          <w:sz w:val="24"/>
          <w:szCs w:val="24"/>
        </w:rPr>
        <w:t xml:space="preserve"> smooth muscle cells</w:t>
      </w:r>
    </w:p>
    <w:p w14:paraId="58C24CD8" w14:textId="565E1514" w:rsidR="00683635" w:rsidRDefault="001A3EA7">
      <w:pPr>
        <w:widowControl/>
        <w:spacing w:line="480" w:lineRule="auto"/>
        <w:ind w:firstLineChars="50" w:firstLine="105"/>
        <w:jc w:val="left"/>
        <w:rPr>
          <w:rFonts w:ascii="Arial" w:eastAsia="等线" w:hAnsi="Arial" w:cs="Arial"/>
          <w:sz w:val="24"/>
          <w:szCs w:val="24"/>
        </w:rPr>
      </w:pPr>
      <w:r>
        <w:rPr>
          <w:noProof/>
        </w:rPr>
        <w:lastRenderedPageBreak/>
        <w:drawing>
          <wp:inline distT="0" distB="0" distL="0" distR="0" wp14:anchorId="725B78AE" wp14:editId="3A3191F0">
            <wp:extent cx="6123940" cy="7198995"/>
            <wp:effectExtent l="0" t="0" r="0" b="1905"/>
            <wp:docPr id="20353999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3940" cy="7198995"/>
                    </a:xfrm>
                    <a:prstGeom prst="rect">
                      <a:avLst/>
                    </a:prstGeom>
                    <a:noFill/>
                    <a:ln>
                      <a:noFill/>
                    </a:ln>
                  </pic:spPr>
                </pic:pic>
              </a:graphicData>
            </a:graphic>
          </wp:inline>
        </w:drawing>
      </w:r>
    </w:p>
    <w:p w14:paraId="310AEC96" w14:textId="77777777" w:rsidR="00683635" w:rsidRPr="00DA6FC0" w:rsidRDefault="00000000" w:rsidP="001A3EA7">
      <w:pPr>
        <w:widowControl/>
        <w:spacing w:line="480" w:lineRule="auto"/>
        <w:jc w:val="left"/>
        <w:outlineLvl w:val="6"/>
        <w:rPr>
          <w:rFonts w:ascii="Arial" w:eastAsia="黑体" w:hAnsi="Arial" w:cs="Arial"/>
          <w:b/>
          <w:bCs/>
          <w:sz w:val="24"/>
          <w:szCs w:val="24"/>
        </w:rPr>
      </w:pPr>
      <w:bookmarkStart w:id="1" w:name="_Ref218192223"/>
      <w:r w:rsidRPr="00DA6FC0">
        <w:rPr>
          <w:rFonts w:ascii="Arial" w:eastAsia="黑体" w:hAnsi="Arial" w:cs="Arial"/>
          <w:b/>
          <w:bCs/>
          <w:sz w:val="24"/>
          <w:szCs w:val="24"/>
        </w:rPr>
        <w:t>Figure S</w:t>
      </w:r>
      <w:bookmarkEnd w:id="1"/>
      <w:r w:rsidRPr="00DA6FC0">
        <w:rPr>
          <w:rFonts w:ascii="Arial" w:eastAsia="黑体" w:hAnsi="Arial" w:cs="Arial" w:hint="eastAsia"/>
          <w:b/>
          <w:bCs/>
          <w:sz w:val="24"/>
          <w:szCs w:val="24"/>
        </w:rPr>
        <w:t>2</w:t>
      </w:r>
      <w:r w:rsidRPr="00DA6FC0">
        <w:rPr>
          <w:rFonts w:ascii="Arial" w:eastAsia="黑体" w:hAnsi="Arial" w:cs="Arial"/>
          <w:b/>
          <w:bCs/>
          <w:sz w:val="24"/>
          <w:szCs w:val="24"/>
        </w:rPr>
        <w:t xml:space="preserve"> Kidney-Related Cell-Specific Methylation Characteristics: Differences, Profiles, and DMC/DMR Analyses</w:t>
      </w:r>
    </w:p>
    <w:p w14:paraId="0B230279"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(a)Box plots show the methylation difference values of multiple kidney cell markers.</w:t>
      </w:r>
      <w:r>
        <w:rPr>
          <w:rFonts w:ascii="Arial" w:eastAsia="等线" w:hAnsi="Arial" w:cs="Arial"/>
          <w:shd w:val="clear" w:color="auto" w:fill="FFFFFF"/>
        </w:rPr>
        <w:t xml:space="preserve"> </w:t>
      </w:r>
      <w:r>
        <w:rPr>
          <w:rFonts w:ascii="Arial" w:eastAsia="等线" w:hAnsi="Arial" w:cs="Arial"/>
          <w:sz w:val="24"/>
          <w:szCs w:val="24"/>
        </w:rPr>
        <w:t xml:space="preserve">Each entry corresponds to a kidney cell type, with blue box plots representing the central tendency and </w:t>
      </w:r>
      <w:r>
        <w:rPr>
          <w:rFonts w:ascii="Arial" w:eastAsia="等线" w:hAnsi="Arial" w:cs="Arial"/>
          <w:sz w:val="24"/>
          <w:szCs w:val="24"/>
        </w:rPr>
        <w:lastRenderedPageBreak/>
        <w:t>spread of difference values, and error bars indicating data fluctuation.</w:t>
      </w:r>
      <w:r>
        <w:rPr>
          <w:rFonts w:ascii="Arial" w:eastAsia="等线" w:hAnsi="Arial" w:cs="Arial" w:hint="eastAsia"/>
        </w:rPr>
        <w:t xml:space="preserve"> </w:t>
      </w:r>
      <w:r>
        <w:rPr>
          <w:rFonts w:ascii="Arial" w:eastAsia="等线" w:hAnsi="Arial" w:cs="Arial" w:hint="eastAsia"/>
        </w:rPr>
        <w:t>‘</w:t>
      </w:r>
      <w:r>
        <w:rPr>
          <w:rFonts w:ascii="Arial" w:eastAsia="等线" w:hAnsi="Arial" w:cs="Arial" w:hint="eastAsia"/>
          <w:sz w:val="24"/>
          <w:szCs w:val="24"/>
        </w:rPr>
        <w:t>Sub</w:t>
      </w:r>
      <w:r>
        <w:rPr>
          <w:rFonts w:ascii="Arial" w:eastAsia="等线" w:hAnsi="Arial" w:cs="Arial"/>
          <w:sz w:val="24"/>
          <w:szCs w:val="24"/>
        </w:rPr>
        <w:t>_’ denotes subcultured cells, ‘Pri_’ denotes primary cells.</w:t>
      </w:r>
    </w:p>
    <w:p w14:paraId="5922967A"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(b)Methylation level profile of kidney cell-specific regions: The heatmap depicts the methylation levels of kidney cell-specific genomic regions (columns) across distinct kidney cell types.</w:t>
      </w:r>
    </w:p>
    <w:p w14:paraId="0287FFC1" w14:textId="7813E51A"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(c-f)</w:t>
      </w:r>
      <w:r>
        <w:rPr>
          <w:rFonts w:ascii="Arial" w:eastAsia="等线" w:hAnsi="Arial" w:cs="Arial" w:hint="eastAsia"/>
        </w:rPr>
        <w:t xml:space="preserve"> </w:t>
      </w:r>
      <w:r>
        <w:rPr>
          <w:rFonts w:ascii="Arial" w:eastAsia="等线" w:hAnsi="Arial" w:cs="Arial"/>
          <w:sz w:val="24"/>
          <w:szCs w:val="24"/>
        </w:rPr>
        <w:t>DMC/DMR analysis and genomic annotation for GENC and KTEPC. Volcano plots (left) show hyper- and hypoDMCs/DMRs for GENC (c,d) and KTEPC (e,f), with counts labeled. Right pie charts display their genomic annotations (intron, intergenic, promoter, exon).</w:t>
      </w:r>
    </w:p>
    <w:p w14:paraId="3315C05F" w14:textId="77777777" w:rsidR="001A3EA7" w:rsidRPr="001A3EA7" w:rsidRDefault="001A3EA7" w:rsidP="001A3EA7">
      <w:pPr>
        <w:snapToGrid w:val="0"/>
        <w:spacing w:line="480" w:lineRule="auto"/>
        <w:rPr>
          <w:rFonts w:ascii="Arial" w:hAnsi="Arial" w:cs="Arial"/>
          <w:sz w:val="24"/>
          <w:szCs w:val="24"/>
        </w:rPr>
      </w:pPr>
      <w:r w:rsidRPr="001A3EA7">
        <w:rPr>
          <w:rFonts w:ascii="Arial" w:hAnsi="Arial" w:cs="Arial" w:hint="eastAsia"/>
          <w:sz w:val="24"/>
          <w:szCs w:val="24"/>
        </w:rPr>
        <w:t>Abbreviations: GENC, Glomerular Endothelial Cells; KTEPC, Kidney Tubular Epithelial Cells</w:t>
      </w:r>
      <w:r w:rsidRPr="001A3EA7">
        <w:rPr>
          <w:rFonts w:ascii="Arial" w:hAnsi="Arial" w:cs="Arial" w:hint="eastAsia"/>
          <w:sz w:val="24"/>
          <w:szCs w:val="24"/>
        </w:rPr>
        <w:t>；</w:t>
      </w:r>
      <w:r w:rsidRPr="001A3EA7">
        <w:rPr>
          <w:rFonts w:ascii="Arial" w:hAnsi="Arial" w:cs="Arial" w:hint="eastAsia"/>
          <w:sz w:val="24"/>
          <w:szCs w:val="24"/>
        </w:rPr>
        <w:t xml:space="preserve">KGEPC, Kidney Glomerular Epithelial Cell; KTEPC, Kidney Tubular Epithelial Cell; </w:t>
      </w:r>
    </w:p>
    <w:p w14:paraId="6481BC93" w14:textId="77777777" w:rsidR="001A3EA7" w:rsidRPr="001A3EA7" w:rsidRDefault="001A3EA7" w:rsidP="001A3EA7">
      <w:pPr>
        <w:snapToGrid w:val="0"/>
        <w:spacing w:line="480" w:lineRule="auto"/>
        <w:rPr>
          <w:rFonts w:ascii="Arial" w:hAnsi="Arial" w:cs="Arial"/>
          <w:sz w:val="24"/>
          <w:szCs w:val="24"/>
        </w:rPr>
      </w:pPr>
      <w:r w:rsidRPr="001A3EA7">
        <w:rPr>
          <w:rFonts w:ascii="Arial" w:hAnsi="Arial" w:cs="Arial" w:hint="eastAsia"/>
          <w:sz w:val="24"/>
          <w:szCs w:val="24"/>
        </w:rPr>
        <w:t>KRMC, Renal Mesangial Cell; KGPC, Kidney glomerular epithelial cells</w:t>
      </w:r>
    </w:p>
    <w:p w14:paraId="65AE6677" w14:textId="77777777" w:rsidR="001A3EA7" w:rsidRPr="001A3EA7" w:rsidRDefault="001A3EA7">
      <w:pPr>
        <w:widowControl/>
        <w:jc w:val="left"/>
        <w:rPr>
          <w:rFonts w:ascii="Arial" w:eastAsia="等线" w:hAnsi="Arial" w:cs="Arial"/>
          <w:sz w:val="24"/>
          <w:szCs w:val="24"/>
        </w:rPr>
      </w:pPr>
    </w:p>
    <w:p w14:paraId="366B33D4" w14:textId="77777777" w:rsidR="00683635" w:rsidRDefault="00000000">
      <w:pPr>
        <w:widowControl/>
        <w:spacing w:line="480" w:lineRule="auto"/>
        <w:jc w:val="left"/>
        <w:rPr>
          <w:rFonts w:ascii="Arial" w:eastAsia="等线" w:hAnsi="Arial" w:cs="Arial"/>
          <w:sz w:val="24"/>
          <w:szCs w:val="24"/>
        </w:rPr>
      </w:pPr>
      <w:r>
        <w:rPr>
          <w:rFonts w:ascii="等线" w:eastAsia="等线" w:hAnsi="等线" w:cs="Times New Roman"/>
          <w:noProof/>
        </w:rPr>
        <w:lastRenderedPageBreak/>
        <w:drawing>
          <wp:inline distT="0" distB="0" distL="0" distR="0" wp14:anchorId="1D17D870" wp14:editId="36D70FE3">
            <wp:extent cx="6122670" cy="7205345"/>
            <wp:effectExtent l="0" t="0" r="0" b="0"/>
            <wp:docPr id="610357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5716"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122670" cy="7205345"/>
                    </a:xfrm>
                    <a:prstGeom prst="rect">
                      <a:avLst/>
                    </a:prstGeom>
                    <a:noFill/>
                    <a:ln>
                      <a:noFill/>
                    </a:ln>
                  </pic:spPr>
                </pic:pic>
              </a:graphicData>
            </a:graphic>
          </wp:inline>
        </w:drawing>
      </w:r>
    </w:p>
    <w:p w14:paraId="49B02602" w14:textId="77777777" w:rsidR="00683635" w:rsidRPr="00DA6FC0" w:rsidRDefault="00000000" w:rsidP="001A3EA7">
      <w:pPr>
        <w:widowControl/>
        <w:spacing w:line="480" w:lineRule="auto"/>
        <w:jc w:val="left"/>
        <w:outlineLvl w:val="6"/>
        <w:rPr>
          <w:rFonts w:ascii="Arial" w:eastAsia="黑体" w:hAnsi="Arial" w:cs="Arial"/>
          <w:b/>
          <w:bCs/>
          <w:sz w:val="24"/>
          <w:szCs w:val="24"/>
        </w:rPr>
      </w:pPr>
      <w:bookmarkStart w:id="2" w:name="_Ref218193221"/>
      <w:r w:rsidRPr="00DA6FC0">
        <w:rPr>
          <w:rFonts w:ascii="Arial" w:eastAsia="黑体" w:hAnsi="Arial" w:cs="Arial"/>
          <w:b/>
          <w:bCs/>
          <w:sz w:val="24"/>
          <w:szCs w:val="24"/>
        </w:rPr>
        <w:t>Figure S</w:t>
      </w:r>
      <w:bookmarkEnd w:id="2"/>
      <w:r w:rsidRPr="00DA6FC0">
        <w:rPr>
          <w:rFonts w:ascii="Arial" w:eastAsia="黑体" w:hAnsi="Arial" w:cs="Arial" w:hint="eastAsia"/>
          <w:b/>
          <w:bCs/>
          <w:sz w:val="24"/>
          <w:szCs w:val="24"/>
        </w:rPr>
        <w:t xml:space="preserve">3 </w:t>
      </w:r>
      <w:r w:rsidRPr="00DA6FC0">
        <w:rPr>
          <w:rFonts w:ascii="Arial" w:eastAsia="黑体" w:hAnsi="Arial" w:cs="Arial"/>
          <w:b/>
          <w:bCs/>
          <w:sz w:val="24"/>
          <w:szCs w:val="24"/>
        </w:rPr>
        <w:t>Additional Information Related to the Selection of Pre-Experimental Samples for the Methylated EPIC Arrays</w:t>
      </w:r>
    </w:p>
    <w:p w14:paraId="05AEEAFB"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 xml:space="preserve">(a) Hierarchical clustering of NFF samples(including NFF2_10); samples are grouped by </w:t>
      </w:r>
      <w:r>
        <w:rPr>
          <w:rFonts w:ascii="Arial" w:eastAsia="等线" w:hAnsi="Arial" w:cs="Arial" w:hint="eastAsia"/>
          <w:sz w:val="24"/>
          <w:szCs w:val="24"/>
        </w:rPr>
        <w:t>subcultured</w:t>
      </w:r>
      <w:r>
        <w:rPr>
          <w:rFonts w:ascii="Arial" w:eastAsia="等线" w:hAnsi="Arial" w:cs="Arial"/>
          <w:sz w:val="24"/>
          <w:szCs w:val="24"/>
        </w:rPr>
        <w:t xml:space="preserve"> /primary status (red: primary, blue: </w:t>
      </w:r>
      <w:r>
        <w:rPr>
          <w:rFonts w:ascii="Arial" w:eastAsia="等线" w:hAnsi="Arial" w:cs="Arial" w:hint="eastAsia"/>
          <w:sz w:val="24"/>
          <w:szCs w:val="24"/>
        </w:rPr>
        <w:t>subcultured</w:t>
      </w:r>
      <w:r>
        <w:rPr>
          <w:rFonts w:ascii="Arial" w:eastAsia="等线" w:hAnsi="Arial" w:cs="Arial"/>
          <w:sz w:val="24"/>
          <w:szCs w:val="24"/>
        </w:rPr>
        <w:t>).</w:t>
      </w:r>
      <w:r>
        <w:rPr>
          <w:rFonts w:ascii="Arial" w:eastAsia="等线" w:hAnsi="Arial" w:cs="Arial" w:hint="eastAsia"/>
        </w:rPr>
        <w:t xml:space="preserve"> </w:t>
      </w:r>
      <w:r>
        <w:rPr>
          <w:rFonts w:ascii="Arial" w:eastAsia="等线" w:hAnsi="Arial" w:cs="Arial"/>
          <w:sz w:val="24"/>
          <w:szCs w:val="24"/>
        </w:rPr>
        <w:t xml:space="preserve">NFF2_10 samples co-cultured with primary cells. </w:t>
      </w:r>
    </w:p>
    <w:p w14:paraId="227940E7"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lastRenderedPageBreak/>
        <w:t xml:space="preserve">(b) PCA plot of NFF samples methylation data, highlighting separation between </w:t>
      </w:r>
      <w:r>
        <w:rPr>
          <w:rFonts w:ascii="Arial" w:eastAsia="等线" w:hAnsi="Arial" w:cs="Arial" w:hint="eastAsia"/>
          <w:sz w:val="24"/>
          <w:szCs w:val="24"/>
        </w:rPr>
        <w:t>subcultured</w:t>
      </w:r>
      <w:r>
        <w:rPr>
          <w:rFonts w:ascii="Arial" w:eastAsia="等线" w:hAnsi="Arial" w:cs="Arial"/>
          <w:sz w:val="24"/>
          <w:szCs w:val="24"/>
        </w:rPr>
        <w:t xml:space="preserve"> /primary groups. NFF2_10 belongs to the primary cell group.</w:t>
      </w:r>
      <w:r>
        <w:rPr>
          <w:rFonts w:ascii="Arial" w:eastAsia="等线" w:hAnsi="Arial" w:cs="Arial" w:hint="eastAsia"/>
        </w:rPr>
        <w:t xml:space="preserve"> </w:t>
      </w:r>
      <w:r>
        <w:rPr>
          <w:rFonts w:ascii="Arial" w:eastAsia="等线" w:hAnsi="Arial" w:cs="Arial"/>
          <w:sz w:val="24"/>
          <w:szCs w:val="24"/>
        </w:rPr>
        <w:t>Based on the combined results of PCA and hierarchical clustering, we excluded NFF2_10 when selecting samples.</w:t>
      </w:r>
    </w:p>
    <w:p w14:paraId="20BBADB8"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(c) Heatmaps of standardized top 1000 variable CpGs across NFF, NFK, ASF, AVEC, AVSMC, and FSF groups; color intensity reflects methylation level.</w:t>
      </w:r>
    </w:p>
    <w:p w14:paraId="5B04307A" w14:textId="77777777" w:rsidR="00683635" w:rsidRDefault="00000000">
      <w:pPr>
        <w:widowControl/>
        <w:spacing w:line="480" w:lineRule="auto"/>
        <w:jc w:val="left"/>
        <w:rPr>
          <w:rFonts w:ascii="Arial" w:eastAsia="等线" w:hAnsi="Arial" w:cs="Arial"/>
          <w:sz w:val="24"/>
          <w:szCs w:val="24"/>
        </w:rPr>
      </w:pPr>
      <w:r>
        <w:rPr>
          <w:rFonts w:ascii="等线" w:eastAsia="等线" w:hAnsi="等线" w:cs="Times New Roman"/>
          <w:noProof/>
        </w:rPr>
        <w:drawing>
          <wp:inline distT="0" distB="0" distL="0" distR="0" wp14:anchorId="73895114" wp14:editId="75F84F65">
            <wp:extent cx="6122670" cy="7205345"/>
            <wp:effectExtent l="0" t="0" r="0" b="0"/>
            <wp:docPr id="1239556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5650" name="图片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122670" cy="7205345"/>
                    </a:xfrm>
                    <a:prstGeom prst="rect">
                      <a:avLst/>
                    </a:prstGeom>
                    <a:noFill/>
                    <a:ln>
                      <a:noFill/>
                    </a:ln>
                  </pic:spPr>
                </pic:pic>
              </a:graphicData>
            </a:graphic>
          </wp:inline>
        </w:drawing>
      </w:r>
    </w:p>
    <w:p w14:paraId="4AC4A0D8" w14:textId="77777777" w:rsidR="00683635" w:rsidRPr="00DA6FC0" w:rsidRDefault="00000000" w:rsidP="001A3EA7">
      <w:pPr>
        <w:widowControl/>
        <w:spacing w:line="480" w:lineRule="auto"/>
        <w:jc w:val="left"/>
        <w:outlineLvl w:val="6"/>
        <w:rPr>
          <w:rFonts w:ascii="Arial" w:eastAsia="黑体" w:hAnsi="Arial" w:cs="Arial"/>
          <w:b/>
          <w:bCs/>
          <w:sz w:val="24"/>
          <w:szCs w:val="24"/>
        </w:rPr>
      </w:pPr>
      <w:bookmarkStart w:id="3" w:name="_Ref218193378"/>
      <w:r w:rsidRPr="00DA6FC0">
        <w:rPr>
          <w:rFonts w:ascii="Arial" w:eastAsia="黑体" w:hAnsi="Arial" w:cs="Arial"/>
          <w:b/>
          <w:bCs/>
          <w:sz w:val="24"/>
          <w:szCs w:val="24"/>
        </w:rPr>
        <w:lastRenderedPageBreak/>
        <w:t>Figure S</w:t>
      </w:r>
      <w:bookmarkEnd w:id="3"/>
      <w:r w:rsidRPr="00DA6FC0">
        <w:rPr>
          <w:rFonts w:ascii="Arial" w:eastAsia="黑体" w:hAnsi="Arial" w:cs="Arial" w:hint="eastAsia"/>
          <w:b/>
          <w:bCs/>
          <w:sz w:val="24"/>
          <w:szCs w:val="24"/>
        </w:rPr>
        <w:t>4</w:t>
      </w:r>
      <w:r w:rsidRPr="00DA6FC0">
        <w:rPr>
          <w:rFonts w:ascii="Arial" w:eastAsia="黑体" w:hAnsi="Arial" w:cs="Arial"/>
          <w:b/>
          <w:bCs/>
          <w:sz w:val="24"/>
          <w:szCs w:val="24"/>
        </w:rPr>
        <w:t xml:space="preserve"> Heatmap of Sample Correlation Among Different Cell Populations in </w:t>
      </w:r>
      <w:r w:rsidRPr="00DA6FC0">
        <w:rPr>
          <w:rFonts w:ascii="Arial" w:eastAsia="黑体" w:hAnsi="Arial" w:cs="Arial" w:hint="eastAsia"/>
          <w:b/>
          <w:bCs/>
          <w:sz w:val="24"/>
          <w:szCs w:val="24"/>
        </w:rPr>
        <w:t xml:space="preserve">Pre-Experimental Samples for </w:t>
      </w:r>
      <w:r w:rsidRPr="00DA6FC0">
        <w:rPr>
          <w:rFonts w:ascii="Arial" w:eastAsia="黑体" w:hAnsi="Arial" w:cs="Arial"/>
          <w:b/>
          <w:bCs/>
          <w:sz w:val="24"/>
          <w:szCs w:val="24"/>
        </w:rPr>
        <w:t>Methylated EPIC Arrarys</w:t>
      </w:r>
    </w:p>
    <w:p w14:paraId="745B6737"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(a)</w:t>
      </w:r>
      <w:r>
        <w:rPr>
          <w:rFonts w:ascii="Arial" w:eastAsia="等线" w:hAnsi="Arial" w:cs="Arial" w:hint="eastAsia"/>
        </w:rPr>
        <w:t xml:space="preserve"> </w:t>
      </w:r>
      <w:r>
        <w:rPr>
          <w:rFonts w:ascii="Arial" w:eastAsia="等线" w:hAnsi="Arial" w:cs="Arial"/>
          <w:sz w:val="24"/>
          <w:szCs w:val="24"/>
        </w:rPr>
        <w:t>Heatmap of sample correlation for standardized genome-wide loci: Correlation is shown for samples across NFK, ASF, AVEC, AVSMMC, FSF, and NFF groups, with samples labeled by group (</w:t>
      </w:r>
      <w:r>
        <w:rPr>
          <w:rFonts w:ascii="Arial" w:eastAsia="等线" w:hAnsi="Arial" w:cs="Arial" w:hint="eastAsia"/>
          <w:sz w:val="24"/>
          <w:szCs w:val="24"/>
        </w:rPr>
        <w:t>subcultured</w:t>
      </w:r>
      <w:r>
        <w:rPr>
          <w:rFonts w:ascii="Arial" w:eastAsia="等线" w:hAnsi="Arial" w:cs="Arial"/>
          <w:sz w:val="24"/>
          <w:szCs w:val="24"/>
        </w:rPr>
        <w:t>: blue; primary: pink).</w:t>
      </w:r>
    </w:p>
    <w:p w14:paraId="7193A6A2"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(b) Heatmap of sample correlation for top 500 robust variable loci (ranked by MAD): Correlation patterns are displayed for the same cell groups as (a).</w:t>
      </w:r>
    </w:p>
    <w:p w14:paraId="486C8638" w14:textId="77777777" w:rsidR="00683635" w:rsidRDefault="00000000">
      <w:pPr>
        <w:widowControl/>
        <w:spacing w:line="480" w:lineRule="auto"/>
        <w:jc w:val="left"/>
        <w:rPr>
          <w:rFonts w:ascii="Arial" w:eastAsia="等线" w:hAnsi="Arial" w:cs="Arial"/>
          <w:sz w:val="24"/>
          <w:szCs w:val="24"/>
        </w:rPr>
      </w:pPr>
      <w:r>
        <w:rPr>
          <w:rFonts w:ascii="等线" w:eastAsia="等线" w:hAnsi="等线" w:cs="Times New Roman"/>
          <w:noProof/>
        </w:rPr>
        <w:lastRenderedPageBreak/>
        <w:drawing>
          <wp:inline distT="0" distB="0" distL="0" distR="0" wp14:anchorId="520ABB85" wp14:editId="00C8B177">
            <wp:extent cx="6122670" cy="7922260"/>
            <wp:effectExtent l="0" t="0" r="0" b="2540"/>
            <wp:docPr id="33122089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20896" name="图片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122670" cy="7922260"/>
                    </a:xfrm>
                    <a:prstGeom prst="rect">
                      <a:avLst/>
                    </a:prstGeom>
                    <a:noFill/>
                    <a:ln>
                      <a:noFill/>
                    </a:ln>
                  </pic:spPr>
                </pic:pic>
              </a:graphicData>
            </a:graphic>
          </wp:inline>
        </w:drawing>
      </w:r>
    </w:p>
    <w:p w14:paraId="4063C962" w14:textId="77777777" w:rsidR="001A3EA7" w:rsidRPr="00DA6FC0" w:rsidRDefault="00000000" w:rsidP="001A3EA7">
      <w:pPr>
        <w:widowControl/>
        <w:spacing w:line="480" w:lineRule="auto"/>
        <w:jc w:val="left"/>
        <w:outlineLvl w:val="6"/>
        <w:rPr>
          <w:rFonts w:ascii="Arial" w:eastAsia="黑体" w:hAnsi="Arial" w:cs="Arial"/>
          <w:b/>
          <w:bCs/>
          <w:sz w:val="24"/>
          <w:szCs w:val="24"/>
        </w:rPr>
      </w:pPr>
      <w:bookmarkStart w:id="4" w:name="_Ref218193492"/>
      <w:r w:rsidRPr="00DA6FC0">
        <w:rPr>
          <w:rFonts w:ascii="Arial" w:eastAsia="黑体" w:hAnsi="Arial" w:cs="Arial"/>
          <w:b/>
          <w:bCs/>
          <w:sz w:val="24"/>
          <w:szCs w:val="24"/>
        </w:rPr>
        <w:t>Figure S</w:t>
      </w:r>
      <w:bookmarkEnd w:id="4"/>
      <w:r w:rsidRPr="00DA6FC0">
        <w:rPr>
          <w:rFonts w:ascii="Arial" w:eastAsia="黑体" w:hAnsi="Arial" w:cs="Arial" w:hint="eastAsia"/>
          <w:b/>
          <w:bCs/>
          <w:sz w:val="24"/>
          <w:szCs w:val="24"/>
        </w:rPr>
        <w:t>5</w:t>
      </w:r>
      <w:r w:rsidRPr="00DA6FC0">
        <w:rPr>
          <w:rFonts w:ascii="Arial" w:eastAsia="黑体" w:hAnsi="Arial" w:cs="Arial"/>
          <w:b/>
          <w:bCs/>
          <w:sz w:val="24"/>
          <w:szCs w:val="24"/>
        </w:rPr>
        <w:t xml:space="preserve"> </w:t>
      </w:r>
      <w:r w:rsidRPr="00DA6FC0">
        <w:rPr>
          <w:rFonts w:ascii="Arial" w:eastAsia="黑体" w:hAnsi="Arial" w:cs="Arial" w:hint="eastAsia"/>
          <w:b/>
          <w:bCs/>
          <w:sz w:val="24"/>
          <w:szCs w:val="24"/>
        </w:rPr>
        <w:t>DNA Methylation Profiling of Primary and Subcultured NFF and AVEC Samples</w:t>
      </w:r>
    </w:p>
    <w:p w14:paraId="059AA8F3" w14:textId="2A517B7C" w:rsidR="001A3EA7" w:rsidRPr="00DA6FC0" w:rsidRDefault="00000000" w:rsidP="00DA6FC0">
      <w:pPr>
        <w:widowControl/>
        <w:spacing w:line="480" w:lineRule="auto"/>
        <w:jc w:val="left"/>
        <w:rPr>
          <w:rFonts w:ascii="Arial" w:eastAsia="等线" w:hAnsi="Arial" w:cs="Arial"/>
        </w:rPr>
      </w:pPr>
      <w:r>
        <w:rPr>
          <w:rFonts w:ascii="Arial" w:eastAsia="等线" w:hAnsi="Arial" w:cs="Arial" w:hint="eastAsia"/>
        </w:rPr>
        <w:t>This figure presents hierarchical clustering, PCA plots, high-variance CpG heatmaps, and sample correlation heatmaps for NFF and AVEC samples. (A</w:t>
      </w:r>
      <w:r>
        <w:rPr>
          <w:rFonts w:ascii="Arial" w:eastAsia="等线" w:hAnsi="Arial" w:cs="Arial" w:hint="eastAsia"/>
        </w:rPr>
        <w:t>–</w:t>
      </w:r>
      <w:r>
        <w:rPr>
          <w:rFonts w:ascii="Arial" w:eastAsia="等线" w:hAnsi="Arial" w:cs="Arial" w:hint="eastAsia"/>
        </w:rPr>
        <w:t>D) NFF samples; (E</w:t>
      </w:r>
      <w:r>
        <w:rPr>
          <w:rFonts w:ascii="Arial" w:eastAsia="等线" w:hAnsi="Arial" w:cs="Arial" w:hint="eastAsia"/>
        </w:rPr>
        <w:t>–</w:t>
      </w:r>
      <w:r>
        <w:rPr>
          <w:rFonts w:ascii="Arial" w:eastAsia="等线" w:hAnsi="Arial" w:cs="Arial" w:hint="eastAsia"/>
        </w:rPr>
        <w:t xml:space="preserve">H) AVEC samples. (A, E) Hierarchical clustering </w:t>
      </w:r>
      <w:r>
        <w:rPr>
          <w:rFonts w:ascii="Arial" w:eastAsia="等线" w:hAnsi="Arial" w:cs="Arial" w:hint="eastAsia"/>
        </w:rPr>
        <w:lastRenderedPageBreak/>
        <w:t>of samples based on genome-wide methylation probes (probe counts indicated), with subcultured samples shown in red and primary samples in blue. (B, F) PCA plots showing separation between subcultured (green dots) and primary (orange triangles) groups. (C, G) Heatmaps of the top 1,000 most variable CpG sites with standardized methylation levels. (D, H) Sample correlation heatmaps based on the top 500 variable CpG loci ranked by median absolute deviation (MAD).</w:t>
      </w:r>
    </w:p>
    <w:p w14:paraId="7889769D" w14:textId="77777777" w:rsidR="00683635" w:rsidRDefault="00000000">
      <w:pPr>
        <w:widowControl/>
        <w:jc w:val="left"/>
        <w:rPr>
          <w:rFonts w:ascii="Arial" w:eastAsia="等线" w:hAnsi="Arial" w:cs="Arial"/>
        </w:rPr>
      </w:pPr>
      <w:r>
        <w:rPr>
          <w:rFonts w:ascii="等线" w:eastAsia="等线" w:hAnsi="等线" w:cs="Times New Roman"/>
          <w:noProof/>
        </w:rPr>
        <w:drawing>
          <wp:inline distT="0" distB="0" distL="0" distR="0" wp14:anchorId="2E4CD509" wp14:editId="54957397">
            <wp:extent cx="5764530" cy="5047615"/>
            <wp:effectExtent l="0" t="0" r="7620" b="635"/>
            <wp:docPr id="52318146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1466" name="图片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64530" cy="5047615"/>
                    </a:xfrm>
                    <a:prstGeom prst="rect">
                      <a:avLst/>
                    </a:prstGeom>
                    <a:noFill/>
                    <a:ln>
                      <a:noFill/>
                    </a:ln>
                  </pic:spPr>
                </pic:pic>
              </a:graphicData>
            </a:graphic>
          </wp:inline>
        </w:drawing>
      </w:r>
    </w:p>
    <w:p w14:paraId="4C985E45" w14:textId="77777777" w:rsidR="00683635" w:rsidRPr="00DA6FC0" w:rsidRDefault="00000000" w:rsidP="001A3EA7">
      <w:pPr>
        <w:widowControl/>
        <w:spacing w:line="480" w:lineRule="auto"/>
        <w:jc w:val="left"/>
        <w:outlineLvl w:val="6"/>
        <w:rPr>
          <w:rFonts w:ascii="Arial" w:eastAsia="黑体" w:hAnsi="Arial" w:cs="Arial"/>
          <w:b/>
          <w:bCs/>
          <w:sz w:val="24"/>
          <w:szCs w:val="24"/>
        </w:rPr>
      </w:pPr>
      <w:bookmarkStart w:id="5" w:name="_Ref218279317"/>
      <w:r w:rsidRPr="00DA6FC0">
        <w:rPr>
          <w:rFonts w:ascii="Arial" w:eastAsia="黑体" w:hAnsi="Arial" w:cs="Arial"/>
          <w:b/>
          <w:bCs/>
          <w:sz w:val="24"/>
          <w:szCs w:val="24"/>
        </w:rPr>
        <w:t>Figure S</w:t>
      </w:r>
      <w:bookmarkEnd w:id="5"/>
      <w:r w:rsidRPr="00DA6FC0">
        <w:rPr>
          <w:rFonts w:ascii="Arial" w:eastAsia="黑体" w:hAnsi="Arial" w:cs="Arial" w:hint="eastAsia"/>
          <w:b/>
          <w:bCs/>
          <w:sz w:val="24"/>
          <w:szCs w:val="24"/>
        </w:rPr>
        <w:t>6</w:t>
      </w:r>
      <w:r w:rsidRPr="00DA6FC0">
        <w:rPr>
          <w:rFonts w:ascii="Arial" w:eastAsia="黑体" w:hAnsi="Arial" w:cs="Arial"/>
          <w:b/>
          <w:bCs/>
          <w:sz w:val="24"/>
          <w:szCs w:val="24"/>
        </w:rPr>
        <w:t xml:space="preserve"> Sample Correlation Between GENC/KTEPC Subcultured and Primary Cells</w:t>
      </w:r>
    </w:p>
    <w:p w14:paraId="0C655303"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t xml:space="preserve">(a)GENC samples: Left, CpG-level Pearson correlation matrices (with density plots) quantify pairwise sample similarity; Right, hierarchical clustering (correlation distance, ward method) separates </w:t>
      </w:r>
      <w:r>
        <w:rPr>
          <w:rFonts w:ascii="Arial" w:eastAsia="等线" w:hAnsi="Arial" w:cs="Arial" w:hint="eastAsia"/>
          <w:sz w:val="24"/>
          <w:szCs w:val="24"/>
        </w:rPr>
        <w:t>Subcultured</w:t>
      </w:r>
      <w:r>
        <w:rPr>
          <w:rFonts w:ascii="Arial" w:eastAsia="等线" w:hAnsi="Arial" w:cs="Arial"/>
          <w:sz w:val="24"/>
          <w:szCs w:val="24"/>
        </w:rPr>
        <w:t xml:space="preserve"> and Primary samples. </w:t>
      </w:r>
    </w:p>
    <w:p w14:paraId="262E5AAE" w14:textId="77777777" w:rsidR="00683635" w:rsidRDefault="00000000" w:rsidP="001A3EA7">
      <w:pPr>
        <w:widowControl/>
        <w:spacing w:line="480" w:lineRule="auto"/>
        <w:jc w:val="left"/>
        <w:rPr>
          <w:rFonts w:ascii="Arial" w:eastAsia="等线" w:hAnsi="Arial" w:cs="Arial"/>
          <w:sz w:val="24"/>
          <w:szCs w:val="24"/>
        </w:rPr>
      </w:pPr>
      <w:r>
        <w:rPr>
          <w:rFonts w:ascii="Arial" w:eastAsia="等线" w:hAnsi="Arial" w:cs="Arial"/>
          <w:sz w:val="24"/>
          <w:szCs w:val="24"/>
        </w:rPr>
        <w:lastRenderedPageBreak/>
        <w:t xml:space="preserve">(b) KTEPC samples: Left, CpG-based correlation matrices; right, hierarchical clustering (same method) segregates </w:t>
      </w:r>
      <w:r>
        <w:rPr>
          <w:rFonts w:ascii="Arial" w:eastAsia="等线" w:hAnsi="Arial" w:cs="Arial" w:hint="eastAsia"/>
          <w:sz w:val="24"/>
          <w:szCs w:val="24"/>
        </w:rPr>
        <w:t>Subcultured</w:t>
      </w:r>
      <w:r>
        <w:rPr>
          <w:rFonts w:ascii="Arial" w:eastAsia="等线" w:hAnsi="Arial" w:cs="Arial"/>
          <w:sz w:val="24"/>
          <w:szCs w:val="24"/>
        </w:rPr>
        <w:t xml:space="preserve"> and Primary samples.</w:t>
      </w:r>
    </w:p>
    <w:p w14:paraId="1BA6E97F" w14:textId="77777777" w:rsidR="00862424" w:rsidRPr="00862424" w:rsidRDefault="00862424" w:rsidP="00862424">
      <w:pPr>
        <w:widowControl/>
        <w:snapToGrid w:val="0"/>
        <w:spacing w:line="480" w:lineRule="auto"/>
        <w:jc w:val="left"/>
        <w:rPr>
          <w:rFonts w:hint="eastAsia"/>
        </w:rPr>
      </w:pPr>
      <w:r w:rsidRPr="00862424">
        <w:rPr>
          <w:noProof/>
        </w:rPr>
        <w:drawing>
          <wp:inline distT="0" distB="0" distL="0" distR="0" wp14:anchorId="029517E0" wp14:editId="2CC1ADA4">
            <wp:extent cx="6121400" cy="4864100"/>
            <wp:effectExtent l="0" t="0" r="0" b="0"/>
            <wp:docPr id="13084172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1400" cy="4864100"/>
                    </a:xfrm>
                    <a:prstGeom prst="rect">
                      <a:avLst/>
                    </a:prstGeom>
                    <a:noFill/>
                    <a:ln>
                      <a:noFill/>
                    </a:ln>
                  </pic:spPr>
                </pic:pic>
              </a:graphicData>
            </a:graphic>
          </wp:inline>
        </w:drawing>
      </w:r>
    </w:p>
    <w:p w14:paraId="6D587118" w14:textId="77777777" w:rsidR="00862424" w:rsidRPr="00862424" w:rsidRDefault="00862424" w:rsidP="00862424">
      <w:pPr>
        <w:widowControl/>
        <w:snapToGrid w:val="0"/>
        <w:spacing w:line="480" w:lineRule="auto"/>
        <w:jc w:val="left"/>
        <w:outlineLvl w:val="6"/>
        <w:rPr>
          <w:rFonts w:ascii="Arial" w:hAnsi="Arial" w:cs="Arial"/>
          <w:b/>
          <w:bCs/>
          <w:sz w:val="24"/>
          <w:szCs w:val="24"/>
        </w:rPr>
      </w:pPr>
      <w:bookmarkStart w:id="6" w:name="_Ref231944789"/>
      <w:r w:rsidRPr="00862424">
        <w:rPr>
          <w:rFonts w:ascii="Arial" w:hAnsi="Arial" w:cs="Arial" w:hint="eastAsia"/>
          <w:b/>
          <w:bCs/>
          <w:sz w:val="24"/>
          <w:szCs w:val="24"/>
        </w:rPr>
        <w:t>Figure S</w:t>
      </w:r>
      <w:r w:rsidRPr="00862424">
        <w:rPr>
          <w:rFonts w:ascii="Arial" w:hAnsi="Arial" w:cs="Arial" w:hint="eastAsia"/>
          <w:b/>
          <w:bCs/>
          <w:sz w:val="24"/>
          <w:szCs w:val="24"/>
        </w:rPr>
        <w:fldChar w:fldCharType="begin"/>
      </w:r>
      <w:r w:rsidRPr="00862424">
        <w:rPr>
          <w:rFonts w:ascii="Arial" w:hAnsi="Arial" w:cs="Arial" w:hint="eastAsia"/>
          <w:b/>
          <w:bCs/>
          <w:sz w:val="24"/>
          <w:szCs w:val="24"/>
        </w:rPr>
        <w:instrText xml:space="preserve"> SEQ Figure_S \* ARABIC </w:instrText>
      </w:r>
      <w:r w:rsidRPr="00862424">
        <w:rPr>
          <w:rFonts w:ascii="Arial" w:hAnsi="Arial" w:cs="Arial" w:hint="eastAsia"/>
          <w:b/>
          <w:bCs/>
          <w:sz w:val="24"/>
          <w:szCs w:val="24"/>
        </w:rPr>
        <w:fldChar w:fldCharType="separate"/>
      </w:r>
      <w:r w:rsidRPr="00862424">
        <w:rPr>
          <w:rFonts w:ascii="Arial" w:hAnsi="Arial" w:cs="Arial"/>
          <w:b/>
          <w:bCs/>
          <w:noProof/>
          <w:sz w:val="24"/>
          <w:szCs w:val="24"/>
        </w:rPr>
        <w:t>7</w:t>
      </w:r>
      <w:r w:rsidRPr="00862424">
        <w:rPr>
          <w:rFonts w:ascii="Arial" w:hAnsi="Arial" w:cs="Arial" w:hint="eastAsia"/>
          <w:b/>
          <w:bCs/>
          <w:sz w:val="24"/>
          <w:szCs w:val="24"/>
        </w:rPr>
        <w:fldChar w:fldCharType="end"/>
      </w:r>
      <w:bookmarkEnd w:id="6"/>
      <w:r w:rsidRPr="00862424">
        <w:rPr>
          <w:rFonts w:ascii="Arial" w:hAnsi="Arial" w:cs="Arial" w:hint="eastAsia"/>
          <w:b/>
          <w:bCs/>
          <w:sz w:val="24"/>
          <w:szCs w:val="24"/>
        </w:rPr>
        <w:t xml:space="preserve"> Enrichment of cross-tissue hypoDMCs and DMC accumulation during cell passaging</w:t>
      </w:r>
    </w:p>
    <w:p w14:paraId="74F79C41" w14:textId="77777777" w:rsidR="00862424" w:rsidRPr="00862424" w:rsidRDefault="00862424" w:rsidP="00862424">
      <w:pPr>
        <w:widowControl/>
        <w:snapToGrid w:val="0"/>
        <w:spacing w:line="480" w:lineRule="auto"/>
        <w:jc w:val="left"/>
        <w:rPr>
          <w:rFonts w:ascii="Arial" w:hAnsi="Arial" w:cs="Arial"/>
          <w:sz w:val="24"/>
          <w:szCs w:val="24"/>
        </w:rPr>
      </w:pPr>
      <w:r w:rsidRPr="00862424">
        <w:rPr>
          <w:rFonts w:ascii="Arial" w:hAnsi="Arial" w:cs="Arial" w:hint="eastAsia"/>
          <w:sz w:val="24"/>
          <w:szCs w:val="24"/>
        </w:rPr>
        <w:t>(a)Enrichment of cross-tissue hypoDMCs within common partially methylated domains (common PMDs) and late-replicating genomic regions. The upper panel shows odds ratios (ORs) with 95% confidence intervals (CIs) calculated by Fisher's exact test. Red dots represent significant enrichment (FDR &lt; 0.05), and black dots indicate no statistical significance. The gray dashed line denotes the null reference line (OR = 1). The lower panel is the forest plot of enrichment ratios with 95% CIs derived from 10,000 permutation tests.</w:t>
      </w:r>
    </w:p>
    <w:p w14:paraId="5A32513D" w14:textId="77777777" w:rsidR="00862424" w:rsidRPr="00862424" w:rsidRDefault="00862424" w:rsidP="00862424">
      <w:pPr>
        <w:widowControl/>
        <w:snapToGrid w:val="0"/>
        <w:spacing w:line="480" w:lineRule="auto"/>
        <w:jc w:val="left"/>
        <w:rPr>
          <w:rFonts w:ascii="Arial" w:hAnsi="Arial" w:cs="Arial"/>
          <w:sz w:val="24"/>
          <w:szCs w:val="24"/>
        </w:rPr>
      </w:pPr>
      <w:r w:rsidRPr="00862424">
        <w:rPr>
          <w:rFonts w:ascii="Arial" w:hAnsi="Arial" w:cs="Arial" w:hint="eastAsia"/>
          <w:sz w:val="24"/>
          <w:szCs w:val="24"/>
        </w:rPr>
        <w:t>(b) Null distribution histogram of permutation test for common PMD</w:t>
      </w:r>
      <w:r w:rsidRPr="00862424">
        <w:rPr>
          <w:rFonts w:ascii="Arial" w:hAnsi="Arial" w:cs="Arial"/>
          <w:sz w:val="24"/>
          <w:szCs w:val="24"/>
        </w:rPr>
        <w:t xml:space="preserve"> enrichment. Light blue bars show the frequency distribution of overlapping probe counts from 10,000 random sampling </w:t>
      </w:r>
      <w:r w:rsidRPr="00862424">
        <w:rPr>
          <w:rFonts w:ascii="Arial" w:hAnsi="Arial" w:cs="Arial"/>
          <w:sz w:val="24"/>
          <w:szCs w:val="24"/>
        </w:rPr>
        <w:lastRenderedPageBreak/>
        <w:t>iterations. The red dashed line marks the actual observed number of overlapping probes (706), with a permutation p-value of 1 × 10</w:t>
      </w:r>
      <w:r w:rsidRPr="00862424">
        <w:rPr>
          <w:rFonts w:ascii="Cambria Math" w:hAnsi="Cambria Math" w:cs="Cambria Math"/>
          <w:sz w:val="24"/>
          <w:szCs w:val="24"/>
        </w:rPr>
        <w:t>⁻</w:t>
      </w:r>
      <w:r w:rsidRPr="00862424">
        <w:rPr>
          <w:rFonts w:ascii="Arial" w:hAnsi="Arial" w:cs="Arial"/>
          <w:sz w:val="24"/>
          <w:szCs w:val="24"/>
        </w:rPr>
        <w:t>⁴.</w:t>
      </w:r>
    </w:p>
    <w:p w14:paraId="57637317" w14:textId="77777777" w:rsidR="00862424" w:rsidRPr="00862424" w:rsidRDefault="00862424" w:rsidP="00862424">
      <w:pPr>
        <w:widowControl/>
        <w:snapToGrid w:val="0"/>
        <w:spacing w:line="480" w:lineRule="auto"/>
        <w:jc w:val="left"/>
        <w:rPr>
          <w:rFonts w:ascii="Arial" w:hAnsi="Arial" w:cs="Arial"/>
          <w:sz w:val="24"/>
          <w:szCs w:val="24"/>
        </w:rPr>
      </w:pPr>
      <w:r w:rsidRPr="00862424">
        <w:rPr>
          <w:rFonts w:ascii="Arial" w:hAnsi="Arial" w:cs="Arial" w:hint="eastAsia"/>
          <w:sz w:val="24"/>
          <w:szCs w:val="24"/>
        </w:rPr>
        <w:t xml:space="preserve">(c) DMC accumulation trends during cell passaging evaluated by the out-of-early-range count analysis. This method defines the normal methylation fluctuation range using the extreme values of samples with passage number </w:t>
      </w:r>
      <w:r w:rsidRPr="00862424">
        <w:rPr>
          <w:rFonts w:ascii="Arial" w:hAnsi="Arial" w:cs="Arial" w:hint="eastAsia"/>
          <w:sz w:val="24"/>
          <w:szCs w:val="24"/>
        </w:rPr>
        <w:t>≤</w:t>
      </w:r>
      <w:r w:rsidRPr="00862424">
        <w:rPr>
          <w:rFonts w:ascii="Arial" w:hAnsi="Arial" w:cs="Arial" w:hint="eastAsia"/>
          <w:sz w:val="24"/>
          <w:szCs w:val="24"/>
        </w:rPr>
        <w:t>9: total DMCs (sites outside this range), hypoDMCs (methylation below the early-passage minimum), and hyperDMCs (methylation above the early-passage maximum). Spearman correlation coefficients (R) and corresponding p-values are shown for FSF, AVEC and NFF cells, with stratified results for NFF1 and NFF2 sublines presented in the lower panels.</w:t>
      </w:r>
    </w:p>
    <w:p w14:paraId="1D4322B5" w14:textId="77777777" w:rsidR="00862424" w:rsidRPr="00862424" w:rsidRDefault="00862424" w:rsidP="00862424">
      <w:pPr>
        <w:widowControl/>
        <w:snapToGrid w:val="0"/>
        <w:spacing w:line="480" w:lineRule="auto"/>
        <w:jc w:val="left"/>
        <w:rPr>
          <w:rFonts w:ascii="Arial" w:hAnsi="Arial" w:cs="Arial"/>
          <w:sz w:val="24"/>
          <w:szCs w:val="24"/>
        </w:rPr>
      </w:pPr>
      <w:r w:rsidRPr="00862424">
        <w:rPr>
          <w:rFonts w:ascii="Arial" w:hAnsi="Arial" w:cs="Arial" w:hint="eastAsia"/>
          <w:sz w:val="24"/>
          <w:szCs w:val="24"/>
        </w:rPr>
        <w:t xml:space="preserve">(d) DMC accumulation trends during cell passaging evaluated by the baseline mean-difference approach. This method uses the average methylation level of early-passage samples (passage </w:t>
      </w:r>
      <w:r w:rsidRPr="00862424">
        <w:rPr>
          <w:rFonts w:ascii="Arial" w:hAnsi="Arial" w:cs="Arial" w:hint="eastAsia"/>
          <w:sz w:val="24"/>
          <w:szCs w:val="24"/>
        </w:rPr>
        <w:t>≤</w:t>
      </w:r>
      <w:r w:rsidRPr="00862424">
        <w:rPr>
          <w:rFonts w:ascii="Arial" w:hAnsi="Arial" w:cs="Arial" w:hint="eastAsia"/>
          <w:sz w:val="24"/>
          <w:szCs w:val="24"/>
        </w:rPr>
        <w:t>9) as the reference baseline, and classifies CpG sites with |</w:t>
      </w:r>
      <w:r w:rsidRPr="00862424">
        <w:rPr>
          <w:rFonts w:ascii="Arial" w:hAnsi="Arial" w:cs="Arial" w:hint="eastAsia"/>
          <w:sz w:val="24"/>
          <w:szCs w:val="24"/>
        </w:rPr>
        <w:t>Δβ</w:t>
      </w:r>
      <w:r w:rsidRPr="00862424">
        <w:rPr>
          <w:rFonts w:ascii="Arial" w:hAnsi="Arial" w:cs="Arial" w:hint="eastAsia"/>
          <w:sz w:val="24"/>
          <w:szCs w:val="24"/>
        </w:rPr>
        <w:t>| &gt; 0.1 relative to the baseline as DMCs. Statistical analysis and cell line stratification are as described in panel (c).</w:t>
      </w:r>
    </w:p>
    <w:p w14:paraId="33973C11" w14:textId="77777777" w:rsidR="00862424" w:rsidRPr="00862424" w:rsidRDefault="00862424" w:rsidP="00862424">
      <w:pPr>
        <w:widowControl/>
        <w:snapToGrid w:val="0"/>
        <w:spacing w:line="480" w:lineRule="auto"/>
        <w:jc w:val="left"/>
        <w:rPr>
          <w:rFonts w:ascii="Arial" w:eastAsia="黑体" w:hAnsi="Arial" w:cs="Arial"/>
          <w:sz w:val="24"/>
          <w:szCs w:val="24"/>
        </w:rPr>
      </w:pPr>
      <w:r w:rsidRPr="00862424">
        <w:rPr>
          <w:rFonts w:asciiTheme="majorHAnsi" w:eastAsia="黑体" w:hAnsiTheme="majorHAnsi" w:cstheme="majorBidi"/>
          <w:noProof/>
          <w:sz w:val="20"/>
          <w:szCs w:val="20"/>
        </w:rPr>
        <w:drawing>
          <wp:inline distT="0" distB="0" distL="0" distR="0" wp14:anchorId="1D2F2813" wp14:editId="352133ED">
            <wp:extent cx="6121400" cy="3784600"/>
            <wp:effectExtent l="0" t="0" r="0" b="6350"/>
            <wp:docPr id="11620030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1400" cy="3784600"/>
                    </a:xfrm>
                    <a:prstGeom prst="rect">
                      <a:avLst/>
                    </a:prstGeom>
                    <a:noFill/>
                    <a:ln>
                      <a:noFill/>
                    </a:ln>
                  </pic:spPr>
                </pic:pic>
              </a:graphicData>
            </a:graphic>
          </wp:inline>
        </w:drawing>
      </w:r>
    </w:p>
    <w:p w14:paraId="4BE82880" w14:textId="77777777" w:rsidR="00862424" w:rsidRPr="00862424" w:rsidRDefault="00862424" w:rsidP="00862424">
      <w:pPr>
        <w:widowControl/>
        <w:snapToGrid w:val="0"/>
        <w:spacing w:line="480" w:lineRule="auto"/>
        <w:jc w:val="left"/>
        <w:outlineLvl w:val="6"/>
        <w:rPr>
          <w:rFonts w:ascii="Arial" w:hAnsi="Arial" w:cs="Arial"/>
          <w:b/>
          <w:bCs/>
          <w:sz w:val="24"/>
          <w:szCs w:val="24"/>
        </w:rPr>
      </w:pPr>
      <w:bookmarkStart w:id="7" w:name="_Ref234851686"/>
      <w:r w:rsidRPr="00862424">
        <w:rPr>
          <w:rFonts w:ascii="Arial" w:hAnsi="Arial" w:cs="Arial" w:hint="eastAsia"/>
          <w:b/>
          <w:bCs/>
          <w:sz w:val="24"/>
          <w:szCs w:val="24"/>
        </w:rPr>
        <w:t>Figure S</w:t>
      </w:r>
      <w:r w:rsidRPr="00862424">
        <w:rPr>
          <w:rFonts w:ascii="Arial" w:hAnsi="Arial" w:cs="Arial" w:hint="eastAsia"/>
          <w:b/>
          <w:bCs/>
          <w:sz w:val="24"/>
          <w:szCs w:val="24"/>
        </w:rPr>
        <w:fldChar w:fldCharType="begin"/>
      </w:r>
      <w:r w:rsidRPr="00862424">
        <w:rPr>
          <w:rFonts w:ascii="Arial" w:hAnsi="Arial" w:cs="Arial" w:hint="eastAsia"/>
          <w:b/>
          <w:bCs/>
          <w:sz w:val="24"/>
          <w:szCs w:val="24"/>
        </w:rPr>
        <w:instrText xml:space="preserve"> SEQ Figure_S \* ARABIC </w:instrText>
      </w:r>
      <w:r w:rsidRPr="00862424">
        <w:rPr>
          <w:rFonts w:ascii="Arial" w:hAnsi="Arial" w:cs="Arial" w:hint="eastAsia"/>
          <w:b/>
          <w:bCs/>
          <w:sz w:val="24"/>
          <w:szCs w:val="24"/>
        </w:rPr>
        <w:fldChar w:fldCharType="separate"/>
      </w:r>
      <w:r w:rsidRPr="00862424">
        <w:rPr>
          <w:rFonts w:ascii="Arial" w:hAnsi="Arial" w:cs="Arial" w:hint="eastAsia"/>
          <w:b/>
          <w:bCs/>
          <w:sz w:val="24"/>
          <w:szCs w:val="24"/>
        </w:rPr>
        <w:t>8</w:t>
      </w:r>
      <w:r w:rsidRPr="00862424">
        <w:rPr>
          <w:rFonts w:ascii="Arial" w:hAnsi="Arial" w:cs="Arial" w:hint="eastAsia"/>
          <w:b/>
          <w:bCs/>
          <w:sz w:val="24"/>
          <w:szCs w:val="24"/>
        </w:rPr>
        <w:fldChar w:fldCharType="end"/>
      </w:r>
      <w:bookmarkEnd w:id="7"/>
      <w:r w:rsidRPr="00862424">
        <w:rPr>
          <w:rFonts w:ascii="Arial" w:hAnsi="Arial" w:cs="Arial" w:hint="eastAsia"/>
          <w:b/>
          <w:bCs/>
          <w:sz w:val="24"/>
          <w:szCs w:val="24"/>
        </w:rPr>
        <w:t xml:space="preserve"> Cross-tissue chromatin accessibility landscape of endothelial tissue-specific DMRs</w:t>
      </w:r>
    </w:p>
    <w:p w14:paraId="2466858D" w14:textId="77777777" w:rsidR="00862424" w:rsidRPr="00862424" w:rsidRDefault="00862424" w:rsidP="00862424">
      <w:pPr>
        <w:widowControl/>
        <w:snapToGrid w:val="0"/>
        <w:spacing w:line="480" w:lineRule="auto"/>
        <w:jc w:val="left"/>
        <w:rPr>
          <w:rFonts w:ascii="Arial" w:hAnsi="Arial" w:cs="Arial"/>
          <w:sz w:val="24"/>
          <w:szCs w:val="24"/>
        </w:rPr>
      </w:pPr>
      <w:r w:rsidRPr="00862424">
        <w:rPr>
          <w:rFonts w:ascii="Arial" w:hAnsi="Arial" w:cs="Arial" w:hint="eastAsia"/>
          <w:sz w:val="24"/>
          <w:szCs w:val="24"/>
        </w:rPr>
        <w:lastRenderedPageBreak/>
        <w:t>Based on the Descartes human developmental single-cell chromatin accessibility atlas, chromatin accessibility profiles associated with endothelial tissue-specific DMRs were systematically characterized across vascular endothelial cells from four solid organs (lung, liver, kidney, and pancreas). Analyses were performed on the five endothelial cell subtypes shown in Fig. 1c, including Pan_ENC, Liv_SEC, Lun_ENC, Kid_TENC, and Kid_GENC.</w:t>
      </w:r>
    </w:p>
    <w:p w14:paraId="0C1E3DE7" w14:textId="77777777" w:rsidR="00862424" w:rsidRPr="00862424" w:rsidRDefault="00862424" w:rsidP="00862424">
      <w:pPr>
        <w:widowControl/>
        <w:snapToGrid w:val="0"/>
        <w:spacing w:line="480" w:lineRule="auto"/>
        <w:jc w:val="left"/>
        <w:rPr>
          <w:rFonts w:ascii="Arial" w:hAnsi="Arial" w:cs="Arial"/>
          <w:sz w:val="24"/>
          <w:szCs w:val="24"/>
        </w:rPr>
      </w:pPr>
      <w:r w:rsidRPr="00862424">
        <w:rPr>
          <w:rFonts w:ascii="Arial" w:hAnsi="Arial" w:cs="Arial" w:hint="eastAsia"/>
          <w:sz w:val="24"/>
          <w:szCs w:val="24"/>
        </w:rPr>
        <w:t>(a) Heatmap showing chromatin accessibility of tissue-specific endothelial DMRs across organs. Rows represent DMR sets derived from the five endothelial subtypes, whereas columns represent endothelial scATAC-seq samples from the four organs. Accessibility signals were row-wise z-score normalized, with red and blue indicating relatively high and low accessibility, respectively.</w:t>
      </w:r>
    </w:p>
    <w:p w14:paraId="7F398BEC" w14:textId="77777777" w:rsidR="00862424" w:rsidRPr="00862424" w:rsidRDefault="00862424" w:rsidP="00862424">
      <w:pPr>
        <w:widowControl/>
        <w:adjustRightInd w:val="0"/>
        <w:snapToGrid w:val="0"/>
        <w:spacing w:line="480" w:lineRule="auto"/>
        <w:jc w:val="left"/>
        <w:rPr>
          <w:rFonts w:ascii="Arial" w:hAnsi="Arial" w:cs="Arial"/>
          <w:sz w:val="24"/>
          <w:szCs w:val="24"/>
        </w:rPr>
      </w:pPr>
      <w:r w:rsidRPr="00862424">
        <w:rPr>
          <w:rFonts w:ascii="Arial" w:hAnsi="Arial" w:cs="Arial" w:hint="eastAsia"/>
          <w:sz w:val="24"/>
          <w:szCs w:val="24"/>
        </w:rPr>
        <w:t xml:space="preserve">(b) Boxplot comparing the cross-tissue coefficient of variation (CV) of DNA methylation and chromatin accessibility across all endothelial DMRs. Statistical significance was assessed using a paired Wilcoxon signed-rank test. Boxes indicate the median and interquartile range (IQR), whiskers denote 1.5 </w:t>
      </w:r>
      <w:r w:rsidRPr="00862424">
        <w:rPr>
          <w:rFonts w:ascii="Arial" w:hAnsi="Arial" w:cs="Arial" w:hint="eastAsia"/>
          <w:sz w:val="24"/>
          <w:szCs w:val="24"/>
        </w:rPr>
        <w:t>×</w:t>
      </w:r>
      <w:r w:rsidRPr="00862424">
        <w:rPr>
          <w:rFonts w:ascii="Arial" w:hAnsi="Arial" w:cs="Arial" w:hint="eastAsia"/>
          <w:sz w:val="24"/>
          <w:szCs w:val="24"/>
        </w:rPr>
        <w:t xml:space="preserve"> IQR, outliers are shown as individual points, and white diamonds indicate group means.</w:t>
      </w:r>
    </w:p>
    <w:p w14:paraId="5DB9E819" w14:textId="77777777" w:rsidR="00862424" w:rsidRPr="00862424" w:rsidRDefault="00862424" w:rsidP="00862424">
      <w:pPr>
        <w:widowControl/>
        <w:adjustRightInd w:val="0"/>
        <w:snapToGrid w:val="0"/>
        <w:spacing w:line="480" w:lineRule="auto"/>
        <w:jc w:val="left"/>
        <w:rPr>
          <w:rFonts w:ascii="Arial" w:hAnsi="Arial" w:cs="Arial"/>
          <w:sz w:val="24"/>
          <w:szCs w:val="24"/>
        </w:rPr>
      </w:pPr>
      <w:r w:rsidRPr="00862424">
        <w:rPr>
          <w:rFonts w:ascii="Arial" w:hAnsi="Arial" w:cs="Arial" w:hint="eastAsia"/>
          <w:sz w:val="24"/>
          <w:szCs w:val="24"/>
        </w:rPr>
        <w:t>(c) Fold enrichment of chromatin accessibility for tissue-specific endothelial DMRs. Enrichment was calculated as the ratio of the mean accessibility in the corresponding target tissue to the mean accessibility across all remaining tissues. The red dashed line indicates the predefined enrichment threshold (1.2-fold).</w:t>
      </w:r>
    </w:p>
    <w:p w14:paraId="400A0197" w14:textId="77777777" w:rsidR="00862424" w:rsidRPr="00862424" w:rsidRDefault="00862424" w:rsidP="00862424">
      <w:pPr>
        <w:widowControl/>
        <w:adjustRightInd w:val="0"/>
        <w:snapToGrid w:val="0"/>
        <w:spacing w:line="480" w:lineRule="auto"/>
        <w:jc w:val="left"/>
        <w:rPr>
          <w:rFonts w:ascii="Arial" w:hAnsi="Arial" w:cs="Arial"/>
          <w:sz w:val="24"/>
          <w:szCs w:val="24"/>
        </w:rPr>
      </w:pPr>
      <w:r w:rsidRPr="00862424">
        <w:rPr>
          <w:rFonts w:ascii="Arial" w:hAnsi="Arial" w:cs="Arial"/>
          <w:sz w:val="24"/>
          <w:szCs w:val="24"/>
        </w:rPr>
        <w:t>(</w:t>
      </w:r>
      <w:r w:rsidRPr="00862424">
        <w:rPr>
          <w:rFonts w:ascii="Arial" w:hAnsi="Arial" w:cs="Arial" w:hint="eastAsia"/>
          <w:sz w:val="24"/>
          <w:szCs w:val="24"/>
        </w:rPr>
        <w:t>d</w:t>
      </w:r>
      <w:r w:rsidRPr="00862424">
        <w:rPr>
          <w:rFonts w:ascii="Arial" w:hAnsi="Arial" w:cs="Arial"/>
          <w:sz w:val="24"/>
          <w:szCs w:val="24"/>
        </w:rPr>
        <w:t>) Faceted boxplots of chromatin accessibility for tissue</w:t>
      </w:r>
      <w:r w:rsidRPr="00862424">
        <w:rPr>
          <w:rFonts w:ascii="Cambria Math" w:hAnsi="Cambria Math" w:cs="Cambria Math"/>
          <w:sz w:val="24"/>
          <w:szCs w:val="24"/>
        </w:rPr>
        <w:t>‑</w:t>
      </w:r>
      <w:r w:rsidRPr="00862424">
        <w:rPr>
          <w:rFonts w:ascii="Arial" w:hAnsi="Arial" w:cs="Arial"/>
          <w:sz w:val="24"/>
          <w:szCs w:val="24"/>
        </w:rPr>
        <w:t>specific endothelial DMRs. The five sets of tissue</w:t>
      </w:r>
      <w:r w:rsidRPr="00862424">
        <w:rPr>
          <w:rFonts w:ascii="Cambria Math" w:hAnsi="Cambria Math" w:cs="Cambria Math"/>
          <w:sz w:val="24"/>
          <w:szCs w:val="24"/>
        </w:rPr>
        <w:t>‑</w:t>
      </w:r>
      <w:r w:rsidRPr="00862424">
        <w:rPr>
          <w:rFonts w:ascii="Arial" w:hAnsi="Arial" w:cs="Arial"/>
          <w:sz w:val="24"/>
          <w:szCs w:val="24"/>
        </w:rPr>
        <w:t>specific DMRs are shown in separate facets, depicting their log</w:t>
      </w:r>
      <w:r w:rsidRPr="00862424">
        <w:rPr>
          <w:rFonts w:ascii="Cambria Math" w:hAnsi="Cambria Math" w:cs="Cambria Math"/>
          <w:sz w:val="24"/>
          <w:szCs w:val="24"/>
        </w:rPr>
        <w:t>₂‑</w:t>
      </w:r>
      <w:r w:rsidRPr="00862424">
        <w:rPr>
          <w:rFonts w:ascii="Arial" w:hAnsi="Arial" w:cs="Arial"/>
          <w:sz w:val="24"/>
          <w:szCs w:val="24"/>
        </w:rPr>
        <w:t xml:space="preserve">transformed normalized accessibility levels </w:t>
      </w:r>
      <w:r w:rsidRPr="00862424">
        <w:rPr>
          <w:rFonts w:ascii="Arial" w:hAnsi="Arial" w:cs="Arial" w:hint="eastAsia"/>
          <w:sz w:val="24"/>
          <w:szCs w:val="24"/>
        </w:rPr>
        <w:t>across the four tissue types. Abbreviations:</w:t>
      </w:r>
      <w:r w:rsidRPr="00862424">
        <w:rPr>
          <w:rFonts w:hint="eastAsia"/>
        </w:rPr>
        <w:t xml:space="preserve"> </w:t>
      </w:r>
      <w:r w:rsidRPr="00862424">
        <w:rPr>
          <w:rFonts w:ascii="Arial" w:hAnsi="Arial" w:cs="Arial" w:hint="eastAsia"/>
          <w:sz w:val="24"/>
          <w:szCs w:val="24"/>
        </w:rPr>
        <w:t>Pan, Pancreas; Liv, Liver; Kid, Kidney; Lun, Lung;ENC, Endothelial Cell; GENC, Glomerular Endothelial Cell; TENC, Tubular Endothelial Cell; SEC, Sinusoidal Endothelial Cell</w:t>
      </w:r>
    </w:p>
    <w:p w14:paraId="5AEBD705" w14:textId="77777777" w:rsidR="00862424" w:rsidRPr="00862424" w:rsidRDefault="00862424" w:rsidP="00862424">
      <w:pPr>
        <w:widowControl/>
        <w:jc w:val="left"/>
        <w:rPr>
          <w:rFonts w:hint="eastAsia"/>
        </w:rPr>
      </w:pPr>
    </w:p>
    <w:p w14:paraId="24A4BA80" w14:textId="77777777" w:rsidR="00862424" w:rsidRPr="00862424" w:rsidRDefault="00862424" w:rsidP="00862424">
      <w:pPr>
        <w:widowControl/>
        <w:snapToGrid w:val="0"/>
        <w:spacing w:line="480" w:lineRule="auto"/>
        <w:jc w:val="left"/>
        <w:outlineLvl w:val="5"/>
        <w:rPr>
          <w:rFonts w:ascii="Arial" w:hAnsi="Arial" w:cs="Arial"/>
        </w:rPr>
      </w:pPr>
      <w:bookmarkStart w:id="8" w:name="_Ref218191830"/>
      <w:bookmarkStart w:id="9" w:name="_Ref218191889"/>
      <w:bookmarkStart w:id="10" w:name="_Hlk232095286"/>
      <w:r w:rsidRPr="00862424">
        <w:rPr>
          <w:rFonts w:ascii="Arial" w:hAnsi="Arial" w:cs="Arial"/>
          <w:sz w:val="24"/>
          <w:szCs w:val="24"/>
        </w:rPr>
        <w:t xml:space="preserve">Supplementary </w:t>
      </w:r>
      <w:bookmarkEnd w:id="8"/>
      <w:r w:rsidRPr="00862424">
        <w:rPr>
          <w:rFonts w:ascii="Arial" w:hAnsi="Arial" w:cs="Arial"/>
          <w:sz w:val="24"/>
          <w:szCs w:val="24"/>
        </w:rPr>
        <w:t>Table</w:t>
      </w:r>
      <w:bookmarkEnd w:id="9"/>
    </w:p>
    <w:p w14:paraId="5E93989D" w14:textId="77777777" w:rsidR="00862424" w:rsidRPr="00862424" w:rsidRDefault="00862424" w:rsidP="00862424">
      <w:pPr>
        <w:widowControl/>
        <w:snapToGrid w:val="0"/>
        <w:spacing w:line="480" w:lineRule="auto"/>
        <w:jc w:val="left"/>
        <w:rPr>
          <w:rFonts w:ascii="Arial" w:eastAsia="黑体" w:hAnsi="Arial" w:cs="Arial"/>
          <w:sz w:val="20"/>
          <w:szCs w:val="20"/>
        </w:rPr>
        <w:sectPr w:rsidR="00862424" w:rsidRPr="00862424" w:rsidSect="00862424">
          <w:footerReference w:type="default" r:id="rId16"/>
          <w:pgSz w:w="11906" w:h="16838"/>
          <w:pgMar w:top="720" w:right="720" w:bottom="720" w:left="720" w:header="851" w:footer="992" w:gutter="0"/>
          <w:lnNumType w:countBy="1"/>
          <w:cols w:space="425"/>
          <w:docGrid w:type="lines" w:linePitch="312"/>
        </w:sectPr>
      </w:pPr>
    </w:p>
    <w:p w14:paraId="5F52B040" w14:textId="77777777" w:rsidR="00862424" w:rsidRPr="00862424" w:rsidRDefault="00862424" w:rsidP="00862424">
      <w:pPr>
        <w:widowControl/>
        <w:snapToGrid w:val="0"/>
        <w:spacing w:line="480" w:lineRule="auto"/>
        <w:jc w:val="left"/>
        <w:rPr>
          <w:rFonts w:ascii="Arial" w:hAnsi="Arial" w:cs="Arial"/>
        </w:rPr>
      </w:pPr>
      <w:bookmarkStart w:id="11" w:name="_Ref218271452"/>
      <w:r w:rsidRPr="00862424">
        <w:rPr>
          <w:rFonts w:ascii="Arial" w:hAnsi="Arial" w:cs="Arial"/>
        </w:rPr>
        <w:lastRenderedPageBreak/>
        <w:t>Table S</w:t>
      </w:r>
      <w:r w:rsidRPr="00862424">
        <w:rPr>
          <w:rFonts w:ascii="Arial" w:hAnsi="Arial" w:cs="Arial" w:hint="eastAsia"/>
        </w:rPr>
        <w:fldChar w:fldCharType="begin"/>
      </w:r>
      <w:r w:rsidRPr="00862424">
        <w:rPr>
          <w:rFonts w:ascii="Arial" w:hAnsi="Arial" w:cs="Arial"/>
        </w:rPr>
        <w:instrText xml:space="preserve"> SEQ Table_S \* ARABIC </w:instrText>
      </w:r>
      <w:r w:rsidRPr="00862424">
        <w:rPr>
          <w:rFonts w:ascii="Arial" w:hAnsi="Arial" w:cs="Arial" w:hint="eastAsia"/>
        </w:rPr>
        <w:fldChar w:fldCharType="separate"/>
      </w:r>
      <w:r w:rsidRPr="00862424">
        <w:rPr>
          <w:rFonts w:ascii="Arial" w:hAnsi="Arial" w:cs="Arial"/>
          <w:noProof/>
        </w:rPr>
        <w:t>1</w:t>
      </w:r>
      <w:r w:rsidRPr="00862424">
        <w:rPr>
          <w:rFonts w:ascii="Arial" w:hAnsi="Arial" w:cs="Arial" w:hint="eastAsia"/>
        </w:rPr>
        <w:fldChar w:fldCharType="end"/>
      </w:r>
      <w:bookmarkEnd w:id="11"/>
      <w:r w:rsidRPr="00862424">
        <w:rPr>
          <w:rFonts w:ascii="Arial" w:hAnsi="Arial" w:cs="Arial"/>
        </w:rPr>
        <w:t xml:space="preserve">: WGBS_Selected_Sample            </w:t>
      </w:r>
    </w:p>
    <w:p w14:paraId="024072B4" w14:textId="77777777" w:rsidR="00862424" w:rsidRPr="00862424" w:rsidRDefault="00862424" w:rsidP="00862424">
      <w:pPr>
        <w:widowControl/>
        <w:snapToGrid w:val="0"/>
        <w:spacing w:line="480" w:lineRule="auto"/>
        <w:jc w:val="left"/>
        <w:rPr>
          <w:rFonts w:ascii="Arial" w:hAnsi="Arial" w:cs="Arial"/>
        </w:rPr>
      </w:pPr>
      <w:bookmarkStart w:id="12" w:name="_Ref218271831"/>
      <w:r w:rsidRPr="00862424">
        <w:rPr>
          <w:rFonts w:ascii="Arial" w:hAnsi="Arial" w:cs="Arial"/>
        </w:rPr>
        <w:t>Table S</w:t>
      </w:r>
      <w:r w:rsidRPr="00862424">
        <w:rPr>
          <w:rFonts w:ascii="Arial" w:hAnsi="Arial" w:cs="Arial" w:hint="eastAsia"/>
        </w:rPr>
        <w:fldChar w:fldCharType="begin"/>
      </w:r>
      <w:r w:rsidRPr="00862424">
        <w:rPr>
          <w:rFonts w:ascii="Arial" w:hAnsi="Arial" w:cs="Arial"/>
        </w:rPr>
        <w:instrText xml:space="preserve"> SEQ Table_S \* ARABIC </w:instrText>
      </w:r>
      <w:r w:rsidRPr="00862424">
        <w:rPr>
          <w:rFonts w:ascii="Arial" w:hAnsi="Arial" w:cs="Arial" w:hint="eastAsia"/>
        </w:rPr>
        <w:fldChar w:fldCharType="separate"/>
      </w:r>
      <w:r w:rsidRPr="00862424">
        <w:rPr>
          <w:rFonts w:ascii="Arial" w:hAnsi="Arial" w:cs="Arial"/>
          <w:noProof/>
        </w:rPr>
        <w:t>2</w:t>
      </w:r>
      <w:r w:rsidRPr="00862424">
        <w:rPr>
          <w:rFonts w:ascii="Arial" w:hAnsi="Arial" w:cs="Arial" w:hint="eastAsia"/>
        </w:rPr>
        <w:fldChar w:fldCharType="end"/>
      </w:r>
      <w:bookmarkEnd w:id="12"/>
      <w:r w:rsidRPr="00862424">
        <w:rPr>
          <w:rFonts w:ascii="Arial" w:hAnsi="Arial" w:cs="Arial"/>
        </w:rPr>
        <w:t>: EPIC_Selected_Sample</w:t>
      </w:r>
    </w:p>
    <w:p w14:paraId="7D7D02A2" w14:textId="77777777" w:rsidR="00862424" w:rsidRPr="00862424" w:rsidRDefault="00862424" w:rsidP="00862424">
      <w:pPr>
        <w:widowControl/>
        <w:snapToGrid w:val="0"/>
        <w:spacing w:line="480" w:lineRule="auto"/>
        <w:jc w:val="left"/>
        <w:rPr>
          <w:rFonts w:ascii="Arial" w:hAnsi="Arial" w:cs="Arial"/>
        </w:rPr>
      </w:pPr>
      <w:bookmarkStart w:id="13" w:name="_Ref224481427"/>
      <w:r w:rsidRPr="00862424">
        <w:rPr>
          <w:rFonts w:ascii="Arial" w:hAnsi="Arial" w:cs="Arial" w:hint="eastAsia"/>
        </w:rPr>
        <w:t>Table S</w:t>
      </w:r>
      <w:r w:rsidRPr="00862424">
        <w:rPr>
          <w:rFonts w:ascii="Arial" w:hAnsi="Arial" w:cs="Arial" w:hint="eastAsia"/>
        </w:rPr>
        <w:fldChar w:fldCharType="begin"/>
      </w:r>
      <w:r w:rsidRPr="00862424">
        <w:rPr>
          <w:rFonts w:ascii="Arial" w:hAnsi="Arial" w:cs="Arial" w:hint="eastAsia"/>
        </w:rPr>
        <w:instrText xml:space="preserve"> SEQ Table_S \* ARABIC </w:instrText>
      </w:r>
      <w:r w:rsidRPr="00862424">
        <w:rPr>
          <w:rFonts w:ascii="Arial" w:hAnsi="Arial" w:cs="Arial" w:hint="eastAsia"/>
        </w:rPr>
        <w:fldChar w:fldCharType="separate"/>
      </w:r>
      <w:r w:rsidRPr="00862424">
        <w:rPr>
          <w:rFonts w:ascii="Arial" w:hAnsi="Arial" w:cs="Arial"/>
          <w:noProof/>
        </w:rPr>
        <w:t>3</w:t>
      </w:r>
      <w:r w:rsidRPr="00862424">
        <w:rPr>
          <w:rFonts w:ascii="Arial" w:hAnsi="Arial" w:cs="Arial" w:hint="eastAsia"/>
        </w:rPr>
        <w:fldChar w:fldCharType="end"/>
      </w:r>
      <w:bookmarkEnd w:id="13"/>
      <w:r w:rsidRPr="00862424">
        <w:rPr>
          <w:rFonts w:ascii="Arial" w:hAnsi="Arial" w:cs="Arial"/>
        </w:rPr>
        <w:t xml:space="preserve">: GENC_DMR_motif_results          </w:t>
      </w:r>
    </w:p>
    <w:p w14:paraId="3FDAF73E" w14:textId="77777777" w:rsidR="00862424" w:rsidRPr="00862424" w:rsidRDefault="00862424" w:rsidP="00862424">
      <w:pPr>
        <w:widowControl/>
        <w:snapToGrid w:val="0"/>
        <w:spacing w:line="480" w:lineRule="auto"/>
        <w:jc w:val="left"/>
        <w:rPr>
          <w:rFonts w:ascii="Arial" w:hAnsi="Arial" w:cs="Arial"/>
        </w:rPr>
      </w:pPr>
      <w:bookmarkStart w:id="14" w:name="_Ref218271747"/>
      <w:r w:rsidRPr="00862424">
        <w:rPr>
          <w:rFonts w:ascii="Arial" w:hAnsi="Arial" w:cs="Arial"/>
        </w:rPr>
        <w:t>Table S</w:t>
      </w:r>
      <w:r w:rsidRPr="00862424">
        <w:rPr>
          <w:rFonts w:ascii="Arial" w:hAnsi="Arial" w:cs="Arial" w:hint="eastAsia"/>
        </w:rPr>
        <w:fldChar w:fldCharType="begin"/>
      </w:r>
      <w:r w:rsidRPr="00862424">
        <w:rPr>
          <w:rFonts w:ascii="Arial" w:hAnsi="Arial" w:cs="Arial"/>
        </w:rPr>
        <w:instrText xml:space="preserve"> SEQ Table_S \* ARABIC </w:instrText>
      </w:r>
      <w:r w:rsidRPr="00862424">
        <w:rPr>
          <w:rFonts w:ascii="Arial" w:hAnsi="Arial" w:cs="Arial" w:hint="eastAsia"/>
        </w:rPr>
        <w:fldChar w:fldCharType="separate"/>
      </w:r>
      <w:r w:rsidRPr="00862424">
        <w:rPr>
          <w:rFonts w:ascii="Arial" w:hAnsi="Arial" w:cs="Arial"/>
          <w:noProof/>
        </w:rPr>
        <w:t>4</w:t>
      </w:r>
      <w:r w:rsidRPr="00862424">
        <w:rPr>
          <w:rFonts w:ascii="Arial" w:hAnsi="Arial" w:cs="Arial" w:hint="eastAsia"/>
        </w:rPr>
        <w:fldChar w:fldCharType="end"/>
      </w:r>
      <w:bookmarkEnd w:id="14"/>
      <w:r w:rsidRPr="00862424">
        <w:rPr>
          <w:rFonts w:ascii="Arial" w:hAnsi="Arial" w:cs="Arial"/>
        </w:rPr>
        <w:t xml:space="preserve">: KTEP_DMR_motif_results  </w:t>
      </w:r>
    </w:p>
    <w:p w14:paraId="4E4BCFC7" w14:textId="77777777" w:rsidR="00862424" w:rsidRPr="00862424" w:rsidRDefault="00862424" w:rsidP="00862424">
      <w:pPr>
        <w:widowControl/>
        <w:snapToGrid w:val="0"/>
        <w:spacing w:line="480" w:lineRule="auto"/>
        <w:jc w:val="left"/>
        <w:rPr>
          <w:rFonts w:ascii="Arial" w:hAnsi="Arial" w:cs="Arial"/>
        </w:rPr>
      </w:pPr>
      <w:bookmarkStart w:id="15" w:name="_Ref218272088"/>
      <w:r w:rsidRPr="00862424">
        <w:rPr>
          <w:rFonts w:ascii="Arial" w:hAnsi="Arial" w:cs="Arial"/>
        </w:rPr>
        <w:t>Table S</w:t>
      </w:r>
      <w:r w:rsidRPr="00862424">
        <w:rPr>
          <w:rFonts w:ascii="Arial" w:hAnsi="Arial" w:cs="Arial" w:hint="eastAsia"/>
        </w:rPr>
        <w:fldChar w:fldCharType="begin"/>
      </w:r>
      <w:r w:rsidRPr="00862424">
        <w:rPr>
          <w:rFonts w:ascii="Arial" w:hAnsi="Arial" w:cs="Arial"/>
        </w:rPr>
        <w:instrText xml:space="preserve"> SEQ Table_S \* ARABIC </w:instrText>
      </w:r>
      <w:r w:rsidRPr="00862424">
        <w:rPr>
          <w:rFonts w:ascii="Arial" w:hAnsi="Arial" w:cs="Arial" w:hint="eastAsia"/>
        </w:rPr>
        <w:fldChar w:fldCharType="separate"/>
      </w:r>
      <w:r w:rsidRPr="00862424">
        <w:rPr>
          <w:rFonts w:ascii="Arial" w:hAnsi="Arial" w:cs="Arial"/>
          <w:noProof/>
        </w:rPr>
        <w:t>5</w:t>
      </w:r>
      <w:r w:rsidRPr="00862424">
        <w:rPr>
          <w:rFonts w:ascii="Arial" w:hAnsi="Arial" w:cs="Arial" w:hint="eastAsia"/>
        </w:rPr>
        <w:fldChar w:fldCharType="end"/>
      </w:r>
      <w:bookmarkEnd w:id="15"/>
      <w:r w:rsidRPr="00862424">
        <w:rPr>
          <w:rFonts w:ascii="Arial" w:hAnsi="Arial" w:cs="Arial"/>
        </w:rPr>
        <w:t xml:space="preserve">: CrossPlat_overlap_DMC  </w:t>
      </w:r>
      <w:bookmarkEnd w:id="10"/>
      <w:r w:rsidRPr="00862424">
        <w:rPr>
          <w:rFonts w:ascii="Arial" w:hAnsi="Arial" w:cs="Arial"/>
        </w:rPr>
        <w:t xml:space="preserve">                        </w:t>
      </w:r>
    </w:p>
    <w:p w14:paraId="6052E104" w14:textId="07B4CF88" w:rsidR="00683635" w:rsidRPr="00DD617D" w:rsidRDefault="00862424" w:rsidP="00862424">
      <w:pPr>
        <w:widowControl/>
        <w:jc w:val="left"/>
        <w:rPr>
          <w:rFonts w:ascii="Arial" w:hAnsi="Arial" w:cs="Arial"/>
        </w:rPr>
        <w:sectPr w:rsidR="00683635" w:rsidRPr="00DD617D">
          <w:footerReference w:type="default" r:id="rId17"/>
          <w:pgSz w:w="11906" w:h="16838"/>
          <w:pgMar w:top="720" w:right="720" w:bottom="720" w:left="720" w:header="851" w:footer="992" w:gutter="0"/>
          <w:lnNumType w:countBy="1"/>
          <w:cols w:space="425"/>
          <w:docGrid w:type="lines" w:linePitch="312"/>
        </w:sectPr>
      </w:pPr>
      <w:bookmarkStart w:id="16" w:name="_Ref234874583"/>
      <w:r w:rsidRPr="00DD617D">
        <w:rPr>
          <w:rFonts w:ascii="Arial" w:hAnsi="Arial" w:cs="Arial" w:hint="eastAsia"/>
        </w:rPr>
        <w:t xml:space="preserve">Table S </w:t>
      </w:r>
      <w:r w:rsidRPr="00DD617D">
        <w:rPr>
          <w:rFonts w:ascii="Arial" w:hAnsi="Arial" w:cs="Arial" w:hint="eastAsia"/>
        </w:rPr>
        <w:fldChar w:fldCharType="begin"/>
      </w:r>
      <w:r w:rsidRPr="00DD617D">
        <w:rPr>
          <w:rFonts w:ascii="Arial" w:hAnsi="Arial" w:cs="Arial" w:hint="eastAsia"/>
        </w:rPr>
        <w:instrText xml:space="preserve"> SEQ Table_S \* ARABIC </w:instrText>
      </w:r>
      <w:r w:rsidRPr="00DD617D">
        <w:rPr>
          <w:rFonts w:ascii="Arial" w:hAnsi="Arial" w:cs="Arial" w:hint="eastAsia"/>
        </w:rPr>
        <w:fldChar w:fldCharType="separate"/>
      </w:r>
      <w:r w:rsidRPr="00DD617D">
        <w:rPr>
          <w:rFonts w:ascii="Arial" w:hAnsi="Arial" w:cs="Arial" w:hint="eastAsia"/>
        </w:rPr>
        <w:t>6</w:t>
      </w:r>
      <w:r w:rsidRPr="00DD617D">
        <w:rPr>
          <w:rFonts w:ascii="Arial" w:hAnsi="Arial" w:cs="Arial" w:hint="eastAsia"/>
        </w:rPr>
        <w:fldChar w:fldCharType="end"/>
      </w:r>
      <w:bookmarkEnd w:id="16"/>
      <w:r w:rsidRPr="00DD617D">
        <w:rPr>
          <w:rFonts w:ascii="Arial" w:hAnsi="Arial" w:cs="Arial" w:hint="eastAsia"/>
        </w:rPr>
        <w:t>: Overlap of comPMD&amp;LR</w:t>
      </w:r>
    </w:p>
    <w:p w14:paraId="138E43E2" w14:textId="1E365E6A" w:rsidR="00683635" w:rsidRDefault="00683635" w:rsidP="00862424">
      <w:pPr>
        <w:rPr>
          <w:rFonts w:hint="eastAsia"/>
        </w:rPr>
      </w:pPr>
    </w:p>
    <w:sectPr w:rsidR="00683635">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2A634" w14:textId="77777777" w:rsidR="00BA3257" w:rsidRDefault="00BA3257">
      <w:pPr>
        <w:rPr>
          <w:rFonts w:hint="eastAsia"/>
        </w:rPr>
      </w:pPr>
      <w:r>
        <w:separator/>
      </w:r>
    </w:p>
  </w:endnote>
  <w:endnote w:type="continuationSeparator" w:id="0">
    <w:p w14:paraId="59D3CAEA" w14:textId="77777777" w:rsidR="00BA3257" w:rsidRDefault="00BA325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306634"/>
      <w:docPartObj>
        <w:docPartGallery w:val="AutoText"/>
      </w:docPartObj>
    </w:sdtPr>
    <w:sdtContent>
      <w:p w14:paraId="55D1C877" w14:textId="77777777" w:rsidR="00862424" w:rsidRDefault="00862424">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6C044E00" w14:textId="77777777" w:rsidR="00862424" w:rsidRDefault="00862424">
    <w:pPr>
      <w:pStyle w:val="a4"/>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2328" w14:textId="77777777" w:rsidR="00683635" w:rsidRDefault="00000000">
    <w:pPr>
      <w:pStyle w:val="a4"/>
      <w:jc w:val="center"/>
      <w:rPr>
        <w:rFonts w:hint="eastAsia"/>
      </w:rPr>
    </w:pPr>
    <w:r>
      <w:rPr>
        <w:noProof/>
      </w:rPr>
      <mc:AlternateContent>
        <mc:Choice Requires="wps">
          <w:drawing>
            <wp:anchor distT="0" distB="0" distL="114300" distR="114300" simplePos="0" relativeHeight="251659264" behindDoc="0" locked="0" layoutInCell="1" allowOverlap="1" wp14:anchorId="39B7FC46" wp14:editId="6255D44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70049"/>
                          </w:sdtPr>
                          <w:sdtContent>
                            <w:p w14:paraId="55A8EB65" w14:textId="77777777" w:rsidR="00683635"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4C5B5B3B" w14:textId="77777777" w:rsidR="00683635" w:rsidRDefault="00683635">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B7FC46"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sdt>
                    <w:sdtPr>
                      <w:id w:val="147470049"/>
                    </w:sdtPr>
                    <w:sdtContent>
                      <w:p w14:paraId="55A8EB65" w14:textId="77777777" w:rsidR="00683635"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4C5B5B3B" w14:textId="77777777" w:rsidR="00683635" w:rsidRDefault="00683635">
                    <w:pPr>
                      <w:rPr>
                        <w:rFonts w:hint="eastAsia"/>
                      </w:rPr>
                    </w:pPr>
                  </w:p>
                </w:txbxContent>
              </v:textbox>
              <w10:wrap anchorx="margin"/>
            </v:shape>
          </w:pict>
        </mc:Fallback>
      </mc:AlternateContent>
    </w:r>
  </w:p>
  <w:sdt>
    <w:sdtPr>
      <w:id w:val="1818296273"/>
    </w:sdtPr>
    <w:sdtContent>
      <w:p w14:paraId="5A538494" w14:textId="77777777" w:rsidR="00683635" w:rsidRDefault="00000000">
        <w:pPr>
          <w:pStyle w:val="a4"/>
          <w:jc w:val="center"/>
          <w:rPr>
            <w:rFonts w:hint="eastAsia"/>
          </w:rPr>
        </w:pPr>
      </w:p>
    </w:sdtContent>
  </w:sdt>
  <w:p w14:paraId="511213CE" w14:textId="77777777" w:rsidR="00683635" w:rsidRDefault="00683635">
    <w:pPr>
      <w:pStyle w:val="a4"/>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2342" w14:textId="77777777" w:rsidR="00683635" w:rsidRDefault="00000000">
    <w:pPr>
      <w:pStyle w:val="a4"/>
      <w:jc w:val="center"/>
      <w:rPr>
        <w:rFonts w:hint="eastAsia"/>
      </w:rPr>
    </w:pPr>
    <w:r>
      <w:rPr>
        <w:noProof/>
      </w:rPr>
      <mc:AlternateContent>
        <mc:Choice Requires="wps">
          <w:drawing>
            <wp:anchor distT="0" distB="0" distL="114300" distR="114300" simplePos="0" relativeHeight="251660288" behindDoc="0" locked="0" layoutInCell="1" allowOverlap="1" wp14:anchorId="11BDB99B" wp14:editId="368634EB">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47451728"/>
                          </w:sdtPr>
                          <w:sdtContent>
                            <w:p w14:paraId="75812B17" w14:textId="77777777" w:rsidR="00683635"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775F0471" w14:textId="77777777" w:rsidR="00683635" w:rsidRDefault="00683635">
                          <w:pPr>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1BDB99B"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sdt>
                    <w:sdtPr>
                      <w:id w:val="147451728"/>
                    </w:sdtPr>
                    <w:sdtContent>
                      <w:p w14:paraId="75812B17" w14:textId="77777777" w:rsidR="00683635"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775F0471" w14:textId="77777777" w:rsidR="00683635" w:rsidRDefault="00683635">
                    <w:pPr>
                      <w:rPr>
                        <w:rFonts w:hint="eastAsia"/>
                      </w:rPr>
                    </w:pPr>
                  </w:p>
                </w:txbxContent>
              </v:textbox>
              <w10:wrap anchorx="margin"/>
            </v:shape>
          </w:pict>
        </mc:Fallback>
      </mc:AlternateContent>
    </w:r>
  </w:p>
  <w:p w14:paraId="46226F1F" w14:textId="77777777" w:rsidR="00683635" w:rsidRDefault="00683635">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A5AA" w14:textId="77777777" w:rsidR="00BA3257" w:rsidRDefault="00BA3257">
      <w:pPr>
        <w:rPr>
          <w:rFonts w:hint="eastAsia"/>
        </w:rPr>
      </w:pPr>
      <w:r>
        <w:separator/>
      </w:r>
    </w:p>
  </w:footnote>
  <w:footnote w:type="continuationSeparator" w:id="0">
    <w:p w14:paraId="258EB894" w14:textId="77777777" w:rsidR="00BA3257" w:rsidRDefault="00BA325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6D"/>
    <w:rsid w:val="000C4099"/>
    <w:rsid w:val="000D5E6D"/>
    <w:rsid w:val="001A3EA7"/>
    <w:rsid w:val="002A56F7"/>
    <w:rsid w:val="002A6211"/>
    <w:rsid w:val="002C74BA"/>
    <w:rsid w:val="002C7E16"/>
    <w:rsid w:val="003868A7"/>
    <w:rsid w:val="005E49C1"/>
    <w:rsid w:val="00614BD6"/>
    <w:rsid w:val="006713F2"/>
    <w:rsid w:val="00683635"/>
    <w:rsid w:val="006A177B"/>
    <w:rsid w:val="006F6E00"/>
    <w:rsid w:val="007E56CD"/>
    <w:rsid w:val="00862424"/>
    <w:rsid w:val="00941193"/>
    <w:rsid w:val="009E1F42"/>
    <w:rsid w:val="00BA3257"/>
    <w:rsid w:val="00BC4602"/>
    <w:rsid w:val="00BC5B62"/>
    <w:rsid w:val="00C05B3F"/>
    <w:rsid w:val="00C10DD4"/>
    <w:rsid w:val="00D91C0E"/>
    <w:rsid w:val="00DA6FC0"/>
    <w:rsid w:val="00DD617D"/>
    <w:rsid w:val="00DF4575"/>
    <w:rsid w:val="00DF4C02"/>
    <w:rsid w:val="00E43BB5"/>
    <w:rsid w:val="00F45B6C"/>
    <w:rsid w:val="5005734B"/>
    <w:rsid w:val="67AC6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C6B8E"/>
  <w15:docId w15:val="{0544B0E0-094B-4945-8D95-B188930C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footer"/>
    <w:basedOn w:val="a"/>
    <w:link w:val="a5"/>
    <w:unhideWhenUsed/>
    <w:qFormat/>
    <w:pPr>
      <w:widowControl/>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c">
    <w:name w:val="line number"/>
    <w:basedOn w:val="a0"/>
    <w:uiPriority w:val="99"/>
    <w:semiHidden/>
    <w:unhideWhenUsed/>
    <w:qFormat/>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5">
    <w:name w:val="页脚 字符"/>
    <w:basedOn w:val="a0"/>
    <w:link w:val="a4"/>
    <w:qFormat/>
    <w:rPr>
      <w:sz w:val="18"/>
      <w:szCs w:val="18"/>
    </w:rPr>
  </w:style>
  <w:style w:type="character" w:customStyle="1" w:styleId="a7">
    <w:name w:val="页眉 字符"/>
    <w:basedOn w:val="a0"/>
    <w:link w:val="a6"/>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D2485F-FB44-4329-ACD6-A34647263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1450</Words>
  <Characters>9299</Characters>
  <Application>Microsoft Office Word</Application>
  <DocSecurity>0</DocSecurity>
  <Lines>149</Lines>
  <Paragraphs>54</Paragraphs>
  <ScaleCrop>false</ScaleCrop>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克繁 苏</dc:creator>
  <cp:lastModifiedBy>克繁 苏</cp:lastModifiedBy>
  <cp:revision>7</cp:revision>
  <dcterms:created xsi:type="dcterms:W3CDTF">2026-03-17T13:33:00Z</dcterms:created>
  <dcterms:modified xsi:type="dcterms:W3CDTF">2026-07-17T18:12:00Z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eyJoZGlkIjoiYzI3ODBjMTljYjA5YWRiMTYzNTVjNmI0MGFkMDQ1YmQiLCJ1c2VySWQiOiIxNDc1MjQ0NzI0In0=</vt:lpwstr>
  </property>
  <property fmtid="{D5CDD505-2E9C-101B-9397-08002B2CF9AE}" pid="3" name="KSOProductBuildVer">
    <vt:lpwstr>2052-12.1.0.24034</vt:lpwstr>
  </property>
  <property fmtid="{D5CDD505-2E9C-101B-9397-08002B2CF9AE}" pid="4" name="ICV">
    <vt:lpwstr>C35E21EC43604FA0B7880E89DD32A3D5_12</vt:lpwstr>
  </property>
</Properties>
</file>