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E939" w14:textId="235CE428" w:rsidR="002F1772" w:rsidRPr="002F1772" w:rsidRDefault="002F1772" w:rsidP="002F1772">
      <w:pPr>
        <w:keepNext/>
        <w:spacing w:line="480" w:lineRule="auto"/>
        <w:jc w:val="center"/>
        <w:rPr>
          <w:rFonts w:ascii="Times New Roman" w:eastAsia="黑体" w:hAnsi="Times New Roman" w:cs="Times New Roman"/>
          <w:sz w:val="20"/>
          <w:szCs w:val="20"/>
        </w:rPr>
      </w:pPr>
      <w:r w:rsidRPr="002F1772">
        <w:rPr>
          <w:rFonts w:ascii="Times New Roman" w:eastAsia="黑体" w:hAnsi="Times New Roman" w:cs="Times New Roman"/>
          <w:sz w:val="20"/>
          <w:szCs w:val="20"/>
        </w:rPr>
        <w:t xml:space="preserve">Table </w:t>
      </w:r>
      <w:r w:rsidRPr="002F1772">
        <w:rPr>
          <w:rFonts w:ascii="Times New Roman" w:eastAsia="黑体" w:hAnsi="Times New Roman" w:cs="Times New Roman"/>
          <w:sz w:val="20"/>
          <w:szCs w:val="20"/>
        </w:rPr>
        <w:fldChar w:fldCharType="begin"/>
      </w:r>
      <w:r w:rsidRPr="002F1772">
        <w:rPr>
          <w:rFonts w:ascii="Times New Roman" w:eastAsia="黑体" w:hAnsi="Times New Roman" w:cs="Times New Roman"/>
          <w:sz w:val="20"/>
          <w:szCs w:val="20"/>
        </w:rPr>
        <w:instrText xml:space="preserve"> SEQ Table \* ARABIC </w:instrText>
      </w:r>
      <w:r w:rsidRPr="002F1772">
        <w:rPr>
          <w:rFonts w:ascii="Times New Roman" w:eastAsia="黑体" w:hAnsi="Times New Roman" w:cs="Times New Roman"/>
          <w:sz w:val="20"/>
          <w:szCs w:val="20"/>
        </w:rPr>
        <w:fldChar w:fldCharType="separate"/>
      </w:r>
      <w:r w:rsidRPr="002F1772">
        <w:rPr>
          <w:rFonts w:ascii="Times New Roman" w:eastAsia="黑体" w:hAnsi="Times New Roman" w:cs="Times New Roman"/>
          <w:sz w:val="20"/>
          <w:szCs w:val="20"/>
        </w:rPr>
        <w:t>1</w:t>
      </w:r>
      <w:r w:rsidRPr="002F1772">
        <w:rPr>
          <w:rFonts w:ascii="Times New Roman" w:eastAsia="黑体" w:hAnsi="Times New Roman" w:cs="Times New Roman"/>
          <w:sz w:val="20"/>
          <w:szCs w:val="20"/>
        </w:rPr>
        <w:fldChar w:fldCharType="end"/>
      </w:r>
      <w:r w:rsidRPr="002F1772">
        <w:rPr>
          <w:rFonts w:ascii="Times New Roman" w:eastAsia="黑体" w:hAnsi="Times New Roman" w:cs="Times New Roman"/>
          <w:sz w:val="20"/>
          <w:szCs w:val="20"/>
        </w:rPr>
        <w:t xml:space="preserve"> List of Abbreviations</w:t>
      </w:r>
      <w:r w:rsidRPr="002F1772">
        <w:t xml:space="preserve"> </w:t>
      </w:r>
      <w:r w:rsidRPr="002F1772">
        <w:rPr>
          <w:rFonts w:ascii="Times New Roman" w:eastAsia="黑体" w:hAnsi="Times New Roman" w:cs="Times New Roman"/>
          <w:sz w:val="20"/>
          <w:szCs w:val="20"/>
        </w:rPr>
        <w:t>used in the manuscript</w:t>
      </w:r>
    </w:p>
    <w:tbl>
      <w:tblPr>
        <w:tblStyle w:val="a3"/>
        <w:tblW w:w="6521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69"/>
        <w:gridCol w:w="4752"/>
      </w:tblGrid>
      <w:tr w:rsidR="002F1772" w:rsidRPr="002F1772" w14:paraId="15D57BD2" w14:textId="77777777" w:rsidTr="00EA19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69" w:type="dxa"/>
          </w:tcPr>
          <w:p w14:paraId="522803C7" w14:textId="10457DA0" w:rsidR="002F1772" w:rsidRPr="002F1772" w:rsidRDefault="002F1772" w:rsidP="002F1772">
            <w:pPr>
              <w:widowControl/>
              <w:topLinePunct/>
              <w:adjustRightInd w:val="0"/>
              <w:spacing w:after="120"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Abbreviation</w:t>
            </w:r>
          </w:p>
        </w:tc>
        <w:tc>
          <w:tcPr>
            <w:tcW w:w="4752" w:type="dxa"/>
          </w:tcPr>
          <w:p w14:paraId="16968E38" w14:textId="54177F86" w:rsidR="002F1772" w:rsidRPr="002F1772" w:rsidRDefault="002F1772" w:rsidP="002F1772">
            <w:pPr>
              <w:widowControl/>
              <w:topLinePunct/>
              <w:adjustRightInd w:val="0"/>
              <w:spacing w:after="120"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Definition</w:t>
            </w:r>
          </w:p>
        </w:tc>
      </w:tr>
      <w:tr w:rsidR="002F1772" w:rsidRPr="002F1772" w14:paraId="54142328" w14:textId="77777777" w:rsidTr="00EA190D">
        <w:tc>
          <w:tcPr>
            <w:tcW w:w="1769" w:type="dxa"/>
            <w:vAlign w:val="top"/>
          </w:tcPr>
          <w:p w14:paraId="39FBEB06" w14:textId="3A10FBB7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RFT</w:t>
            </w:r>
          </w:p>
        </w:tc>
        <w:tc>
          <w:tcPr>
            <w:tcW w:w="4752" w:type="dxa"/>
          </w:tcPr>
          <w:p w14:paraId="5301C70A" w14:textId="60D98321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Rumen fluid transplantation</w:t>
            </w:r>
          </w:p>
        </w:tc>
      </w:tr>
      <w:tr w:rsidR="002F1772" w:rsidRPr="002F1772" w14:paraId="4089EB87" w14:textId="77777777" w:rsidTr="00EA190D">
        <w:tc>
          <w:tcPr>
            <w:tcW w:w="1769" w:type="dxa"/>
            <w:vAlign w:val="top"/>
          </w:tcPr>
          <w:p w14:paraId="239586E8" w14:textId="4FD5AE17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</w:t>
            </w:r>
          </w:p>
        </w:tc>
        <w:tc>
          <w:tcPr>
            <w:tcW w:w="4752" w:type="dxa"/>
          </w:tcPr>
          <w:p w14:paraId="56E783D1" w14:textId="6A203F47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Control group duodenum samples</w:t>
            </w:r>
          </w:p>
        </w:tc>
      </w:tr>
      <w:tr w:rsidR="002F1772" w:rsidRPr="002F1772" w14:paraId="396DC723" w14:textId="77777777" w:rsidTr="00EA190D">
        <w:tc>
          <w:tcPr>
            <w:tcW w:w="1769" w:type="dxa"/>
            <w:vAlign w:val="top"/>
          </w:tcPr>
          <w:p w14:paraId="061D6726" w14:textId="59B01E99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4752" w:type="dxa"/>
          </w:tcPr>
          <w:p w14:paraId="065E11E9" w14:textId="6785DAC2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Experimental group duodenum samples</w:t>
            </w:r>
          </w:p>
        </w:tc>
      </w:tr>
      <w:tr w:rsidR="002F1772" w:rsidRPr="002F1772" w14:paraId="2E19B915" w14:textId="77777777" w:rsidTr="00EA190D">
        <w:tc>
          <w:tcPr>
            <w:tcW w:w="1769" w:type="dxa"/>
            <w:vAlign w:val="top"/>
          </w:tcPr>
          <w:p w14:paraId="437D5F0F" w14:textId="187425E4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DC</w:t>
            </w:r>
          </w:p>
        </w:tc>
        <w:tc>
          <w:tcPr>
            <w:tcW w:w="4752" w:type="dxa"/>
          </w:tcPr>
          <w:p w14:paraId="1A38BBEE" w14:textId="7FEAC962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Control group bile samples</w:t>
            </w:r>
          </w:p>
        </w:tc>
      </w:tr>
      <w:tr w:rsidR="002F1772" w:rsidRPr="002F1772" w14:paraId="45054A23" w14:textId="77777777" w:rsidTr="00EA190D">
        <w:tc>
          <w:tcPr>
            <w:tcW w:w="1769" w:type="dxa"/>
            <w:vAlign w:val="top"/>
          </w:tcPr>
          <w:p w14:paraId="2BDE17D9" w14:textId="018C922B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DS</w:t>
            </w:r>
          </w:p>
        </w:tc>
        <w:tc>
          <w:tcPr>
            <w:tcW w:w="4752" w:type="dxa"/>
          </w:tcPr>
          <w:p w14:paraId="447E54DC" w14:textId="6E4D640D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Experimental group bile samples</w:t>
            </w:r>
          </w:p>
        </w:tc>
      </w:tr>
      <w:tr w:rsidR="002F1772" w:rsidRPr="002F1772" w14:paraId="6B18A617" w14:textId="77777777" w:rsidTr="00EA190D">
        <w:tc>
          <w:tcPr>
            <w:tcW w:w="1769" w:type="dxa"/>
            <w:vAlign w:val="top"/>
          </w:tcPr>
          <w:p w14:paraId="76F9E978" w14:textId="2FE139FE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>
              <w:rPr>
                <w:rFonts w:hint="eastAsia"/>
                <w:sz w:val="16"/>
                <w:szCs w:val="16"/>
                <w:lang w:eastAsia="zh-CN"/>
              </w:rPr>
              <w:t>trl</w:t>
            </w:r>
          </w:p>
        </w:tc>
        <w:tc>
          <w:tcPr>
            <w:tcW w:w="4752" w:type="dxa"/>
            <w:vAlign w:val="top"/>
          </w:tcPr>
          <w:p w14:paraId="4D50CD72" w14:textId="70DC03BF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Control group</w:t>
            </w:r>
          </w:p>
        </w:tc>
      </w:tr>
      <w:tr w:rsidR="002F1772" w:rsidRPr="002F1772" w14:paraId="1878E29C" w14:textId="77777777" w:rsidTr="00EA190D">
        <w:tc>
          <w:tcPr>
            <w:tcW w:w="1769" w:type="dxa"/>
            <w:vAlign w:val="top"/>
          </w:tcPr>
          <w:p w14:paraId="2BA8BBD7" w14:textId="05C69E1C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>
              <w:rPr>
                <w:rFonts w:hint="eastAsia"/>
                <w:sz w:val="16"/>
                <w:szCs w:val="16"/>
                <w:lang w:eastAsia="zh-CN"/>
              </w:rPr>
              <w:t>xp</w:t>
            </w:r>
          </w:p>
        </w:tc>
        <w:tc>
          <w:tcPr>
            <w:tcW w:w="4752" w:type="dxa"/>
            <w:vAlign w:val="top"/>
          </w:tcPr>
          <w:p w14:paraId="05DA410B" w14:textId="4545051A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Experimental group</w:t>
            </w:r>
          </w:p>
        </w:tc>
      </w:tr>
      <w:tr w:rsidR="002F1772" w:rsidRPr="002F1772" w14:paraId="4D54057C" w14:textId="77777777" w:rsidTr="00EA190D">
        <w:trPr>
          <w:trHeight w:val="259"/>
        </w:trPr>
        <w:tc>
          <w:tcPr>
            <w:tcW w:w="1769" w:type="dxa"/>
            <w:vAlign w:val="top"/>
          </w:tcPr>
          <w:p w14:paraId="709A47B2" w14:textId="3C3BC40B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</w:t>
            </w:r>
          </w:p>
        </w:tc>
        <w:tc>
          <w:tcPr>
            <w:tcW w:w="4752" w:type="dxa"/>
            <w:vAlign w:val="top"/>
          </w:tcPr>
          <w:p w14:paraId="2319E381" w14:textId="6B920376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Hematoxylin and eosin</w:t>
            </w:r>
          </w:p>
        </w:tc>
      </w:tr>
      <w:tr w:rsidR="002F1772" w:rsidRPr="002F1772" w14:paraId="25B84E82" w14:textId="77777777" w:rsidTr="00EA190D">
        <w:trPr>
          <w:trHeight w:val="259"/>
        </w:trPr>
        <w:tc>
          <w:tcPr>
            <w:tcW w:w="1769" w:type="dxa"/>
            <w:vAlign w:val="top"/>
          </w:tcPr>
          <w:p w14:paraId="2B6335FF" w14:textId="70FC2FB0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RNA-</w:t>
            </w:r>
            <w:r>
              <w:rPr>
                <w:rFonts w:hint="eastAsia"/>
                <w:sz w:val="16"/>
                <w:szCs w:val="16"/>
                <w:lang w:eastAsia="zh-CN"/>
              </w:rPr>
              <w:t>seq</w:t>
            </w:r>
          </w:p>
        </w:tc>
        <w:tc>
          <w:tcPr>
            <w:tcW w:w="4752" w:type="dxa"/>
            <w:vAlign w:val="top"/>
          </w:tcPr>
          <w:p w14:paraId="69FAB389" w14:textId="0C424F9A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RNA sequencing</w:t>
            </w:r>
          </w:p>
        </w:tc>
      </w:tr>
      <w:tr w:rsidR="002F1772" w:rsidRPr="002F1772" w14:paraId="6A29CA48" w14:textId="77777777" w:rsidTr="00EA190D">
        <w:trPr>
          <w:trHeight w:val="259"/>
        </w:trPr>
        <w:tc>
          <w:tcPr>
            <w:tcW w:w="1769" w:type="dxa"/>
            <w:vAlign w:val="top"/>
          </w:tcPr>
          <w:p w14:paraId="2AA8A107" w14:textId="0674CE9C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DEG</w:t>
            </w:r>
          </w:p>
        </w:tc>
        <w:tc>
          <w:tcPr>
            <w:tcW w:w="4752" w:type="dxa"/>
            <w:vAlign w:val="top"/>
          </w:tcPr>
          <w:p w14:paraId="1861FCE0" w14:textId="04B5BF7E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Differentially expressed gene</w:t>
            </w:r>
          </w:p>
        </w:tc>
      </w:tr>
      <w:tr w:rsidR="002F1772" w:rsidRPr="002F1772" w14:paraId="1256EB93" w14:textId="77777777" w:rsidTr="00EA190D">
        <w:trPr>
          <w:trHeight w:val="259"/>
        </w:trPr>
        <w:tc>
          <w:tcPr>
            <w:tcW w:w="1769" w:type="dxa"/>
            <w:vAlign w:val="top"/>
          </w:tcPr>
          <w:p w14:paraId="60420F36" w14:textId="0C85B511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</w:t>
            </w:r>
          </w:p>
        </w:tc>
        <w:tc>
          <w:tcPr>
            <w:tcW w:w="4752" w:type="dxa"/>
            <w:vAlign w:val="top"/>
          </w:tcPr>
          <w:p w14:paraId="182E65A5" w14:textId="7E5D372F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2F1772">
              <w:rPr>
                <w:sz w:val="16"/>
                <w:szCs w:val="16"/>
              </w:rPr>
              <w:t>Gene Ontology</w:t>
            </w:r>
          </w:p>
        </w:tc>
      </w:tr>
      <w:tr w:rsidR="002F1772" w:rsidRPr="002F1772" w14:paraId="4757D786" w14:textId="77777777" w:rsidTr="00EA190D">
        <w:trPr>
          <w:trHeight w:val="259"/>
        </w:trPr>
        <w:tc>
          <w:tcPr>
            <w:tcW w:w="1769" w:type="dxa"/>
            <w:vAlign w:val="top"/>
          </w:tcPr>
          <w:p w14:paraId="71ACABCD" w14:textId="0E60D050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KEGG</w:t>
            </w:r>
          </w:p>
        </w:tc>
        <w:tc>
          <w:tcPr>
            <w:tcW w:w="4752" w:type="dxa"/>
            <w:vAlign w:val="top"/>
          </w:tcPr>
          <w:p w14:paraId="0847D8E1" w14:textId="65C3B94C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Kyoto Encyclopedia of Genes and Genomes</w:t>
            </w:r>
          </w:p>
        </w:tc>
      </w:tr>
      <w:tr w:rsidR="002F1772" w:rsidRPr="002F1772" w14:paraId="1DEADE0E" w14:textId="77777777" w:rsidTr="00EA190D">
        <w:trPr>
          <w:trHeight w:val="259"/>
        </w:trPr>
        <w:tc>
          <w:tcPr>
            <w:tcW w:w="1769" w:type="dxa"/>
            <w:vAlign w:val="top"/>
          </w:tcPr>
          <w:p w14:paraId="682B923D" w14:textId="6C36CC0B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P</w:t>
            </w:r>
            <w:r>
              <w:rPr>
                <w:sz w:val="16"/>
                <w:szCs w:val="16"/>
                <w:lang w:eastAsia="zh-CN"/>
              </w:rPr>
              <w:t>CA</w:t>
            </w:r>
          </w:p>
        </w:tc>
        <w:tc>
          <w:tcPr>
            <w:tcW w:w="4752" w:type="dxa"/>
            <w:vAlign w:val="top"/>
          </w:tcPr>
          <w:p w14:paraId="6A962A8A" w14:textId="05567625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Principal component analysis</w:t>
            </w:r>
          </w:p>
        </w:tc>
      </w:tr>
      <w:tr w:rsidR="002F1772" w:rsidRPr="002F1772" w14:paraId="1491A7B9" w14:textId="77777777" w:rsidTr="00EA190D">
        <w:trPr>
          <w:trHeight w:val="259"/>
        </w:trPr>
        <w:tc>
          <w:tcPr>
            <w:tcW w:w="1769" w:type="dxa"/>
            <w:vAlign w:val="top"/>
          </w:tcPr>
          <w:p w14:paraId="6CBBEA2E" w14:textId="0134185B" w:rsidR="002F1772" w:rsidRPr="002F1772" w:rsidRDefault="002F1772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P</w:t>
            </w:r>
            <w:r>
              <w:rPr>
                <w:sz w:val="16"/>
                <w:szCs w:val="16"/>
                <w:lang w:eastAsia="zh-CN"/>
              </w:rPr>
              <w:t>C</w:t>
            </w:r>
            <w:r>
              <w:rPr>
                <w:rFonts w:hint="eastAsia"/>
                <w:sz w:val="16"/>
                <w:szCs w:val="16"/>
                <w:lang w:eastAsia="zh-CN"/>
              </w:rPr>
              <w:t>o</w:t>
            </w:r>
            <w:r>
              <w:rPr>
                <w:sz w:val="16"/>
                <w:szCs w:val="16"/>
                <w:lang w:eastAsia="zh-CN"/>
              </w:rPr>
              <w:t>A</w:t>
            </w:r>
          </w:p>
        </w:tc>
        <w:tc>
          <w:tcPr>
            <w:tcW w:w="4752" w:type="dxa"/>
            <w:vAlign w:val="top"/>
          </w:tcPr>
          <w:p w14:paraId="0013D9A8" w14:textId="44C57368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Principal coordinates analysis</w:t>
            </w:r>
          </w:p>
        </w:tc>
      </w:tr>
      <w:tr w:rsidR="002F1772" w:rsidRPr="002F1772" w14:paraId="16FC4B0C" w14:textId="77777777" w:rsidTr="00EA190D">
        <w:trPr>
          <w:trHeight w:val="259"/>
        </w:trPr>
        <w:tc>
          <w:tcPr>
            <w:tcW w:w="1769" w:type="dxa"/>
            <w:vAlign w:val="top"/>
          </w:tcPr>
          <w:p w14:paraId="2E75C6B7" w14:textId="616A2890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L</w:t>
            </w:r>
            <w:r>
              <w:rPr>
                <w:sz w:val="16"/>
                <w:szCs w:val="16"/>
                <w:lang w:eastAsia="zh-CN"/>
              </w:rPr>
              <w:t>C-MS/MS</w:t>
            </w:r>
          </w:p>
        </w:tc>
        <w:tc>
          <w:tcPr>
            <w:tcW w:w="4752" w:type="dxa"/>
            <w:vAlign w:val="top"/>
          </w:tcPr>
          <w:p w14:paraId="77551B11" w14:textId="1A76B70F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Liquid chromatography–tandem mass spectrometry</w:t>
            </w:r>
          </w:p>
        </w:tc>
      </w:tr>
      <w:tr w:rsidR="002F1772" w:rsidRPr="002F1772" w14:paraId="2F5D7673" w14:textId="77777777" w:rsidTr="00EA190D">
        <w:trPr>
          <w:trHeight w:val="259"/>
        </w:trPr>
        <w:tc>
          <w:tcPr>
            <w:tcW w:w="1769" w:type="dxa"/>
            <w:vAlign w:val="top"/>
          </w:tcPr>
          <w:p w14:paraId="14E9098E" w14:textId="4BAEB743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P</w:t>
            </w:r>
            <w:r>
              <w:rPr>
                <w:sz w:val="16"/>
                <w:szCs w:val="16"/>
                <w:lang w:eastAsia="zh-CN"/>
              </w:rPr>
              <w:t>OS</w:t>
            </w:r>
          </w:p>
        </w:tc>
        <w:tc>
          <w:tcPr>
            <w:tcW w:w="4752" w:type="dxa"/>
            <w:vAlign w:val="top"/>
          </w:tcPr>
          <w:p w14:paraId="4B2040A9" w14:textId="1F83B302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Positive ion mode</w:t>
            </w:r>
          </w:p>
        </w:tc>
      </w:tr>
      <w:tr w:rsidR="002F1772" w:rsidRPr="002F1772" w14:paraId="1339E329" w14:textId="77777777" w:rsidTr="00EA190D">
        <w:trPr>
          <w:trHeight w:val="259"/>
        </w:trPr>
        <w:tc>
          <w:tcPr>
            <w:tcW w:w="1769" w:type="dxa"/>
            <w:vAlign w:val="top"/>
          </w:tcPr>
          <w:p w14:paraId="0430C515" w14:textId="1BB4A6C4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N</w:t>
            </w:r>
            <w:r>
              <w:rPr>
                <w:sz w:val="16"/>
                <w:szCs w:val="16"/>
                <w:lang w:eastAsia="zh-CN"/>
              </w:rPr>
              <w:t>EG</w:t>
            </w:r>
          </w:p>
        </w:tc>
        <w:tc>
          <w:tcPr>
            <w:tcW w:w="4752" w:type="dxa"/>
            <w:vAlign w:val="top"/>
          </w:tcPr>
          <w:p w14:paraId="5E057A83" w14:textId="441C6ED5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Negative ion mode</w:t>
            </w:r>
          </w:p>
        </w:tc>
      </w:tr>
      <w:tr w:rsidR="002F1772" w:rsidRPr="002F1772" w14:paraId="03A6C6A4" w14:textId="77777777" w:rsidTr="00EA190D">
        <w:trPr>
          <w:trHeight w:val="259"/>
        </w:trPr>
        <w:tc>
          <w:tcPr>
            <w:tcW w:w="1769" w:type="dxa"/>
            <w:vAlign w:val="top"/>
          </w:tcPr>
          <w:p w14:paraId="4A23E1B7" w14:textId="3656AD25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Q</w:t>
            </w:r>
            <w:r>
              <w:rPr>
                <w:sz w:val="16"/>
                <w:szCs w:val="16"/>
                <w:lang w:eastAsia="zh-CN"/>
              </w:rPr>
              <w:t>C</w:t>
            </w:r>
          </w:p>
        </w:tc>
        <w:tc>
          <w:tcPr>
            <w:tcW w:w="4752" w:type="dxa"/>
            <w:vAlign w:val="top"/>
          </w:tcPr>
          <w:p w14:paraId="5D96F7A1" w14:textId="591A6FC5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Quality control</w:t>
            </w:r>
          </w:p>
        </w:tc>
      </w:tr>
      <w:tr w:rsidR="002F1772" w:rsidRPr="002F1772" w14:paraId="0640E606" w14:textId="77777777" w:rsidTr="00EA190D">
        <w:trPr>
          <w:trHeight w:val="259"/>
        </w:trPr>
        <w:tc>
          <w:tcPr>
            <w:tcW w:w="1769" w:type="dxa"/>
            <w:vAlign w:val="top"/>
          </w:tcPr>
          <w:p w14:paraId="3AA64555" w14:textId="732840AD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R</w:t>
            </w:r>
            <w:r>
              <w:rPr>
                <w:sz w:val="16"/>
                <w:szCs w:val="16"/>
                <w:lang w:eastAsia="zh-CN"/>
              </w:rPr>
              <w:t>SD</w:t>
            </w:r>
          </w:p>
        </w:tc>
        <w:tc>
          <w:tcPr>
            <w:tcW w:w="4752" w:type="dxa"/>
            <w:vAlign w:val="top"/>
          </w:tcPr>
          <w:p w14:paraId="17BE9AAF" w14:textId="293DDA69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Relative standard deviation</w:t>
            </w:r>
          </w:p>
        </w:tc>
      </w:tr>
      <w:tr w:rsidR="002F1772" w:rsidRPr="002F1772" w14:paraId="31F2A23E" w14:textId="77777777" w:rsidTr="00EA190D">
        <w:trPr>
          <w:trHeight w:val="259"/>
        </w:trPr>
        <w:tc>
          <w:tcPr>
            <w:tcW w:w="1769" w:type="dxa"/>
            <w:vAlign w:val="top"/>
          </w:tcPr>
          <w:p w14:paraId="662F322B" w14:textId="19C01B17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1</w:t>
            </w:r>
            <w:r>
              <w:rPr>
                <w:sz w:val="16"/>
                <w:szCs w:val="16"/>
                <w:lang w:eastAsia="zh-CN"/>
              </w:rPr>
              <w:t xml:space="preserve">6S </w:t>
            </w:r>
            <w:r>
              <w:rPr>
                <w:rFonts w:hint="eastAsia"/>
                <w:sz w:val="16"/>
                <w:szCs w:val="16"/>
                <w:lang w:eastAsia="zh-CN"/>
              </w:rPr>
              <w:t>r</w:t>
            </w:r>
            <w:r>
              <w:rPr>
                <w:sz w:val="16"/>
                <w:szCs w:val="16"/>
                <w:lang w:eastAsia="zh-CN"/>
              </w:rPr>
              <w:t>RNA</w:t>
            </w:r>
          </w:p>
        </w:tc>
        <w:tc>
          <w:tcPr>
            <w:tcW w:w="4752" w:type="dxa"/>
            <w:vAlign w:val="top"/>
          </w:tcPr>
          <w:p w14:paraId="3BA48798" w14:textId="19A5DA4F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16S ribosomal RNA</w:t>
            </w:r>
          </w:p>
        </w:tc>
      </w:tr>
      <w:tr w:rsidR="00EA190D" w:rsidRPr="002F1772" w14:paraId="121A67F2" w14:textId="77777777" w:rsidTr="00EA190D">
        <w:trPr>
          <w:trHeight w:val="259"/>
        </w:trPr>
        <w:tc>
          <w:tcPr>
            <w:tcW w:w="1769" w:type="dxa"/>
            <w:vAlign w:val="top"/>
          </w:tcPr>
          <w:p w14:paraId="7BA3F22E" w14:textId="63DF6D18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lastRenderedPageBreak/>
              <w:t>O</w:t>
            </w:r>
            <w:r>
              <w:rPr>
                <w:sz w:val="16"/>
                <w:szCs w:val="16"/>
                <w:lang w:eastAsia="zh-CN"/>
              </w:rPr>
              <w:t>TU</w:t>
            </w:r>
          </w:p>
        </w:tc>
        <w:tc>
          <w:tcPr>
            <w:tcW w:w="4752" w:type="dxa"/>
            <w:vAlign w:val="top"/>
          </w:tcPr>
          <w:p w14:paraId="5B8ED8A7" w14:textId="24BE5507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Operational taxonomic unit</w:t>
            </w:r>
          </w:p>
        </w:tc>
      </w:tr>
      <w:tr w:rsidR="002F1772" w:rsidRPr="002F1772" w14:paraId="11379183" w14:textId="77777777" w:rsidTr="00EA190D">
        <w:trPr>
          <w:trHeight w:val="259"/>
        </w:trPr>
        <w:tc>
          <w:tcPr>
            <w:tcW w:w="1769" w:type="dxa"/>
            <w:vAlign w:val="top"/>
          </w:tcPr>
          <w:p w14:paraId="133E1E54" w14:textId="35C3B1F4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V</w:t>
            </w:r>
            <w:r>
              <w:rPr>
                <w:sz w:val="16"/>
                <w:szCs w:val="16"/>
                <w:lang w:eastAsia="zh-CN"/>
              </w:rPr>
              <w:t>IP</w:t>
            </w:r>
          </w:p>
        </w:tc>
        <w:tc>
          <w:tcPr>
            <w:tcW w:w="4752" w:type="dxa"/>
            <w:vAlign w:val="top"/>
          </w:tcPr>
          <w:p w14:paraId="511E4485" w14:textId="274943B8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Variable importance in projection</w:t>
            </w:r>
          </w:p>
        </w:tc>
      </w:tr>
      <w:tr w:rsidR="002F1772" w:rsidRPr="002F1772" w14:paraId="24D38ABA" w14:textId="77777777" w:rsidTr="00EA190D">
        <w:trPr>
          <w:trHeight w:val="259"/>
        </w:trPr>
        <w:tc>
          <w:tcPr>
            <w:tcW w:w="1769" w:type="dxa"/>
            <w:vAlign w:val="top"/>
          </w:tcPr>
          <w:p w14:paraId="7184E7BB" w14:textId="117237BD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F</w:t>
            </w:r>
            <w:r>
              <w:rPr>
                <w:sz w:val="16"/>
                <w:szCs w:val="16"/>
                <w:lang w:eastAsia="zh-CN"/>
              </w:rPr>
              <w:t>C</w:t>
            </w:r>
          </w:p>
        </w:tc>
        <w:tc>
          <w:tcPr>
            <w:tcW w:w="4752" w:type="dxa"/>
            <w:vAlign w:val="top"/>
          </w:tcPr>
          <w:p w14:paraId="12BAD6EA" w14:textId="403E4E37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Fold change</w:t>
            </w:r>
          </w:p>
        </w:tc>
      </w:tr>
      <w:tr w:rsidR="002F1772" w:rsidRPr="002F1772" w14:paraId="7A9C2E16" w14:textId="77777777" w:rsidTr="00EA190D">
        <w:trPr>
          <w:trHeight w:val="259"/>
        </w:trPr>
        <w:tc>
          <w:tcPr>
            <w:tcW w:w="1769" w:type="dxa"/>
            <w:vAlign w:val="top"/>
          </w:tcPr>
          <w:p w14:paraId="313A28BC" w14:textId="7DFEE953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R</w:t>
            </w:r>
            <w:r>
              <w:rPr>
                <w:sz w:val="16"/>
                <w:szCs w:val="16"/>
                <w:lang w:eastAsia="zh-CN"/>
              </w:rPr>
              <w:t>T-</w:t>
            </w:r>
            <w:r>
              <w:rPr>
                <w:rFonts w:hint="eastAsia"/>
                <w:sz w:val="16"/>
                <w:szCs w:val="16"/>
                <w:lang w:eastAsia="zh-CN"/>
              </w:rPr>
              <w:t>q</w:t>
            </w:r>
            <w:r>
              <w:rPr>
                <w:sz w:val="16"/>
                <w:szCs w:val="16"/>
                <w:lang w:eastAsia="zh-CN"/>
              </w:rPr>
              <w:t>PCR</w:t>
            </w:r>
          </w:p>
        </w:tc>
        <w:tc>
          <w:tcPr>
            <w:tcW w:w="4752" w:type="dxa"/>
            <w:vAlign w:val="top"/>
          </w:tcPr>
          <w:p w14:paraId="1F397723" w14:textId="214E4DC6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Reverse transcription quantitative polymerase chain reaction</w:t>
            </w:r>
          </w:p>
        </w:tc>
      </w:tr>
      <w:tr w:rsidR="002F1772" w:rsidRPr="002F1772" w14:paraId="32D8A2FC" w14:textId="77777777" w:rsidTr="00EA190D">
        <w:trPr>
          <w:trHeight w:val="259"/>
        </w:trPr>
        <w:tc>
          <w:tcPr>
            <w:tcW w:w="1769" w:type="dxa"/>
            <w:vAlign w:val="top"/>
          </w:tcPr>
          <w:p w14:paraId="5E6EB313" w14:textId="6531F47A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G</w:t>
            </w:r>
            <w:r>
              <w:rPr>
                <w:sz w:val="16"/>
                <w:szCs w:val="16"/>
                <w:lang w:eastAsia="zh-CN"/>
              </w:rPr>
              <w:t>APDH</w:t>
            </w:r>
          </w:p>
        </w:tc>
        <w:tc>
          <w:tcPr>
            <w:tcW w:w="4752" w:type="dxa"/>
            <w:vAlign w:val="top"/>
          </w:tcPr>
          <w:p w14:paraId="57D8CA60" w14:textId="5860ACED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Glyceraldehyde-3-phosphate dehydrogenase</w:t>
            </w:r>
          </w:p>
        </w:tc>
      </w:tr>
      <w:tr w:rsidR="002F1772" w:rsidRPr="002F1772" w14:paraId="76AB189E" w14:textId="77777777" w:rsidTr="00EA190D">
        <w:trPr>
          <w:trHeight w:val="259"/>
        </w:trPr>
        <w:tc>
          <w:tcPr>
            <w:tcW w:w="1769" w:type="dxa"/>
            <w:vAlign w:val="top"/>
          </w:tcPr>
          <w:p w14:paraId="42F7048E" w14:textId="5F69F85F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S</w:t>
            </w:r>
            <w:r>
              <w:rPr>
                <w:sz w:val="16"/>
                <w:szCs w:val="16"/>
                <w:lang w:eastAsia="zh-CN"/>
              </w:rPr>
              <w:t>CFA</w:t>
            </w:r>
          </w:p>
        </w:tc>
        <w:tc>
          <w:tcPr>
            <w:tcW w:w="4752" w:type="dxa"/>
            <w:vAlign w:val="top"/>
          </w:tcPr>
          <w:p w14:paraId="19769E7E" w14:textId="6153D017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Short-chain fatty acid</w:t>
            </w:r>
          </w:p>
        </w:tc>
      </w:tr>
      <w:tr w:rsidR="002F1772" w:rsidRPr="002F1772" w14:paraId="396EDF33" w14:textId="77777777" w:rsidTr="00EA190D">
        <w:trPr>
          <w:trHeight w:val="259"/>
        </w:trPr>
        <w:tc>
          <w:tcPr>
            <w:tcW w:w="1769" w:type="dxa"/>
            <w:vAlign w:val="top"/>
          </w:tcPr>
          <w:p w14:paraId="3B97E304" w14:textId="305E1336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F</w:t>
            </w:r>
            <w:r>
              <w:rPr>
                <w:sz w:val="16"/>
                <w:szCs w:val="16"/>
                <w:lang w:eastAsia="zh-CN"/>
              </w:rPr>
              <w:t>XR</w:t>
            </w:r>
          </w:p>
        </w:tc>
        <w:tc>
          <w:tcPr>
            <w:tcW w:w="4752" w:type="dxa"/>
            <w:vAlign w:val="top"/>
          </w:tcPr>
          <w:p w14:paraId="4CECF48F" w14:textId="3AA701AA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Farnesoid X receptor</w:t>
            </w:r>
          </w:p>
        </w:tc>
      </w:tr>
      <w:tr w:rsidR="002F1772" w:rsidRPr="002F1772" w14:paraId="57CEF74E" w14:textId="77777777" w:rsidTr="00EA190D">
        <w:trPr>
          <w:trHeight w:val="259"/>
        </w:trPr>
        <w:tc>
          <w:tcPr>
            <w:tcW w:w="1769" w:type="dxa"/>
            <w:vAlign w:val="top"/>
          </w:tcPr>
          <w:p w14:paraId="2DD00C42" w14:textId="5A9B8D9B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T</w:t>
            </w:r>
            <w:r>
              <w:rPr>
                <w:sz w:val="16"/>
                <w:szCs w:val="16"/>
                <w:lang w:eastAsia="zh-CN"/>
              </w:rPr>
              <w:t>GR5</w:t>
            </w:r>
          </w:p>
        </w:tc>
        <w:tc>
          <w:tcPr>
            <w:tcW w:w="4752" w:type="dxa"/>
            <w:vAlign w:val="top"/>
          </w:tcPr>
          <w:p w14:paraId="21731A91" w14:textId="2FA3ED43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G protein–coupled bile acid receptor 1</w:t>
            </w:r>
          </w:p>
        </w:tc>
      </w:tr>
      <w:tr w:rsidR="002F1772" w:rsidRPr="002F1772" w14:paraId="15F725A4" w14:textId="77777777" w:rsidTr="00EA190D">
        <w:trPr>
          <w:trHeight w:val="259"/>
        </w:trPr>
        <w:tc>
          <w:tcPr>
            <w:tcW w:w="1769" w:type="dxa"/>
            <w:vAlign w:val="top"/>
          </w:tcPr>
          <w:p w14:paraId="3717DAFF" w14:textId="19B94AB6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A</w:t>
            </w:r>
            <w:r>
              <w:rPr>
                <w:sz w:val="16"/>
                <w:szCs w:val="16"/>
                <w:lang w:eastAsia="zh-CN"/>
              </w:rPr>
              <w:t>BC</w:t>
            </w:r>
          </w:p>
        </w:tc>
        <w:tc>
          <w:tcPr>
            <w:tcW w:w="4752" w:type="dxa"/>
            <w:vAlign w:val="top"/>
          </w:tcPr>
          <w:p w14:paraId="29394ACB" w14:textId="235D3CD7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ATP-binding cassette</w:t>
            </w:r>
          </w:p>
        </w:tc>
      </w:tr>
      <w:tr w:rsidR="00EA190D" w:rsidRPr="002F1772" w14:paraId="3DE1F12C" w14:textId="77777777" w:rsidTr="00EA190D">
        <w:trPr>
          <w:trHeight w:val="259"/>
        </w:trPr>
        <w:tc>
          <w:tcPr>
            <w:tcW w:w="1769" w:type="dxa"/>
            <w:vAlign w:val="top"/>
          </w:tcPr>
          <w:p w14:paraId="28AC1C44" w14:textId="0A7D9D7F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C</w:t>
            </w:r>
            <w:r>
              <w:rPr>
                <w:sz w:val="16"/>
                <w:szCs w:val="16"/>
                <w:lang w:eastAsia="zh-CN"/>
              </w:rPr>
              <w:t>A</w:t>
            </w:r>
          </w:p>
        </w:tc>
        <w:tc>
          <w:tcPr>
            <w:tcW w:w="4752" w:type="dxa"/>
            <w:vAlign w:val="top"/>
          </w:tcPr>
          <w:p w14:paraId="6DC51C77" w14:textId="759125FD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Cholic acid</w:t>
            </w:r>
          </w:p>
        </w:tc>
      </w:tr>
      <w:tr w:rsidR="00EA190D" w:rsidRPr="002F1772" w14:paraId="21F182A2" w14:textId="77777777" w:rsidTr="00EA190D">
        <w:trPr>
          <w:trHeight w:val="259"/>
        </w:trPr>
        <w:tc>
          <w:tcPr>
            <w:tcW w:w="1769" w:type="dxa"/>
            <w:vAlign w:val="top"/>
          </w:tcPr>
          <w:p w14:paraId="7F10DB4A" w14:textId="46F00062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C</w:t>
            </w:r>
            <w:r>
              <w:rPr>
                <w:sz w:val="16"/>
                <w:szCs w:val="16"/>
                <w:lang w:eastAsia="zh-CN"/>
              </w:rPr>
              <w:t>DCA</w:t>
            </w:r>
          </w:p>
        </w:tc>
        <w:tc>
          <w:tcPr>
            <w:tcW w:w="4752" w:type="dxa"/>
            <w:vAlign w:val="top"/>
          </w:tcPr>
          <w:p w14:paraId="44B9AB68" w14:textId="7DC39C58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Chenodeoxycholic acid</w:t>
            </w:r>
          </w:p>
        </w:tc>
      </w:tr>
      <w:tr w:rsidR="00EA190D" w:rsidRPr="002F1772" w14:paraId="6CAB495A" w14:textId="77777777" w:rsidTr="00EA190D">
        <w:trPr>
          <w:trHeight w:val="259"/>
        </w:trPr>
        <w:tc>
          <w:tcPr>
            <w:tcW w:w="1769" w:type="dxa"/>
            <w:vAlign w:val="top"/>
          </w:tcPr>
          <w:p w14:paraId="455B15BC" w14:textId="184E3C18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D</w:t>
            </w:r>
            <w:r>
              <w:rPr>
                <w:sz w:val="16"/>
                <w:szCs w:val="16"/>
                <w:lang w:eastAsia="zh-CN"/>
              </w:rPr>
              <w:t>CA</w:t>
            </w:r>
          </w:p>
        </w:tc>
        <w:tc>
          <w:tcPr>
            <w:tcW w:w="4752" w:type="dxa"/>
            <w:vAlign w:val="top"/>
          </w:tcPr>
          <w:p w14:paraId="525D9F0B" w14:textId="58D74D7A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Deoxycholic acid</w:t>
            </w:r>
          </w:p>
        </w:tc>
      </w:tr>
      <w:tr w:rsidR="00EA190D" w:rsidRPr="002F1772" w14:paraId="749C0B0A" w14:textId="77777777" w:rsidTr="00EA190D">
        <w:trPr>
          <w:trHeight w:val="259"/>
        </w:trPr>
        <w:tc>
          <w:tcPr>
            <w:tcW w:w="1769" w:type="dxa"/>
            <w:vAlign w:val="top"/>
          </w:tcPr>
          <w:p w14:paraId="265B9D0B" w14:textId="135C0E96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L</w:t>
            </w:r>
            <w:r>
              <w:rPr>
                <w:sz w:val="16"/>
                <w:szCs w:val="16"/>
                <w:lang w:eastAsia="zh-CN"/>
              </w:rPr>
              <w:t>CA</w:t>
            </w:r>
          </w:p>
        </w:tc>
        <w:tc>
          <w:tcPr>
            <w:tcW w:w="4752" w:type="dxa"/>
            <w:vAlign w:val="top"/>
          </w:tcPr>
          <w:p w14:paraId="23A463F9" w14:textId="56D861D8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Lithocholic acid</w:t>
            </w:r>
          </w:p>
        </w:tc>
      </w:tr>
      <w:tr w:rsidR="00EA190D" w:rsidRPr="002F1772" w14:paraId="08BA5DC2" w14:textId="77777777" w:rsidTr="00EA190D">
        <w:trPr>
          <w:trHeight w:val="259"/>
        </w:trPr>
        <w:tc>
          <w:tcPr>
            <w:tcW w:w="1769" w:type="dxa"/>
            <w:vAlign w:val="top"/>
          </w:tcPr>
          <w:p w14:paraId="1B33DC6C" w14:textId="480C5C6C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G</w:t>
            </w:r>
            <w:r>
              <w:rPr>
                <w:sz w:val="16"/>
                <w:szCs w:val="16"/>
                <w:lang w:eastAsia="zh-CN"/>
              </w:rPr>
              <w:t>UCA</w:t>
            </w:r>
          </w:p>
        </w:tc>
        <w:tc>
          <w:tcPr>
            <w:tcW w:w="4752" w:type="dxa"/>
            <w:vAlign w:val="top"/>
          </w:tcPr>
          <w:p w14:paraId="2F9BD801" w14:textId="3407A074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Glycoursocholanic acid</w:t>
            </w:r>
          </w:p>
        </w:tc>
      </w:tr>
      <w:tr w:rsidR="00EA190D" w:rsidRPr="002F1772" w14:paraId="46C9BE67" w14:textId="77777777" w:rsidTr="00EA190D">
        <w:trPr>
          <w:trHeight w:val="259"/>
        </w:trPr>
        <w:tc>
          <w:tcPr>
            <w:tcW w:w="1769" w:type="dxa"/>
            <w:vAlign w:val="top"/>
          </w:tcPr>
          <w:p w14:paraId="37FAD25F" w14:textId="1DA283D5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T</w:t>
            </w:r>
            <w:r>
              <w:rPr>
                <w:sz w:val="16"/>
                <w:szCs w:val="16"/>
                <w:lang w:eastAsia="zh-CN"/>
              </w:rPr>
              <w:t>LCA</w:t>
            </w:r>
          </w:p>
        </w:tc>
        <w:tc>
          <w:tcPr>
            <w:tcW w:w="4752" w:type="dxa"/>
            <w:vAlign w:val="top"/>
          </w:tcPr>
          <w:p w14:paraId="2C655710" w14:textId="35B0CCC2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Taurolithocholic acid</w:t>
            </w:r>
          </w:p>
        </w:tc>
      </w:tr>
      <w:tr w:rsidR="00EA190D" w:rsidRPr="002F1772" w14:paraId="4AAFA778" w14:textId="77777777" w:rsidTr="00EA190D">
        <w:trPr>
          <w:trHeight w:val="259"/>
        </w:trPr>
        <w:tc>
          <w:tcPr>
            <w:tcW w:w="1769" w:type="dxa"/>
            <w:vAlign w:val="top"/>
          </w:tcPr>
          <w:p w14:paraId="6A1FA933" w14:textId="7B72A23D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U</w:t>
            </w:r>
            <w:r>
              <w:rPr>
                <w:sz w:val="16"/>
                <w:szCs w:val="16"/>
                <w:lang w:eastAsia="zh-CN"/>
              </w:rPr>
              <w:t>DCA</w:t>
            </w:r>
          </w:p>
        </w:tc>
        <w:tc>
          <w:tcPr>
            <w:tcW w:w="4752" w:type="dxa"/>
            <w:vAlign w:val="top"/>
          </w:tcPr>
          <w:p w14:paraId="5BAB036F" w14:textId="3FBFD903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Ursodeoxycholic acid</w:t>
            </w:r>
          </w:p>
        </w:tc>
      </w:tr>
      <w:tr w:rsidR="00EA190D" w:rsidRPr="002F1772" w14:paraId="2AB51F38" w14:textId="77777777" w:rsidTr="00EA190D">
        <w:trPr>
          <w:trHeight w:val="259"/>
        </w:trPr>
        <w:tc>
          <w:tcPr>
            <w:tcW w:w="1769" w:type="dxa"/>
            <w:vAlign w:val="top"/>
          </w:tcPr>
          <w:p w14:paraId="5045E88A" w14:textId="6C0BD3F0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T</w:t>
            </w:r>
            <w:r>
              <w:rPr>
                <w:sz w:val="16"/>
                <w:szCs w:val="16"/>
                <w:lang w:eastAsia="zh-CN"/>
              </w:rPr>
              <w:t>UDCA</w:t>
            </w:r>
          </w:p>
        </w:tc>
        <w:tc>
          <w:tcPr>
            <w:tcW w:w="4752" w:type="dxa"/>
            <w:vAlign w:val="top"/>
          </w:tcPr>
          <w:p w14:paraId="24F6CA21" w14:textId="611E67D8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Tauroursodeoxycholic acid</w:t>
            </w:r>
          </w:p>
        </w:tc>
      </w:tr>
      <w:tr w:rsidR="00EA190D" w:rsidRPr="002F1772" w14:paraId="6F6C5D77" w14:textId="77777777" w:rsidTr="00EA190D">
        <w:trPr>
          <w:trHeight w:val="259"/>
        </w:trPr>
        <w:tc>
          <w:tcPr>
            <w:tcW w:w="1769" w:type="dxa"/>
            <w:vAlign w:val="top"/>
          </w:tcPr>
          <w:p w14:paraId="5EEF4B3F" w14:textId="29630C8E" w:rsidR="00EA190D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LysoPC</w:t>
            </w:r>
          </w:p>
        </w:tc>
        <w:tc>
          <w:tcPr>
            <w:tcW w:w="4752" w:type="dxa"/>
            <w:vAlign w:val="top"/>
          </w:tcPr>
          <w:p w14:paraId="1D26AA9F" w14:textId="6A156E5B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Lysophosphatidylcholine</w:t>
            </w:r>
          </w:p>
        </w:tc>
      </w:tr>
      <w:tr w:rsidR="002F1772" w:rsidRPr="002F1772" w14:paraId="17B0604F" w14:textId="77777777" w:rsidTr="00EA190D">
        <w:trPr>
          <w:trHeight w:val="259"/>
        </w:trPr>
        <w:tc>
          <w:tcPr>
            <w:tcW w:w="1769" w:type="dxa"/>
            <w:vAlign w:val="top"/>
          </w:tcPr>
          <w:p w14:paraId="1B978EBE" w14:textId="13910EC4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P</w:t>
            </w:r>
            <w:r>
              <w:rPr>
                <w:sz w:val="16"/>
                <w:szCs w:val="16"/>
                <w:lang w:eastAsia="zh-CN"/>
              </w:rPr>
              <w:t>MCH</w:t>
            </w:r>
          </w:p>
        </w:tc>
        <w:tc>
          <w:tcPr>
            <w:tcW w:w="4752" w:type="dxa"/>
            <w:vAlign w:val="top"/>
          </w:tcPr>
          <w:p w14:paraId="204BD17D" w14:textId="11559405" w:rsidR="002F1772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Pro-melanin-concentrating hormone</w:t>
            </w:r>
          </w:p>
        </w:tc>
      </w:tr>
      <w:tr w:rsidR="00EA190D" w:rsidRPr="002F1772" w14:paraId="42523C0D" w14:textId="77777777" w:rsidTr="00EA190D">
        <w:trPr>
          <w:trHeight w:val="259"/>
        </w:trPr>
        <w:tc>
          <w:tcPr>
            <w:tcW w:w="1769" w:type="dxa"/>
            <w:vAlign w:val="top"/>
          </w:tcPr>
          <w:p w14:paraId="2420E5C5" w14:textId="48CE8CEA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H</w:t>
            </w:r>
            <w:r>
              <w:rPr>
                <w:sz w:val="16"/>
                <w:szCs w:val="16"/>
                <w:lang w:eastAsia="zh-CN"/>
              </w:rPr>
              <w:t>AMP</w:t>
            </w:r>
          </w:p>
        </w:tc>
        <w:tc>
          <w:tcPr>
            <w:tcW w:w="4752" w:type="dxa"/>
            <w:vAlign w:val="top"/>
          </w:tcPr>
          <w:p w14:paraId="1D1B7B34" w14:textId="40F85088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Hepcidin antimicrobial peptide</w:t>
            </w:r>
          </w:p>
        </w:tc>
      </w:tr>
      <w:tr w:rsidR="00EA190D" w:rsidRPr="002F1772" w14:paraId="67F4FC6A" w14:textId="77777777" w:rsidTr="00EA190D">
        <w:trPr>
          <w:trHeight w:val="259"/>
        </w:trPr>
        <w:tc>
          <w:tcPr>
            <w:tcW w:w="1769" w:type="dxa"/>
            <w:vAlign w:val="top"/>
          </w:tcPr>
          <w:p w14:paraId="3AFFAD3F" w14:textId="29A4864D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M</w:t>
            </w:r>
            <w:r>
              <w:rPr>
                <w:sz w:val="16"/>
                <w:szCs w:val="16"/>
                <w:lang w:eastAsia="zh-CN"/>
              </w:rPr>
              <w:t>MP9</w:t>
            </w:r>
          </w:p>
        </w:tc>
        <w:tc>
          <w:tcPr>
            <w:tcW w:w="4752" w:type="dxa"/>
            <w:vAlign w:val="top"/>
          </w:tcPr>
          <w:p w14:paraId="7DA61809" w14:textId="76FF20C2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Matrix metallopeptidase 9</w:t>
            </w:r>
          </w:p>
        </w:tc>
      </w:tr>
      <w:tr w:rsidR="00EA190D" w:rsidRPr="002F1772" w14:paraId="75CB90BB" w14:textId="77777777" w:rsidTr="00EA190D">
        <w:trPr>
          <w:trHeight w:val="259"/>
        </w:trPr>
        <w:tc>
          <w:tcPr>
            <w:tcW w:w="1769" w:type="dxa"/>
            <w:vAlign w:val="top"/>
          </w:tcPr>
          <w:p w14:paraId="11EE64F3" w14:textId="547A7494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Ig</w:t>
            </w:r>
            <w:r>
              <w:rPr>
                <w:sz w:val="16"/>
                <w:szCs w:val="16"/>
                <w:lang w:eastAsia="zh-CN"/>
              </w:rPr>
              <w:t>A</w:t>
            </w:r>
          </w:p>
        </w:tc>
        <w:tc>
          <w:tcPr>
            <w:tcW w:w="4752" w:type="dxa"/>
            <w:vAlign w:val="top"/>
          </w:tcPr>
          <w:p w14:paraId="01A36E4F" w14:textId="0E56069A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Immunoglobulin A</w:t>
            </w:r>
          </w:p>
        </w:tc>
      </w:tr>
      <w:tr w:rsidR="00EA190D" w:rsidRPr="002F1772" w14:paraId="706FD72E" w14:textId="77777777" w:rsidTr="00EA190D">
        <w:trPr>
          <w:trHeight w:val="259"/>
        </w:trPr>
        <w:tc>
          <w:tcPr>
            <w:tcW w:w="1769" w:type="dxa"/>
            <w:vAlign w:val="top"/>
          </w:tcPr>
          <w:p w14:paraId="7B6DB1A2" w14:textId="60A8C68A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lastRenderedPageBreak/>
              <w:t>T</w:t>
            </w:r>
            <w:r>
              <w:rPr>
                <w:sz w:val="16"/>
                <w:szCs w:val="16"/>
                <w:lang w:eastAsia="zh-CN"/>
              </w:rPr>
              <w:t>RP</w:t>
            </w:r>
          </w:p>
        </w:tc>
        <w:tc>
          <w:tcPr>
            <w:tcW w:w="4752" w:type="dxa"/>
            <w:vAlign w:val="top"/>
          </w:tcPr>
          <w:p w14:paraId="3A447CAD" w14:textId="6CD76EF4" w:rsidR="00EA190D" w:rsidRPr="002F1772" w:rsidRDefault="00EA190D" w:rsidP="002F1772">
            <w:pPr>
              <w:widowControl/>
              <w:topLinePunct/>
              <w:adjustRightInd w:val="0"/>
              <w:spacing w:line="480" w:lineRule="auto"/>
              <w:ind w:firstLine="320"/>
              <w:rPr>
                <w:sz w:val="16"/>
                <w:szCs w:val="16"/>
              </w:rPr>
            </w:pPr>
            <w:r w:rsidRPr="00EA190D">
              <w:rPr>
                <w:sz w:val="16"/>
                <w:szCs w:val="16"/>
              </w:rPr>
              <w:t>Transient receptor potential</w:t>
            </w:r>
          </w:p>
        </w:tc>
      </w:tr>
    </w:tbl>
    <w:p w14:paraId="7E9F6D19" w14:textId="77777777" w:rsidR="00DC07F6" w:rsidRDefault="00DC07F6">
      <w:pPr>
        <w:rPr>
          <w:rFonts w:hint="eastAsia"/>
        </w:rPr>
      </w:pPr>
    </w:p>
    <w:sectPr w:rsidR="00DC07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DD59" w14:textId="77777777" w:rsidR="00813C3D" w:rsidRDefault="00813C3D" w:rsidP="00141AE1">
      <w:pPr>
        <w:rPr>
          <w:rFonts w:hint="eastAsia"/>
        </w:rPr>
      </w:pPr>
      <w:r>
        <w:separator/>
      </w:r>
    </w:p>
  </w:endnote>
  <w:endnote w:type="continuationSeparator" w:id="0">
    <w:p w14:paraId="1DE41728" w14:textId="77777777" w:rsidR="00813C3D" w:rsidRDefault="00813C3D" w:rsidP="00141A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6E6CF" w14:textId="77777777" w:rsidR="00813C3D" w:rsidRDefault="00813C3D" w:rsidP="00141AE1">
      <w:pPr>
        <w:rPr>
          <w:rFonts w:hint="eastAsia"/>
        </w:rPr>
      </w:pPr>
      <w:r>
        <w:separator/>
      </w:r>
    </w:p>
  </w:footnote>
  <w:footnote w:type="continuationSeparator" w:id="0">
    <w:p w14:paraId="2FF04891" w14:textId="77777777" w:rsidR="00813C3D" w:rsidRDefault="00813C3D" w:rsidP="00141A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72"/>
    <w:rsid w:val="00141AE1"/>
    <w:rsid w:val="001A0E7D"/>
    <w:rsid w:val="002F1772"/>
    <w:rsid w:val="004A39C4"/>
    <w:rsid w:val="00813C3D"/>
    <w:rsid w:val="0094575C"/>
    <w:rsid w:val="00A878BE"/>
    <w:rsid w:val="00BF7010"/>
    <w:rsid w:val="00DC07F6"/>
    <w:rsid w:val="00EA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62720"/>
  <w15:chartTrackingRefBased/>
  <w15:docId w15:val="{C550226C-FF8B-4766-8C85-E965C2BE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autoRedefine/>
    <w:uiPriority w:val="99"/>
    <w:qFormat/>
    <w:rsid w:val="002F1772"/>
    <w:pPr>
      <w:spacing w:line="360" w:lineRule="auto"/>
      <w:jc w:val="center"/>
    </w:pPr>
    <w:rPr>
      <w:rFonts w:ascii="Times New Roman" w:eastAsia="宋体" w:hAnsi="Times New Roman" w:cs="Times New Roman"/>
      <w:kern w:val="0"/>
      <w:sz w:val="20"/>
      <w:szCs w:val="20"/>
      <w:lang w:eastAsia="en-US"/>
    </w:rPr>
    <w:tblPr>
      <w:jc w:val="center"/>
      <w:tblBorders>
        <w:top w:val="single" w:sz="12" w:space="0" w:color="auto"/>
        <w:bottom w:val="single" w:sz="12" w:space="0" w:color="auto"/>
      </w:tblBorders>
      <w:tblCellMar>
        <w:top w:w="0" w:type="dxa"/>
        <w:left w:w="0" w:type="dxa"/>
        <w:bottom w:w="0" w:type="dxa"/>
        <w:right w:w="0" w:type="dxa"/>
      </w:tblCellMar>
    </w:tblPr>
    <w:trPr>
      <w:jc w:val="center"/>
    </w:trPr>
    <w:tcPr>
      <w:vAlign w:val="center"/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141A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1AE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1A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1A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189</Words>
  <Characters>1270</Characters>
  <Application>Microsoft Office Word</Application>
  <DocSecurity>0</DocSecurity>
  <Lines>97</Lines>
  <Paragraphs>104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HGY</dc:creator>
  <cp:keywords/>
  <dc:description/>
  <cp:lastModifiedBy>Lenovo</cp:lastModifiedBy>
  <cp:revision>3</cp:revision>
  <dcterms:created xsi:type="dcterms:W3CDTF">2026-01-21T01:59:00Z</dcterms:created>
  <dcterms:modified xsi:type="dcterms:W3CDTF">2026-01-26T07:46:00Z</dcterms:modified>
</cp:coreProperties>
</file>