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D1F" w:rsidRPr="005C417A" w:rsidRDefault="00237A63" w:rsidP="00540D1F">
      <w:pPr>
        <w:spacing w:line="480" w:lineRule="auto"/>
      </w:pPr>
      <w:r w:rsidRPr="00237A63">
        <w:rPr>
          <w:noProof/>
          <w:lang w:eastAsia="es-ES"/>
        </w:rPr>
        <w:drawing>
          <wp:inline distT="0" distB="0" distL="0" distR="0">
            <wp:extent cx="5695950" cy="3800475"/>
            <wp:effectExtent l="0" t="0" r="0" b="9525"/>
            <wp:docPr id="2" name="Imagen 2" descr="C:\Users\D507754.ADMON-CFNAVARRA\Documents\SNP_panel_data\final_version\Revision_v1\supp_fig_1_fi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507754.ADMON-CFNAVARRA\Documents\SNP_panel_data\final_version\Revision_v1\supp_fig_1_fi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D1F" w:rsidRPr="005C417A" w:rsidRDefault="00540D1F" w:rsidP="00540D1F">
      <w:pPr>
        <w:spacing w:line="480" w:lineRule="auto"/>
      </w:pPr>
      <w:r w:rsidRPr="009F68F7">
        <w:rPr>
          <w:b/>
          <w:lang w:val="en-GB"/>
        </w:rPr>
        <w:t>Supplementary figure 1</w:t>
      </w:r>
      <w:r w:rsidRPr="009F68F7">
        <w:rPr>
          <w:lang w:val="en-GB"/>
        </w:rPr>
        <w:t xml:space="preserve">.  </w:t>
      </w:r>
      <w:r w:rsidRPr="009F68F7">
        <w:rPr>
          <w:b/>
          <w:lang w:val="en-GB"/>
        </w:rPr>
        <w:t>Allele frequency in ALFA global population vs local NAGEN cohort</w:t>
      </w:r>
      <w:r w:rsidRPr="009F68F7">
        <w:rPr>
          <w:lang w:val="en-GB"/>
        </w:rPr>
        <w:t xml:space="preserve">.  </w:t>
      </w:r>
      <w:proofErr w:type="spellStart"/>
      <w:r w:rsidRPr="005C417A">
        <w:t>For</w:t>
      </w:r>
      <w:proofErr w:type="spellEnd"/>
      <w:r w:rsidRPr="005C417A">
        <w:t xml:space="preserve"> </w:t>
      </w:r>
      <w:proofErr w:type="spellStart"/>
      <w:r w:rsidRPr="005C417A">
        <w:t>all</w:t>
      </w:r>
      <w:proofErr w:type="spellEnd"/>
      <w:r w:rsidRPr="005C417A">
        <w:t xml:space="preserve"> 929 </w:t>
      </w:r>
      <w:proofErr w:type="spellStart"/>
      <w:r w:rsidRPr="005C417A">
        <w:t>candidate</w:t>
      </w:r>
      <w:proofErr w:type="spellEnd"/>
      <w:r w:rsidRPr="005C417A">
        <w:t xml:space="preserve"> </w:t>
      </w:r>
      <w:proofErr w:type="spellStart"/>
      <w:r w:rsidRPr="005C417A">
        <w:t>SNPs</w:t>
      </w:r>
      <w:proofErr w:type="spellEnd"/>
      <w:r w:rsidRPr="005C417A">
        <w:t xml:space="preserve">. R=Pearson </w:t>
      </w:r>
      <w:proofErr w:type="spellStart"/>
      <w:r w:rsidRPr="005C417A">
        <w:t>correlation</w:t>
      </w:r>
      <w:proofErr w:type="spellEnd"/>
      <w:r w:rsidRPr="005C417A">
        <w:t xml:space="preserve"> </w:t>
      </w:r>
      <w:proofErr w:type="spellStart"/>
      <w:r w:rsidRPr="005C417A">
        <w:t>coefficient</w:t>
      </w:r>
      <w:proofErr w:type="spellEnd"/>
      <w:r w:rsidRPr="005C417A">
        <w:t>.</w:t>
      </w:r>
    </w:p>
    <w:p w:rsidR="00540D1F" w:rsidRPr="005C417A" w:rsidRDefault="00540D1F" w:rsidP="00540D1F">
      <w:pPr>
        <w:spacing w:line="480" w:lineRule="auto"/>
        <w:rPr>
          <w:lang w:val="en-GB"/>
        </w:rPr>
      </w:pPr>
    </w:p>
    <w:p w:rsidR="00540D1F" w:rsidRPr="005C417A" w:rsidRDefault="00540D1F" w:rsidP="00540D1F">
      <w:pPr>
        <w:spacing w:line="480" w:lineRule="auto"/>
        <w:rPr>
          <w:b/>
        </w:rPr>
      </w:pPr>
    </w:p>
    <w:p w:rsidR="00540D1F" w:rsidRPr="005C417A" w:rsidRDefault="00540D1F" w:rsidP="00540D1F">
      <w:pPr>
        <w:spacing w:line="480" w:lineRule="auto"/>
        <w:rPr>
          <w:b/>
        </w:rPr>
      </w:pPr>
      <w:r w:rsidRPr="005C417A">
        <w:rPr>
          <w:b/>
        </w:rPr>
        <w:br w:type="page"/>
      </w:r>
    </w:p>
    <w:p w:rsidR="00540D1F" w:rsidRPr="005C417A" w:rsidRDefault="00540D1F" w:rsidP="00C32096">
      <w:pPr>
        <w:spacing w:line="480" w:lineRule="auto"/>
        <w:jc w:val="center"/>
      </w:pPr>
      <w:r w:rsidRPr="005C417A">
        <w:rPr>
          <w:noProof/>
          <w:lang w:eastAsia="es-ES"/>
        </w:rPr>
        <w:lastRenderedPageBreak/>
        <w:drawing>
          <wp:inline distT="0" distB="0" distL="0" distR="0" wp14:anchorId="4ECAFCEE" wp14:editId="5C561339">
            <wp:extent cx="4583639" cy="671322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05932" cy="67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D1F" w:rsidRPr="005C417A" w:rsidRDefault="00540D1F" w:rsidP="00540D1F">
      <w:pPr>
        <w:spacing w:line="480" w:lineRule="auto"/>
        <w:rPr>
          <w:lang w:val="en-GB"/>
        </w:rPr>
      </w:pPr>
      <w:r w:rsidRPr="009F68F7">
        <w:rPr>
          <w:b/>
          <w:lang w:val="en-GB"/>
        </w:rPr>
        <w:t>Supplementary figure 2</w:t>
      </w:r>
      <w:r w:rsidRPr="009F68F7">
        <w:rPr>
          <w:lang w:val="en-GB"/>
        </w:rPr>
        <w:t xml:space="preserve">. </w:t>
      </w:r>
      <w:r w:rsidRPr="009F68F7">
        <w:rPr>
          <w:b/>
          <w:lang w:val="en-GB"/>
        </w:rPr>
        <w:t>A</w:t>
      </w:r>
      <w:r w:rsidRPr="005C417A">
        <w:rPr>
          <w:b/>
          <w:lang w:val="en-GB"/>
        </w:rPr>
        <w:t>llele frequency dispersion across world populations</w:t>
      </w:r>
      <w:r w:rsidRPr="005C417A">
        <w:rPr>
          <w:lang w:val="en-GB"/>
        </w:rPr>
        <w:t>. Allele frequency data from ALFA/1000Genomes/</w:t>
      </w:r>
      <w:proofErr w:type="spellStart"/>
      <w:r w:rsidRPr="005C417A">
        <w:rPr>
          <w:lang w:val="en-GB"/>
        </w:rPr>
        <w:t>gnomADg</w:t>
      </w:r>
      <w:proofErr w:type="spellEnd"/>
      <w:r w:rsidRPr="009F68F7">
        <w:rPr>
          <w:lang w:val="en-GB"/>
        </w:rPr>
        <w:t xml:space="preserve">. A) SNP exhibiting high allelic frequency divergence between world populations, B) Low allele frequency divergence and C) SNPs with high divergence between annotation sources. </w:t>
      </w:r>
    </w:p>
    <w:p w:rsidR="00540D1F" w:rsidRPr="005C417A" w:rsidRDefault="00540D1F" w:rsidP="00540D1F">
      <w:pPr>
        <w:spacing w:line="480" w:lineRule="auto"/>
      </w:pPr>
      <w:r w:rsidRPr="005C417A">
        <w:rPr>
          <w:noProof/>
          <w:lang w:eastAsia="es-ES"/>
        </w:rPr>
        <w:lastRenderedPageBreak/>
        <w:drawing>
          <wp:inline distT="0" distB="0" distL="0" distR="0" wp14:anchorId="6D2C4699" wp14:editId="569D5411">
            <wp:extent cx="5400040" cy="4258266"/>
            <wp:effectExtent l="0" t="0" r="0" b="9525"/>
            <wp:docPr id="10" name="Imagen 10" descr="T:\NAGENdata\WP2 Caso de uso\articulo SNPs\graficas\karyopl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:\NAGENdata\WP2 Caso de uso\articulo SNPs\graficas\karyoplo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25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D1F" w:rsidRPr="009F68F7" w:rsidRDefault="00540D1F" w:rsidP="00540D1F">
      <w:pPr>
        <w:spacing w:line="480" w:lineRule="auto"/>
        <w:rPr>
          <w:lang w:val="en-GB"/>
        </w:rPr>
      </w:pPr>
      <w:r w:rsidRPr="009F68F7">
        <w:rPr>
          <w:b/>
          <w:lang w:val="en-GB"/>
        </w:rPr>
        <w:t>Supplementary figure 3</w:t>
      </w:r>
      <w:r w:rsidRPr="009F68F7">
        <w:rPr>
          <w:lang w:val="en-GB"/>
        </w:rPr>
        <w:t xml:space="preserve">. </w:t>
      </w:r>
      <w:proofErr w:type="spellStart"/>
      <w:r w:rsidRPr="009F68F7">
        <w:rPr>
          <w:b/>
          <w:lang w:val="en-GB"/>
        </w:rPr>
        <w:t>Karyoplot</w:t>
      </w:r>
      <w:proofErr w:type="spellEnd"/>
      <w:r w:rsidRPr="009F68F7">
        <w:rPr>
          <w:b/>
          <w:lang w:val="en-GB"/>
        </w:rPr>
        <w:t xml:space="preserve"> indicating genomic coverage</w:t>
      </w:r>
      <w:r w:rsidRPr="009F68F7">
        <w:rPr>
          <w:lang w:val="en-GB"/>
        </w:rPr>
        <w:t>. Position for each of the 44 genetic markers included in final SNP panel.</w:t>
      </w:r>
    </w:p>
    <w:p w:rsidR="00540D1F" w:rsidRPr="009F68F7" w:rsidRDefault="00540D1F" w:rsidP="00540D1F">
      <w:pPr>
        <w:spacing w:line="480" w:lineRule="auto"/>
        <w:rPr>
          <w:lang w:val="en-GB"/>
        </w:rPr>
      </w:pPr>
    </w:p>
    <w:p w:rsidR="00540D1F" w:rsidRPr="005C417A" w:rsidRDefault="00540D1F" w:rsidP="00540D1F">
      <w:pPr>
        <w:spacing w:line="480" w:lineRule="auto"/>
        <w:rPr>
          <w:lang w:val="en-GB"/>
        </w:rPr>
      </w:pPr>
      <w:r w:rsidRPr="005C417A">
        <w:rPr>
          <w:lang w:val="en-GB"/>
        </w:rPr>
        <w:br w:type="page"/>
      </w:r>
    </w:p>
    <w:p w:rsidR="00540D1F" w:rsidRPr="005C417A" w:rsidRDefault="00237A63" w:rsidP="00C32096">
      <w:pPr>
        <w:spacing w:line="480" w:lineRule="auto"/>
        <w:jc w:val="center"/>
      </w:pPr>
      <w:r w:rsidRPr="00237A63">
        <w:rPr>
          <w:noProof/>
          <w:lang w:eastAsia="es-ES"/>
        </w:rPr>
        <w:lastRenderedPageBreak/>
        <w:drawing>
          <wp:inline distT="0" distB="0" distL="0" distR="0">
            <wp:extent cx="4918381" cy="5722620"/>
            <wp:effectExtent l="0" t="0" r="0" b="0"/>
            <wp:docPr id="4" name="Imagen 4" descr="C:\Users\D507754.ADMON-CFNAVARRA\Documents\SNP_panel_data\final_version\Revision_v1\supp_fig_4_fi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507754.ADMON-CFNAVARRA\Documents\SNP_panel_data\final_version\Revision_v1\supp_fig_4_fix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31"/>
                    <a:stretch/>
                  </pic:blipFill>
                  <pic:spPr bwMode="auto">
                    <a:xfrm>
                      <a:off x="0" y="0"/>
                      <a:ext cx="4930199" cy="57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40D1F" w:rsidRPr="005C417A" w:rsidRDefault="00540D1F" w:rsidP="00540D1F">
      <w:pPr>
        <w:spacing w:line="480" w:lineRule="auto"/>
        <w:rPr>
          <w:lang w:val="en-GB"/>
        </w:rPr>
      </w:pPr>
      <w:r w:rsidRPr="005C417A">
        <w:rPr>
          <w:b/>
          <w:lang w:val="en-GB"/>
        </w:rPr>
        <w:t>Supplementary figure 4</w:t>
      </w:r>
      <w:r w:rsidRPr="005C417A">
        <w:rPr>
          <w:lang w:val="en-GB"/>
        </w:rPr>
        <w:t xml:space="preserve">. </w:t>
      </w:r>
      <w:r w:rsidRPr="005C417A">
        <w:rPr>
          <w:b/>
          <w:lang w:val="en-GB"/>
        </w:rPr>
        <w:t>Expression profiles of SNP panel–associated genes across 54 human tissues (</w:t>
      </w:r>
      <w:proofErr w:type="spellStart"/>
      <w:r w:rsidRPr="005C417A">
        <w:rPr>
          <w:b/>
          <w:lang w:val="en-GB"/>
        </w:rPr>
        <w:t>GTEx</w:t>
      </w:r>
      <w:proofErr w:type="spellEnd"/>
      <w:r w:rsidRPr="005C417A">
        <w:rPr>
          <w:b/>
          <w:lang w:val="en-GB"/>
        </w:rPr>
        <w:t xml:space="preserve"> v10).</w:t>
      </w:r>
      <w:r w:rsidRPr="005C417A">
        <w:rPr>
          <w:lang w:val="en-GB"/>
        </w:rPr>
        <w:t xml:space="preserve"> A) </w:t>
      </w:r>
      <w:proofErr w:type="spellStart"/>
      <w:r w:rsidRPr="005C417A">
        <w:rPr>
          <w:lang w:val="en-GB"/>
        </w:rPr>
        <w:t>Heatmap</w:t>
      </w:r>
      <w:proofErr w:type="spellEnd"/>
      <w:r w:rsidRPr="005C417A">
        <w:rPr>
          <w:lang w:val="en-GB"/>
        </w:rPr>
        <w:t xml:space="preserve"> showing the percentile rank of gene expression for each SNP-hosting gene across 54 human tissues, derived from bulk RNA-</w:t>
      </w:r>
      <w:proofErr w:type="spellStart"/>
      <w:r w:rsidRPr="005C417A">
        <w:rPr>
          <w:lang w:val="en-GB"/>
        </w:rPr>
        <w:t>seq</w:t>
      </w:r>
      <w:proofErr w:type="spellEnd"/>
      <w:r w:rsidRPr="005C417A">
        <w:rPr>
          <w:lang w:val="en-GB"/>
        </w:rPr>
        <w:t xml:space="preserve"> data in the </w:t>
      </w:r>
      <w:proofErr w:type="spellStart"/>
      <w:r w:rsidRPr="005C417A">
        <w:rPr>
          <w:lang w:val="en-GB"/>
        </w:rPr>
        <w:t>GTEx</w:t>
      </w:r>
      <w:proofErr w:type="spellEnd"/>
      <w:r w:rsidRPr="005C417A">
        <w:rPr>
          <w:lang w:val="en-GB"/>
        </w:rPr>
        <w:t xml:space="preserve"> Portal (v10). Expression percentiles were calculated relative to all protein-coding genes within each tissue, with low expression shown in blue and high expression in red. B) Putative tissue-specific discrimination power. Left y-axis indicating number of SNPs located in genes expressed above 75</w:t>
      </w:r>
      <w:r w:rsidRPr="005C417A">
        <w:rPr>
          <w:vertAlign w:val="superscript"/>
          <w:lang w:val="en-GB"/>
        </w:rPr>
        <w:t>th</w:t>
      </w:r>
      <w:r w:rsidRPr="005C417A">
        <w:rPr>
          <w:lang w:val="en-GB"/>
        </w:rPr>
        <w:t xml:space="preserve"> percentile, as represented by black dots. </w:t>
      </w:r>
      <w:proofErr w:type="spellStart"/>
      <w:r w:rsidRPr="005C417A">
        <w:rPr>
          <w:lang w:val="en-GB"/>
        </w:rPr>
        <w:t>Righ</w:t>
      </w:r>
      <w:proofErr w:type="spellEnd"/>
      <w:r w:rsidRPr="005C417A">
        <w:rPr>
          <w:lang w:val="en-GB"/>
        </w:rPr>
        <w:t xml:space="preserve"> y-axis showing –</w:t>
      </w:r>
      <w:proofErr w:type="gramStart"/>
      <w:r w:rsidRPr="005C417A">
        <w:rPr>
          <w:lang w:val="en-GB"/>
        </w:rPr>
        <w:t>log10(</w:t>
      </w:r>
      <w:proofErr w:type="gramEnd"/>
      <w:r w:rsidRPr="005C417A">
        <w:rPr>
          <w:lang w:val="en-GB"/>
        </w:rPr>
        <w:t xml:space="preserve">) of the CRMP, represented by </w:t>
      </w:r>
      <w:proofErr w:type="spellStart"/>
      <w:r w:rsidRPr="005C417A">
        <w:rPr>
          <w:lang w:val="en-GB"/>
        </w:rPr>
        <w:t>color</w:t>
      </w:r>
      <w:proofErr w:type="spellEnd"/>
      <w:r w:rsidRPr="005C417A">
        <w:rPr>
          <w:lang w:val="en-GB"/>
        </w:rPr>
        <w:t xml:space="preserve"> coded lines.</w:t>
      </w:r>
    </w:p>
    <w:p w:rsidR="00540D1F" w:rsidRPr="005C417A" w:rsidRDefault="00540D1F" w:rsidP="00540D1F">
      <w:pPr>
        <w:spacing w:line="480" w:lineRule="auto"/>
      </w:pPr>
      <w:r w:rsidRPr="005C417A">
        <w:rPr>
          <w:noProof/>
          <w:lang w:eastAsia="es-ES"/>
        </w:rPr>
        <w:lastRenderedPageBreak/>
        <w:drawing>
          <wp:inline distT="0" distB="0" distL="0" distR="0" wp14:anchorId="35EBC9A4" wp14:editId="31A375CA">
            <wp:extent cx="6110548" cy="3499338"/>
            <wp:effectExtent l="0" t="0" r="5080" b="635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2810" cy="350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D1F" w:rsidRPr="005C417A" w:rsidRDefault="00540D1F" w:rsidP="00540D1F">
      <w:pPr>
        <w:spacing w:line="480" w:lineRule="auto"/>
      </w:pPr>
      <w:r w:rsidRPr="009F68F7">
        <w:rPr>
          <w:b/>
          <w:lang w:val="en-GB"/>
        </w:rPr>
        <w:t>Supplementary figure 5</w:t>
      </w:r>
      <w:r w:rsidRPr="009F68F7">
        <w:rPr>
          <w:lang w:val="en-GB"/>
        </w:rPr>
        <w:t xml:space="preserve">. </w:t>
      </w:r>
      <w:r w:rsidRPr="009F68F7">
        <w:rPr>
          <w:b/>
          <w:lang w:val="en-GB"/>
        </w:rPr>
        <w:t>WGS derived genetic profiles for the 150 samples of the NAGENDATA cohort.</w:t>
      </w:r>
      <w:r w:rsidRPr="009F68F7">
        <w:rPr>
          <w:lang w:val="en-GB"/>
        </w:rPr>
        <w:t xml:space="preserve"> </w:t>
      </w:r>
      <w:proofErr w:type="spellStart"/>
      <w:r w:rsidRPr="005C417A">
        <w:rPr>
          <w:lang w:val="en-GB"/>
        </w:rPr>
        <w:t>Heatmap</w:t>
      </w:r>
      <w:proofErr w:type="spellEnd"/>
      <w:r w:rsidRPr="005C417A">
        <w:rPr>
          <w:lang w:val="en-GB"/>
        </w:rPr>
        <w:t xml:space="preserve"> of WGS profiles for all 150 samples in the NAGENDATA cohort, displaying genotypes at each of the 44 SNPs. Columns represent individual samples; rows represent SNPs. Each cell is divided diagonally into two triangles, with </w:t>
      </w:r>
      <w:proofErr w:type="spellStart"/>
      <w:r w:rsidRPr="005C417A">
        <w:rPr>
          <w:lang w:val="en-GB"/>
        </w:rPr>
        <w:t>color</w:t>
      </w:r>
      <w:proofErr w:type="spellEnd"/>
      <w:r w:rsidRPr="005C417A">
        <w:rPr>
          <w:lang w:val="en-GB"/>
        </w:rPr>
        <w:t xml:space="preserve"> encoding the two alleles present, allowing visualization of heterozygous and homozygous calls. </w:t>
      </w:r>
      <w:proofErr w:type="spellStart"/>
      <w:r w:rsidRPr="005C417A">
        <w:rPr>
          <w:lang w:val="en-GB"/>
        </w:rPr>
        <w:t>Barplots</w:t>
      </w:r>
      <w:proofErr w:type="spellEnd"/>
      <w:r w:rsidRPr="005C417A">
        <w:rPr>
          <w:lang w:val="en-GB"/>
        </w:rPr>
        <w:t xml:space="preserve"> in the right side indicating allele frequencies.</w:t>
      </w:r>
    </w:p>
    <w:p w:rsidR="00540D1F" w:rsidRPr="005C417A" w:rsidRDefault="00540D1F" w:rsidP="00540D1F">
      <w:pPr>
        <w:spacing w:line="480" w:lineRule="auto"/>
      </w:pPr>
    </w:p>
    <w:p w:rsidR="00540D1F" w:rsidRPr="005C417A" w:rsidRDefault="00540D1F" w:rsidP="00540D1F">
      <w:pPr>
        <w:spacing w:line="480" w:lineRule="auto"/>
      </w:pPr>
      <w:r w:rsidRPr="005C417A">
        <w:br w:type="page"/>
      </w:r>
    </w:p>
    <w:p w:rsidR="00540D1F" w:rsidRPr="005C417A" w:rsidRDefault="00540D1F" w:rsidP="00540D1F">
      <w:pPr>
        <w:spacing w:line="480" w:lineRule="auto"/>
        <w:jc w:val="center"/>
      </w:pPr>
      <w:r w:rsidRPr="005C417A">
        <w:rPr>
          <w:noProof/>
          <w:lang w:eastAsia="es-ES"/>
        </w:rPr>
        <w:lastRenderedPageBreak/>
        <w:drawing>
          <wp:inline distT="0" distB="0" distL="0" distR="0" wp14:anchorId="66EA9EB9" wp14:editId="51D7FEF7">
            <wp:extent cx="4373880" cy="7754732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139"/>
                    <a:stretch/>
                  </pic:blipFill>
                  <pic:spPr bwMode="auto">
                    <a:xfrm>
                      <a:off x="0" y="0"/>
                      <a:ext cx="4403510" cy="7807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0D1F" w:rsidRPr="009F68F7" w:rsidRDefault="00540D1F" w:rsidP="00540D1F">
      <w:pPr>
        <w:spacing w:line="480" w:lineRule="auto"/>
        <w:rPr>
          <w:lang w:val="en-GB"/>
        </w:rPr>
      </w:pPr>
      <w:r w:rsidRPr="009F68F7">
        <w:rPr>
          <w:b/>
          <w:lang w:val="en-GB"/>
        </w:rPr>
        <w:lastRenderedPageBreak/>
        <w:t>Supplementary figure 6</w:t>
      </w:r>
      <w:r w:rsidRPr="009F68F7">
        <w:rPr>
          <w:lang w:val="en-GB"/>
        </w:rPr>
        <w:t xml:space="preserve">. </w:t>
      </w:r>
      <w:proofErr w:type="gramStart"/>
      <w:r w:rsidRPr="009F68F7">
        <w:rPr>
          <w:b/>
          <w:lang w:val="en-GB"/>
        </w:rPr>
        <w:t>qPCR</w:t>
      </w:r>
      <w:proofErr w:type="gramEnd"/>
      <w:r w:rsidRPr="009F68F7">
        <w:rPr>
          <w:b/>
          <w:lang w:val="en-GB"/>
        </w:rPr>
        <w:t xml:space="preserve"> cluster plots for the 44 SNP genotyping assays.</w:t>
      </w:r>
      <w:r w:rsidRPr="009F68F7">
        <w:rPr>
          <w:lang w:val="en-GB"/>
        </w:rPr>
        <w:t xml:space="preserve"> Two-dimensional scatter plots showing fluorescence intensity signals from </w:t>
      </w:r>
      <w:proofErr w:type="spellStart"/>
      <w:r w:rsidRPr="009F68F7">
        <w:rPr>
          <w:lang w:val="en-GB"/>
        </w:rPr>
        <w:t>TaqMan</w:t>
      </w:r>
      <w:proofErr w:type="spellEnd"/>
      <w:r w:rsidRPr="009F68F7">
        <w:rPr>
          <w:lang w:val="en-GB"/>
        </w:rPr>
        <w:t xml:space="preserve"> qPCR assays. Each dot represents a single sample, with x-axis intensity corresponding to channel 1 (allele 1) and y-axis intensity to the channel 2 (allele 2). Distinct clusters correspond to homozygous ref, heterozygous and homozygous alt. </w:t>
      </w:r>
    </w:p>
    <w:p w:rsidR="003A151B" w:rsidRPr="00237A63" w:rsidRDefault="003A151B">
      <w:pPr>
        <w:rPr>
          <w:lang w:val="en-GB"/>
        </w:rPr>
      </w:pPr>
    </w:p>
    <w:sectPr w:rsidR="003A151B" w:rsidRPr="00237A63" w:rsidSect="00540D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D1F"/>
    <w:rsid w:val="00237A63"/>
    <w:rsid w:val="003A151B"/>
    <w:rsid w:val="00540D1F"/>
    <w:rsid w:val="006333EC"/>
    <w:rsid w:val="00C32096"/>
    <w:rsid w:val="00DD69B8"/>
    <w:rsid w:val="00E8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E8EF"/>
  <w15:docId w15:val="{6C9A1E81-4B74-40B9-9C62-CB005900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D1F"/>
    <w:pPr>
      <w:spacing w:after="160" w:line="259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0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0D1F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336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Remel Jay Cabug-os</dc:creator>
  <cp:lastModifiedBy>Almanza Goicoechea, Aitor (Navarrabiomed)</cp:lastModifiedBy>
  <cp:revision>2</cp:revision>
  <dcterms:created xsi:type="dcterms:W3CDTF">2026-08-28T10:42:00Z</dcterms:created>
  <dcterms:modified xsi:type="dcterms:W3CDTF">2026-08-28T10:42:00Z</dcterms:modified>
</cp:coreProperties>
</file>