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480" w:after="0"/>
        <w:jc w:val="center"/>
        <w:rPr>
          <w:rFonts w:ascii="arial" w:hAnsi="arial"/>
        </w:rPr>
      </w:pPr>
      <w:bookmarkStart w:id="0" w:name="supplementary-information"/>
      <w:bookmarkEnd w:id="0"/>
      <w:r>
        <w:rPr>
          <w:rFonts w:ascii="arial" w:hAnsi="arial"/>
          <w:color w:val="000000"/>
          <w:sz w:val="24"/>
          <w:szCs w:val="24"/>
        </w:rPr>
        <w:t>Supplementary information</w:t>
      </w:r>
    </w:p>
    <w:p>
      <w:pPr>
        <w:pStyle w:val="Heading2"/>
        <w:jc w:val="center"/>
        <w:rPr>
          <w:rFonts w:ascii="arial" w:hAnsi="arial"/>
        </w:rPr>
      </w:pPr>
      <w:r>
        <w:rPr>
          <w:rFonts w:ascii="arial" w:hAnsi="arial"/>
          <w:color w:val="000000"/>
          <w:sz w:val="24"/>
          <w:szCs w:val="24"/>
        </w:rPr>
        <w:t>Halogen-transforming potential in prokaryotes partitions into mobile respiratory loci and a broad resident reservoir</w:t>
      </w:r>
    </w:p>
    <w:p>
      <w:pPr>
        <w:pStyle w:val="FirstParagraph"/>
        <w:rPr>
          <w:rFonts w:ascii="arial" w:hAnsi="arial"/>
          <w:color w:val="000000"/>
          <w:sz w:val="24"/>
          <w:szCs w:val="24"/>
        </w:rPr>
      </w:pPr>
      <w:r>
        <w:rPr>
          <w:rFonts w:ascii="arial" w:hAnsi="arial"/>
          <w:color w:val="000000"/>
          <w:sz w:val="24"/>
          <w:szCs w:val="24"/>
        </w:rPr>
      </w:r>
    </w:p>
    <w:p>
      <w:pPr>
        <w:pStyle w:val="Heading2"/>
        <w:rPr>
          <w:rFonts w:ascii="arial" w:hAnsi="arial"/>
        </w:rPr>
      </w:pPr>
      <w:r>
        <w:rPr>
          <w:rFonts w:ascii="arial" w:hAnsi="arial"/>
          <w:color w:val="000000"/>
          <w:sz w:val="24"/>
          <w:szCs w:val="24"/>
        </w:rPr>
        <w:t>Supplementary Method</w:t>
      </w:r>
    </w:p>
    <w:p>
      <w:pPr>
        <w:pStyle w:val="Heading3"/>
        <w:rPr>
          <w:rFonts w:ascii="arial" w:hAnsi="arial"/>
        </w:rPr>
      </w:pPr>
      <w:r>
        <w:rPr>
          <w:rFonts w:ascii="arial" w:hAnsi="arial"/>
          <w:color w:val="000000"/>
          <w:sz w:val="24"/>
          <w:szCs w:val="24"/>
        </w:rPr>
        <w:t>Functional scope of sequence-based inference</w:t>
      </w:r>
    </w:p>
    <w:p>
      <w:pPr>
        <w:pStyle w:val="FirstParagraph"/>
        <w:rPr>
          <w:rFonts w:ascii="arial" w:hAnsi="arial"/>
        </w:rPr>
      </w:pPr>
      <w:bookmarkStart w:id="1" w:name="X7f355fd02773394126d60eb18f7a9045c76cdae"/>
      <w:r>
        <w:rPr>
          <w:rFonts w:ascii="arial" w:hAnsi="arial"/>
          <w:color w:val="000000"/>
          <w:sz w:val="24"/>
          <w:szCs w:val="24"/>
        </w:rPr>
        <w:t>Sequence-based detection cannot distinguish functional RdhA enzymes from nonfunctional homologs or predict substrate specificity [18]. Only 306 of 2,392 validated homologs (12.8%) carry the canonical respiratory architecture. The catabolic and putative categories may include functional dehalogenases with alternative architectures [19, 24], enzymes repurposed for non-dehalogenation functions [20, 22], or pseudogenes. Conclusions are therefore framed in terms of RdhA homologs and evolutionary regimes rather than verified metabolic capacity.</w:t>
      </w:r>
      <w:bookmarkEnd w:id="1"/>
    </w:p>
    <w:p>
      <w:pPr>
        <w:pStyle w:val="Heading3"/>
        <w:rPr>
          <w:rFonts w:ascii="arial" w:hAnsi="arial"/>
        </w:rPr>
      </w:pPr>
      <w:r>
        <w:rPr>
          <w:rFonts w:ascii="arial" w:hAnsi="arial"/>
          <w:color w:val="000000"/>
          <w:sz w:val="24"/>
          <w:szCs w:val="24"/>
        </w:rPr>
        <w:t>Tree inference robustness</w:t>
      </w:r>
    </w:p>
    <w:p>
      <w:pPr>
        <w:pStyle w:val="FirstParagraph"/>
        <w:rPr>
          <w:rFonts w:ascii="arial" w:hAnsi="arial"/>
        </w:rPr>
      </w:pPr>
      <w:bookmarkStart w:id="2" w:name="tree-inference-robustness"/>
      <w:r>
        <w:rPr>
          <w:rFonts w:ascii="arial" w:hAnsi="arial"/>
          <w:color w:val="000000"/>
          <w:sz w:val="24"/>
          <w:szCs w:val="24"/>
        </w:rPr>
        <w:t>The primary gene tree was inferred with FastTree 2 [50] and validated against IQ-TREE2 [38] (LG+G4, 1000 ultrafast bootstrap) on the full 1,121-leaf alignment. Zhou et al. [51] showed that FastTree finds optimal likelihoods less frequently than IQ-TREE for large datasets; the full gene tree was therefore re-inferred with IQ-TREE2 and all five HGT tests repeated. The nRF between the two gene trees is 0.420, but the gene-vs-species nRF is nearly identical (FastTree: 0.817; IQ-TREE2: 0.820), and all five test conclusions agree (Table S13). The species tree follows the GTDB bac120 concatenation methodology [52].</w:t>
      </w:r>
      <w:bookmarkEnd w:id="2"/>
    </w:p>
    <w:p>
      <w:pPr>
        <w:pStyle w:val="Heading3"/>
        <w:rPr>
          <w:rFonts w:ascii="arial" w:hAnsi="arial"/>
        </w:rPr>
      </w:pPr>
      <w:r>
        <w:rPr>
          <w:rFonts w:ascii="arial" w:hAnsi="arial"/>
          <w:color w:val="000000"/>
          <w:sz w:val="24"/>
          <w:szCs w:val="24"/>
        </w:rPr>
        <w:t>DTL reconciliation and representative rooting</w:t>
      </w:r>
    </w:p>
    <w:p>
      <w:pPr>
        <w:pStyle w:val="FirstParagraph"/>
        <w:rPr>
          <w:rFonts w:ascii="arial" w:hAnsi="arial"/>
        </w:rPr>
      </w:pPr>
      <w:bookmarkStart w:id="3" w:name="Xd914177180aa8a831a4435460c61f70d6c1b24c"/>
      <w:r>
        <w:rPr>
          <w:rFonts w:ascii="arial" w:hAnsi="arial"/>
          <w:color w:val="000000"/>
          <w:sz w:val="24"/>
          <w:szCs w:val="24"/>
        </w:rPr>
        <w:t>The inter-phylum transfer network aggregates transfer events across all 20 RANGER-DTL [36] replicate rootings (mean counts). The 19 identical replicates (690 T / 0 D / 246 L) and one variant (rep0: 692 / 1 / 238) indicate that the reconciliation landscape is largely insensitive to root placement for this dataset (Table S12). Per-genome transfer counts (Table S2, Fig. 4B) are derived from a single representative rooting (rep0) because RANGER-DTL assigns transfers to donor-recipient genome pairs only within a single reconciliation; averaging across rootings would require genome-level alignment of events, which is not straightforward when the reconciliation topology changes. Given that 19 of 20 rootings produce identical event counts, the rep0-based per-genome assignments are representative. The representative-per-genome design removes within-genome paralogy by construction; the reported duplication count is therefore a design artifact rather than a biological estimate.</w:t>
      </w:r>
      <w:bookmarkEnd w:id="3"/>
    </w:p>
    <w:p>
      <w:pPr>
        <w:pStyle w:val="Heading3"/>
        <w:rPr>
          <w:rFonts w:ascii="arial" w:hAnsi="arial"/>
        </w:rPr>
      </w:pPr>
      <w:r>
        <w:rPr>
          <w:rFonts w:ascii="arial" w:hAnsi="arial"/>
          <w:color w:val="000000"/>
          <w:sz w:val="24"/>
          <w:szCs w:val="24"/>
        </w:rPr>
        <w:t>AU test and site concordance interpretation</w:t>
      </w:r>
    </w:p>
    <w:p>
      <w:pPr>
        <w:pStyle w:val="FirstParagraph"/>
        <w:rPr>
          <w:rFonts w:ascii="arial" w:hAnsi="arial"/>
        </w:rPr>
      </w:pPr>
      <w:bookmarkStart w:id="4" w:name="Xaa7f2bc13f7375a9753c37ce6fc80d4947cc87f"/>
      <w:r>
        <w:rPr>
          <w:rFonts w:ascii="arial" w:hAnsi="arial"/>
          <w:color w:val="000000"/>
          <w:sz w:val="24"/>
          <w:szCs w:val="24"/>
        </w:rPr>
        <w:t>At 1,121 leaves, the AU topology test [38] is expected to reject any constrained topology, including species trees differing at only a handful of branches. The extreme delta-logL should therefore be interpreted as qualitative confirmation that the gene tree is not congruent with the species tree, rather than as a quantitative measure of HGT magnitude. For site concordance [38], the species-tree mean sCF (40.5%) is above the random expectation of 33.3%, indicating that the gene alignment retains moderate phylogenetic signal supporting the species tree topology. However, 46.2% of branches fall below 33.3%, and the remaining four tests converge on pervasive gene-species tree discordance consistent with HGT as the dominant cause. The moderate sCF is not inconsistent with this conclusion because site concordance measures per-site quartet support, and even heavily recombined genes retain signal at well-separated branches.</w:t>
      </w:r>
      <w:bookmarkEnd w:id="4"/>
    </w:p>
    <w:p>
      <w:pPr>
        <w:pStyle w:val="Heading3"/>
        <w:rPr>
          <w:rFonts w:ascii="arial" w:hAnsi="arial"/>
        </w:rPr>
      </w:pPr>
      <w:bookmarkStart w:id="5" w:name="Xaa7f2bc13f7375a9753c37ce6fc80d4947cc871"/>
      <w:r>
        <w:rPr>
          <w:rFonts w:ascii="arial" w:hAnsi="arial"/>
          <w:color w:val="000000"/>
          <w:sz w:val="24"/>
          <w:szCs w:val="24"/>
        </w:rPr>
        <w:t>Detection thresholds and profile support</w:t>
      </w:r>
      <w:bookmarkEnd w:id="5"/>
    </w:p>
    <w:p>
      <w:pPr>
        <w:pStyle w:val="FirstParagraph"/>
        <w:rPr>
          <w:rFonts w:ascii="arial" w:hAnsi="arial"/>
        </w:rPr>
      </w:pPr>
      <w:bookmarkStart w:id="6" w:name="Xaa7f2bc13f7375a9753c37ce6fc80d4947cc872"/>
      <w:r>
        <w:rPr>
          <w:rFonts w:ascii="arial" w:hAnsi="arial"/>
          <w:color w:val="000000"/>
          <w:sz w:val="24"/>
          <w:szCs w:val="24"/>
        </w:rPr>
        <w:t>The 25% identity threshold places detection in the twilight zone of sequence alignment [45], and motif validation rather than profile support carries the specificity of the screen. PF13486 is biased toward the canonical respiratory domain architecture, so the catabolic-like majority is motif-defined and should be interpreted more cautiously than the canonical respiratory subset. The B12-mutase exclusion filter is a study-specific heuristic, not an established diagnostic criterion for RDases, and the 600 aa catabolic threshold is operational rather than a structural boundary. The classification may misassign hybrid transmembrane RDases [19] that use alternative membrane-targeting mechanisms. The strict twin-arginine regex is high-precision and under-detects divergent leaders, so the respiratory class as reported is a lower bound; dedicated TAT predictors (TatP [54], PRED-TAT [55]) would refine it, and Table S8 gives the classification under a permissive detector.</w:t>
      </w:r>
      <w:bookmarkEnd w:id="6"/>
    </w:p>
    <w:p>
      <w:pPr>
        <w:pStyle w:val="Heading3"/>
        <w:rPr>
          <w:rFonts w:ascii="arial" w:hAnsi="arial"/>
        </w:rPr>
      </w:pPr>
      <w:bookmarkStart w:id="7" w:name="Xaa7f2bc13f7375a9753c37ce6fc80d4947cc873"/>
      <w:r>
        <w:rPr>
          <w:rFonts w:ascii="arial" w:hAnsi="arial"/>
          <w:color w:val="000000"/>
          <w:sz w:val="24"/>
          <w:szCs w:val="24"/>
        </w:rPr>
        <w:t>Coverage, dereplication and seed choice</w:t>
      </w:r>
      <w:bookmarkEnd w:id="7"/>
    </w:p>
    <w:p>
      <w:pPr>
        <w:pStyle w:val="FirstParagraph"/>
        <w:rPr>
          <w:rFonts w:ascii="arial" w:hAnsi="arial"/>
        </w:rPr>
      </w:pPr>
      <w:bookmarkStart w:id="8" w:name="Xaa7f2bc13f7375a9753c37ce6fc80d4947cc874"/>
      <w:r>
        <w:rPr>
          <w:rFonts w:ascii="arial" w:hAnsi="arial"/>
          <w:color w:val="000000"/>
          <w:sz w:val="24"/>
          <w:szCs w:val="24"/>
        </w:rPr>
        <w:t>GTDB representatives are dereplicated to one genome per species (~95% ANI), so the species-level counts reported here are not comparable with surveys of non-dereplicated, habitat-enriched MAGs, such as the 40% of marine MAGs carrying organohalide-cycling genes in [32], which also scores a broader gene set than the rdhA catalytic subunit; a single marine clade can contribute one GTDB species and thousands of MAGs. Candidate proteins were extracted only from genomes with retrievable NCBI protein annotation; annotation availability has not been verified to be independent of taxonomy, so the homolog counts are a lower bound. The same applies to the Sulfurospirillum multivorans seed: the screen used the 74 aa membrane anchor AAC60789.1, which recruited no proteins under the &gt;=300 aa length filter, and the screen was not repeated with the 501 aa catalytic subunit AAC60788.1, whose 26-36% identity to the other seeds lies within the mutual divergence of the panel. Gene-neighbourhood inferences drawn from the lower-quality fraction of MAGs carry correspondingly wider uncertainty.</w:t>
      </w:r>
      <w:bookmarkEnd w:id="8"/>
    </w:p>
    <w:p>
      <w:pPr>
        <w:pStyle w:val="Heading3"/>
        <w:rPr>
          <w:rFonts w:ascii="arial" w:hAnsi="arial"/>
        </w:rPr>
      </w:pPr>
      <w:bookmarkStart w:id="9" w:name="Xaa7f2bc13f7375a9753c37ce6fc80d4947cc875"/>
      <w:r>
        <w:rPr>
          <w:rFonts w:ascii="arial" w:hAnsi="arial"/>
          <w:color w:val="000000"/>
          <w:sz w:val="24"/>
          <w:szCs w:val="24"/>
        </w:rPr>
        <w:t>Regime-level transfer comparisons</w:t>
      </w:r>
      <w:bookmarkEnd w:id="9"/>
    </w:p>
    <w:p>
      <w:pPr>
        <w:pStyle w:val="FirstParagraph"/>
        <w:rPr>
          <w:rFonts w:ascii="arial" w:hAnsi="arial"/>
        </w:rPr>
      </w:pPr>
      <w:bookmarkStart w:id="10" w:name="Xaa7f2bc13f7375a9753c37ce6fc80d4947cc876"/>
      <w:r>
        <w:rPr>
          <w:rFonts w:ascii="arial" w:hAnsi="arial"/>
          <w:color w:val="000000"/>
          <w:sz w:val="24"/>
          <w:szCs w:val="24"/>
        </w:rPr>
        <w:t>A genome carrying loci in several regimes contributes one transfer count to each, so regime-level comparisons contain a residual dependence structure that the Kruskal-Wallis test does not accommodate; the associated p-values are descriptive, and genome-level mixed modelling would be needed to partition within-genome from between-regime variance. The matched trees also use one representative locus per genome, so a genome-level transfer count is attributed to a regime even when the representative is not a locus of that regime: 23 of the 61 canonical-respiratory-bearing genomes (38%) have a canonical locus as their first validated locus. These comparisons are therefore between genomes containing a given architecture, not between loci; the 1,320 single-regime genomes would support a stricter test. Archaeal placements rest on sparser marker data (≈50% bac120 occupancy against ≈82% in Bacteria) and archaeal transfer inferences are provisional.</w:t>
      </w:r>
      <w:bookmarkEnd w:id="10"/>
    </w:p>
    <w:p>
      <w:pPr>
        <w:pStyle w:val="BodyText"/>
        <w:rPr>
          <w:rFonts w:ascii="arial" w:hAnsi="arial"/>
          <w:color w:val="000000"/>
          <w:sz w:val="24"/>
          <w:szCs w:val="24"/>
        </w:rPr>
      </w:pPr>
      <w:r>
        <w:rPr>
          <w:rFonts w:ascii="arial" w:hAnsi="arial"/>
          <w:color w:val="000000"/>
          <w:sz w:val="24"/>
          <w:szCs w:val="24"/>
        </w:rPr>
      </w:r>
    </w:p>
    <w:p>
      <w:pPr>
        <w:pStyle w:val="BodyText"/>
        <w:rPr>
          <w:rFonts w:ascii="arial" w:hAnsi="arial"/>
          <w:color w:val="000000"/>
          <w:sz w:val="24"/>
          <w:szCs w:val="24"/>
        </w:rPr>
      </w:pPr>
      <w:r>
        <w:rPr>
          <w:rFonts w:ascii="arial" w:hAnsi="arial"/>
          <w:color w:val="000000"/>
          <w:sz w:val="24"/>
          <w:szCs w:val="24"/>
        </w:rPr>
      </w:r>
    </w:p>
    <w:p>
      <w:pPr>
        <w:pStyle w:val="BodyText"/>
        <w:rPr>
          <w:rFonts w:ascii="arial" w:hAnsi="arial"/>
          <w:color w:val="000000"/>
          <w:sz w:val="24"/>
          <w:szCs w:val="24"/>
        </w:rPr>
      </w:pPr>
      <w:r>
        <w:rPr>
          <w:rFonts w:ascii="arial" w:hAnsi="arial"/>
          <w:color w:val="000000"/>
          <w:sz w:val="24"/>
          <w:szCs w:val="24"/>
        </w:rPr>
      </w:r>
    </w:p>
    <w:p>
      <w:pPr>
        <w:pStyle w:val="BodyText"/>
        <w:rPr>
          <w:rFonts w:ascii="arial" w:hAnsi="arial"/>
          <w:color w:val="000000"/>
          <w:sz w:val="24"/>
          <w:szCs w:val="24"/>
        </w:rPr>
      </w:pPr>
      <w:r>
        <w:rPr>
          <w:rFonts w:ascii="arial" w:hAnsi="arial"/>
          <w:color w:val="000000"/>
          <w:sz w:val="24"/>
          <w:szCs w:val="24"/>
        </w:rPr>
      </w:r>
    </w:p>
    <w:p>
      <w:pPr>
        <w:pStyle w:val="BodyText"/>
        <w:rPr>
          <w:rFonts w:ascii="arial" w:hAnsi="arial"/>
          <w:color w:val="000000"/>
          <w:sz w:val="24"/>
          <w:szCs w:val="24"/>
        </w:rPr>
      </w:pPr>
      <w:r>
        <w:rPr>
          <w:rFonts w:ascii="arial" w:hAnsi="arial"/>
          <w:color w:val="000000"/>
          <w:sz w:val="24"/>
          <w:szCs w:val="24"/>
        </w:rPr>
      </w:r>
    </w:p>
    <w:p>
      <w:pPr>
        <w:pStyle w:val="BodyText"/>
        <w:rPr>
          <w:rFonts w:ascii="arial" w:hAnsi="arial"/>
          <w:color w:val="000000"/>
          <w:sz w:val="24"/>
          <w:szCs w:val="24"/>
        </w:rPr>
      </w:pPr>
      <w:r>
        <w:rPr>
          <w:rFonts w:ascii="arial" w:hAnsi="arial"/>
          <w:color w:val="000000"/>
          <w:sz w:val="24"/>
          <w:szCs w:val="24"/>
        </w:rPr>
      </w:r>
    </w:p>
    <w:p>
      <w:pPr>
        <w:pStyle w:val="BodyText"/>
        <w:rPr>
          <w:rFonts w:ascii="arial" w:hAnsi="arial"/>
          <w:color w:val="000000"/>
          <w:sz w:val="24"/>
          <w:szCs w:val="24"/>
        </w:rPr>
      </w:pPr>
      <w:r>
        <w:rPr>
          <w:rFonts w:ascii="arial" w:hAnsi="arial"/>
          <w:color w:val="000000"/>
          <w:sz w:val="24"/>
          <w:szCs w:val="24"/>
        </w:rPr>
      </w:r>
    </w:p>
    <w:p>
      <w:pPr>
        <w:pStyle w:val="BodyText"/>
        <w:rPr>
          <w:rFonts w:ascii="arial" w:hAnsi="arial"/>
          <w:color w:val="000000"/>
          <w:sz w:val="24"/>
          <w:szCs w:val="24"/>
        </w:rPr>
      </w:pPr>
      <w:r>
        <w:rPr>
          <w:rFonts w:ascii="arial" w:hAnsi="arial"/>
          <w:color w:val="000000"/>
          <w:sz w:val="24"/>
          <w:szCs w:val="24"/>
        </w:rPr>
      </w:r>
    </w:p>
    <w:p>
      <w:pPr>
        <w:pStyle w:val="BodyText"/>
        <w:rPr>
          <w:rFonts w:ascii="arial" w:hAnsi="arial"/>
          <w:color w:val="000000"/>
          <w:sz w:val="24"/>
          <w:szCs w:val="24"/>
        </w:rPr>
      </w:pPr>
      <w:r>
        <w:rPr>
          <w:rFonts w:ascii="arial" w:hAnsi="arial"/>
          <w:color w:val="000000"/>
          <w:sz w:val="24"/>
          <w:szCs w:val="24"/>
        </w:rPr>
      </w:r>
    </w:p>
    <w:p>
      <w:pPr>
        <w:pStyle w:val="BodyText"/>
        <w:rPr>
          <w:rFonts w:ascii="arial" w:hAnsi="arial"/>
          <w:color w:val="000000"/>
          <w:sz w:val="24"/>
          <w:szCs w:val="24"/>
        </w:rPr>
      </w:pPr>
      <w:r>
        <w:rPr>
          <w:rFonts w:ascii="arial" w:hAnsi="arial"/>
          <w:color w:val="000000"/>
          <w:sz w:val="24"/>
          <w:szCs w:val="24"/>
        </w:rPr>
      </w:r>
    </w:p>
    <w:p>
      <w:pPr>
        <w:pStyle w:val="BodyText"/>
        <w:rPr>
          <w:rFonts w:ascii="arial" w:hAnsi="arial"/>
          <w:color w:val="000000"/>
          <w:sz w:val="24"/>
          <w:szCs w:val="24"/>
        </w:rPr>
      </w:pPr>
      <w:r>
        <w:rPr>
          <w:rFonts w:ascii="arial" w:hAnsi="arial"/>
          <w:color w:val="000000"/>
          <w:sz w:val="24"/>
          <w:szCs w:val="24"/>
        </w:rPr>
      </w:r>
    </w:p>
    <w:p>
      <w:pPr>
        <w:pStyle w:val="BodyText"/>
        <w:rPr>
          <w:rFonts w:ascii="arial" w:hAnsi="arial"/>
          <w:color w:val="000000"/>
          <w:sz w:val="24"/>
          <w:szCs w:val="24"/>
        </w:rPr>
      </w:pPr>
      <w:r>
        <w:rPr>
          <w:rFonts w:ascii="arial" w:hAnsi="arial"/>
          <w:color w:val="000000"/>
          <w:sz w:val="24"/>
          <w:szCs w:val="24"/>
        </w:rPr>
      </w:r>
    </w:p>
    <w:p>
      <w:pPr>
        <w:pStyle w:val="BodyText"/>
        <w:rPr>
          <w:rFonts w:ascii="arial" w:hAnsi="arial"/>
          <w:color w:val="000000"/>
          <w:sz w:val="24"/>
          <w:szCs w:val="24"/>
        </w:rPr>
      </w:pPr>
      <w:r>
        <w:rPr>
          <w:rFonts w:ascii="arial" w:hAnsi="arial"/>
          <w:color w:val="000000"/>
          <w:sz w:val="24"/>
          <w:szCs w:val="24"/>
        </w:rPr>
      </w:r>
    </w:p>
    <w:p>
      <w:pPr>
        <w:pStyle w:val="BodyText"/>
        <w:rPr>
          <w:rFonts w:ascii="arial" w:hAnsi="arial"/>
          <w:color w:val="000000"/>
          <w:sz w:val="24"/>
          <w:szCs w:val="24"/>
        </w:rPr>
      </w:pPr>
      <w:r>
        <w:rPr>
          <w:rFonts w:ascii="arial" w:hAnsi="arial"/>
          <w:color w:val="000000"/>
          <w:sz w:val="24"/>
          <w:szCs w:val="24"/>
        </w:rPr>
      </w:r>
    </w:p>
    <w:p>
      <w:pPr>
        <w:pStyle w:val="BodyText"/>
        <w:rPr>
          <w:rFonts w:ascii="arial" w:hAnsi="arial"/>
          <w:color w:val="000000"/>
          <w:sz w:val="24"/>
          <w:szCs w:val="24"/>
        </w:rPr>
      </w:pPr>
      <w:r>
        <w:rPr>
          <w:rFonts w:ascii="arial" w:hAnsi="arial"/>
          <w:color w:val="000000"/>
          <w:sz w:val="24"/>
          <w:szCs w:val="24"/>
        </w:rPr>
      </w:r>
    </w:p>
    <w:p>
      <w:pPr>
        <w:pStyle w:val="BodyText"/>
        <w:rPr>
          <w:rFonts w:ascii="arial" w:hAnsi="arial"/>
          <w:color w:val="000000"/>
          <w:sz w:val="24"/>
          <w:szCs w:val="24"/>
        </w:rPr>
      </w:pPr>
      <w:r>
        <w:rPr>
          <w:rFonts w:ascii="arial" w:hAnsi="arial"/>
          <w:color w:val="000000"/>
          <w:sz w:val="24"/>
          <w:szCs w:val="24"/>
        </w:rPr>
      </w:r>
    </w:p>
    <w:p>
      <w:pPr>
        <w:pStyle w:val="BodyText"/>
        <w:rPr>
          <w:rFonts w:ascii="arial" w:hAnsi="arial"/>
          <w:color w:val="000000"/>
          <w:sz w:val="24"/>
          <w:szCs w:val="24"/>
        </w:rPr>
      </w:pPr>
      <w:r>
        <w:rPr>
          <w:rFonts w:ascii="arial" w:hAnsi="arial"/>
          <w:color w:val="000000"/>
          <w:sz w:val="24"/>
          <w:szCs w:val="24"/>
        </w:rPr>
      </w:r>
    </w:p>
    <w:p>
      <w:pPr>
        <w:pStyle w:val="Heading2"/>
        <w:rPr>
          <w:rFonts w:ascii="arial" w:hAnsi="arial"/>
        </w:rPr>
      </w:pPr>
      <w:r>
        <w:rPr>
          <w:rFonts w:ascii="arial" w:hAnsi="arial"/>
          <w:color w:val="000000"/>
          <w:sz w:val="24"/>
          <w:szCs w:val="24"/>
        </w:rPr>
        <w:t>Supplementary Note 1. Habitat classification from the NCBI isolation_source field</w:t>
      </w:r>
    </w:p>
    <w:p>
      <w:pPr>
        <w:pStyle w:val="FirstParagraph"/>
        <w:rPr>
          <w:rFonts w:ascii="arial" w:hAnsi="arial"/>
        </w:rPr>
      </w:pPr>
      <w:bookmarkStart w:id="11" w:name="Xaa7f2bc13f7375a9753c37ce6fc80d4947cc877"/>
      <w:r>
        <w:rPr>
          <w:rFonts w:ascii="arial" w:hAnsi="arial"/>
          <w:color w:val="000000"/>
          <w:sz w:val="24"/>
          <w:szCs w:val="24"/>
        </w:rPr>
        <w:t>GTDB r220 does not curate habitat directly; it propagates the NCBI ncbi_isolation_source field. The habitat categories used in Table S18 were therefore derived from that free-text string by hierarchical keyword matching on the lower-cased value, assigning the first category whose keyword list matched.</w:t>
      </w:r>
      <w:bookmarkEnd w:id="11"/>
    </w:p>
    <w:p>
      <w:pPr>
        <w:pStyle w:val="FirstParagraph"/>
        <w:rPr>
          <w:rFonts w:ascii="arial" w:hAnsi="arial"/>
        </w:rPr>
      </w:pPr>
      <w:bookmarkStart w:id="12" w:name="Xaa7f2bc13f7375a9753c37ce6fc80d4947cc878"/>
      <w:r>
        <w:rPr>
          <w:rFonts w:ascii="arial" w:hAnsi="arial"/>
          <w:color w:val="000000"/>
          <w:sz w:val="24"/>
          <w:szCs w:val="24"/>
        </w:rPr>
        <w:t>The order, and the keywords tested at each step, were: (1) cold seep (cold seep, coldseep, methane seep); (2) hydrothermal (hydrothermal, hot spring, hotspring, thermal vent, deep-sea vent, black smoker, geothermal); (3) contaminated or engineered (contamina*, bioreactor, wastewater, remediat*, dechlorin*, chlorinated, trichloroethene, tetrachloroethene, PCE, TCE, dichloromethane, reactor, enrichment, digester, sewage, landfill, polluted, industrial, activated sludge, sludge, treatment plant, biostimulat*, benzene, toluene, petroleum, oil spill, creosote, PCB, halogenated, dehalogenat*, organohalide, vinyl chloride, chloroform, chlorobenzene, brominated, PBDE, dioxin, pentachlorophenol); (4) host-associated (gut, feces/faeces, stool, intestin*, colon, caecum, rumen, gastrointestinal, oral, blood, sputum, clinical, patient, human, wound, urine, lung, skin, throat, vaginal, endophyte, symbiont, host, animal, insect, sponge, coral, termite, named livestock and fish terms, rhizosphere, root, plant, leaf, phyllosphere); (5) marine (marine, ocean, seawater, deep-sea, pelagic, coastal, estuar*, tidal, mangrove, salt marsh, brackish, saline lake, hypersaline); (6) marine sediment (sediment together with a marine qualifier); (7) freshwater (freshwater, lake, river, stream, pond, reservoir, wetland, bog, marsh, swamp); (8) subsurface or groundwater (subsurface, groundwater, aquifer, borehole, mine, cave); (9) sediment (any remaining sediment); (10) soil or terrestrial (soil, terrestrial, peat, permafrost, tundra, forest, grassland, agricultural, compost, paddy, rice field).</w:t>
      </w:r>
      <w:bookmarkEnd w:id="12"/>
    </w:p>
    <w:p>
      <w:pPr>
        <w:pStyle w:val="FirstParagraph"/>
        <w:rPr>
          <w:rFonts w:ascii="arial" w:hAnsi="arial"/>
        </w:rPr>
      </w:pPr>
      <w:bookmarkStart w:id="13" w:name="Xaa7f2bc13f7375a9753c37ce6fc80d4947cc879"/>
      <w:r>
        <w:rPr>
          <w:rFonts w:ascii="arial" w:hAnsi="arial"/>
          <w:color w:val="000000"/>
          <w:sz w:val="24"/>
          <w:szCs w:val="24"/>
        </w:rPr>
        <w:t>Remaining strings containing water or aquatic were assigned to freshwater, bare metagenome labels were resolved to the matching category where the label allowed, and all other strings were assigned to other. Genomes with an empty isolation_source were set to unclassified and excluded from the habitat statistics (445 of 1,576), leaving the 1,131 classifiable genomes of Table S18.</w:t>
      </w:r>
      <w:bookmarkEnd w:id="13"/>
    </w:p>
    <w:p>
      <w:pPr>
        <w:pStyle w:val="FirstParagraph"/>
        <w:rPr>
          <w:rFonts w:ascii="arial" w:hAnsi="arial"/>
        </w:rPr>
      </w:pPr>
      <w:bookmarkStart w:id="14" w:name="Xaa7f2bc13f7375a9753c37ce6fc80d4947cc87a"/>
      <w:r>
        <w:rPr>
          <w:rFonts w:ascii="arial" w:hAnsi="arial"/>
          <w:color w:val="000000"/>
          <w:sz w:val="24"/>
          <w:szCs w:val="24"/>
        </w:rPr>
        <w:t>Two consequences follow from the ordering. First, engineered and contaminated sources are resolved before every natural-habitat class, so a bioreactor seeded with marine sediment is scored as contaminated rather than marine. Second, the broad marine class is tested before the marine-sediment rule, so most sediment records carrying a marine qualifier are absorbed into marine; the marine_sediment category in Table S18 is correspondingly small (n = 5) and should not be read as the full marine-sediment sample. Because the underlying field is unstandardised free text, these assignments are approximate and are used only for the coarse category-level comparisons reported in the main text.</w:t>
      </w:r>
      <w:bookmarkEnd w:id="14"/>
    </w:p>
    <w:p>
      <w:pPr>
        <w:pStyle w:val="Heading2"/>
        <w:rPr>
          <w:rFonts w:ascii="arial" w:hAnsi="arial"/>
        </w:rPr>
      </w:pPr>
      <w:r>
        <w:rPr>
          <w:rFonts w:ascii="arial" w:hAnsi="arial"/>
          <w:color w:val="000000"/>
          <w:sz w:val="24"/>
          <w:szCs w:val="24"/>
        </w:rPr>
        <w:t>Supplementary tables</w:t>
      </w:r>
    </w:p>
    <w:p>
      <w:pPr>
        <w:pStyle w:val="FirstParagraph"/>
        <w:rPr>
          <w:rFonts w:ascii="arial" w:hAnsi="arial"/>
        </w:rPr>
      </w:pPr>
      <w:r>
        <w:rPr>
          <w:rFonts w:ascii="arial" w:hAnsi="arial"/>
        </w:rPr>
        <w:t>Supplementary Tables S1–S3 are provided in a single workbook:</w:t>
      </w:r>
    </w:p>
    <w:p>
      <w:pPr>
        <w:pStyle w:val="Compact"/>
        <w:numPr>
          <w:ilvl w:val="0"/>
          <w:numId w:val="1"/>
        </w:numPr>
        <w:rPr/>
      </w:pPr>
      <w:r>
        <w:rPr>
          <w:rStyle w:val="VerbatimChar"/>
          <w:rFonts w:ascii="arial" w:hAnsi="arial"/>
          <w:color w:val="000000"/>
          <w:sz w:val="24"/>
          <w:szCs w:val="24"/>
        </w:rPr>
        <w:t>Supplementary_Tables.xlsx</w:t>
      </w:r>
    </w:p>
    <w:p>
      <w:pPr>
        <w:pStyle w:val="Heading3"/>
        <w:rPr>
          <w:rFonts w:ascii="arial" w:hAnsi="arial"/>
        </w:rPr>
      </w:pPr>
      <w:r>
        <w:rPr>
          <w:rFonts w:ascii="arial" w:hAnsi="arial"/>
          <w:color w:val="000000"/>
          <w:sz w:val="24"/>
          <w:szCs w:val="24"/>
        </w:rPr>
        <w:t>Table S1</w:t>
      </w:r>
    </w:p>
    <w:p>
      <w:pPr>
        <w:pStyle w:val="FirstParagraph"/>
        <w:rPr>
          <w:rFonts w:ascii="arial" w:hAnsi="arial"/>
        </w:rPr>
      </w:pPr>
      <w:bookmarkStart w:id="15" w:name="table-s17"/>
      <w:r>
        <w:rPr>
          <w:rFonts w:ascii="arial" w:hAnsi="arial"/>
          <w:color w:val="000000"/>
          <w:sz w:val="24"/>
          <w:szCs w:val="24"/>
        </w:rPr>
        <w:t>Curated seed sequences used for initial DIAMOND screening, including 12 experimentally characterized RdhA proteins and 2 RdhB proteins. Columns report seed type, accession, description, organism, sequence length, amino-acid sequence, the protein name and substrate, and the primary characterising reference for each seed. The Sulfurospirillum multivorans catalytic subunit is AAC60788.1 (501 aa PceA). The screen itself was run with AAC60789.1, the 74 aa PceB membrane anchor, which recruited no proteins under the &gt;=300 aa length filter (Methods).</w:t>
      </w:r>
      <w:bookmarkEnd w:id="15"/>
    </w:p>
    <w:p>
      <w:pPr>
        <w:pStyle w:val="Heading3"/>
        <w:rPr>
          <w:rFonts w:ascii="arial" w:hAnsi="arial"/>
        </w:rPr>
      </w:pPr>
      <w:r>
        <w:rPr>
          <w:rFonts w:ascii="arial" w:hAnsi="arial"/>
          <w:color w:val="000000"/>
          <w:sz w:val="24"/>
          <w:szCs w:val="24"/>
        </w:rPr>
        <w:t>Table S2</w:t>
      </w:r>
    </w:p>
    <w:p>
      <w:pPr>
        <w:pStyle w:val="FirstParagraph"/>
        <w:rPr>
          <w:rFonts w:ascii="arial" w:hAnsi="arial"/>
        </w:rPr>
      </w:pPr>
      <w:bookmarkStart w:id="16" w:name="table-s1"/>
      <w:r>
        <w:rPr>
          <w:rFonts w:ascii="arial" w:hAnsi="arial"/>
          <w:color w:val="000000"/>
          <w:sz w:val="24"/>
          <w:szCs w:val="24"/>
        </w:rPr>
        <w:t>Per-genome statistics for all 1,576 genomes with detected rdhA homologs. Of these, 1,541 carry at least one validated rdhA (38 phyla) and 35 carry only uncertain-class proteins; the 2,392 validated proteins analysed throughout come from the 1,409 NCBI-annotated genomes among them (36 phyla). Columns report taxonomy, copy number, motif types, rdhB presence, mobility elements and transfer event counts. The copy-number column counts every rdhA locus detected in a genome and therefore sums to 2,619, more than any downstream total: 2,392 validated plus 55 uncertain gives the 2,447 retained proteins; adding the 152 loci in the 132 Pyrodigal-recovered genomes gives the 2,599 reported per phylum in Table S22; and the remaining 20 are loci in nine genomes - eight Chloroflexota and one Pseudomonadota - that were dropped at the retention step and so appear in no other table. The has_rdhB column is the neighbourhood-based flag (128 genomes) used for locus-level statistics; Figure 4B instead uses the HMM-validated rdhB set of Table S9 (144 genomes), so recomputing Figure 4B from this column will not reproduce it exactly. Per-genome transfer counts are derived from a single representative RANGER-DTL rooting (rep0), not the 20-rooting summary used for the inter-phylum network (Table S19).</w:t>
      </w:r>
      <w:bookmarkEnd w:id="16"/>
    </w:p>
    <w:p>
      <w:pPr>
        <w:pStyle w:val="Heading3"/>
        <w:rPr>
          <w:rFonts w:ascii="arial" w:hAnsi="arial"/>
          <w:color w:val="000000"/>
        </w:rPr>
      </w:pPr>
      <w:r>
        <w:rPr>
          <w:rFonts w:ascii="arial" w:hAnsi="arial"/>
          <w:color w:val="000000"/>
        </w:rPr>
        <w:t>Table S3</w:t>
      </w:r>
    </w:p>
    <w:p>
      <w:pPr>
        <w:pStyle w:val="FirstParagraph"/>
        <w:rPr>
          <w:rFonts w:ascii="arial" w:hAnsi="arial"/>
        </w:rPr>
      </w:pPr>
      <w:r>
        <w:rPr>
          <w:rFonts w:ascii="arial" w:hAnsi="arial"/>
        </w:rPr>
        <w:t>Structural validation of the motif classes. Per-protein results for the 107 predicted structures: motif class or control group, full-length and folded region, folding mode, mean pLDDT, TM-scores to both references (normalised by reference length), the closer reference, and the RMSD, aligned length and structural sequence identity to it. Proteins longer than 780 residues were folded over the region homologous to the reference, defined by BLASTp and padded by 20 residues; all others were folded full length. The final columns give, for reference, the BLASTp identity and alignment length to the same reference; these are sequence alignments and differ from the structural alignment reported in the preceding columns.</w:t>
      </w:r>
    </w:p>
    <w:p>
      <w:pPr>
        <w:pStyle w:val="Heading3"/>
        <w:rPr>
          <w:rFonts w:ascii="arial" w:hAnsi="arial"/>
        </w:rPr>
      </w:pPr>
      <w:r>
        <w:rPr>
          <w:rFonts w:ascii="arial" w:hAnsi="arial"/>
          <w:color w:val="000000"/>
          <w:sz w:val="24"/>
          <w:szCs w:val="24"/>
        </w:rPr>
        <w:t>Table S4</w:t>
      </w:r>
    </w:p>
    <w:p>
      <w:pPr>
        <w:pStyle w:val="FirstParagraph"/>
        <w:rPr>
          <w:rFonts w:ascii="arial" w:hAnsi="arial"/>
        </w:rPr>
      </w:pPr>
      <w:bookmarkStart w:id="17" w:name="table-s7"/>
      <w:r>
        <w:rPr>
          <w:rFonts w:ascii="arial" w:hAnsi="arial"/>
          <w:color w:val="000000"/>
          <w:sz w:val="24"/>
          <w:szCs w:val="24"/>
        </w:rPr>
        <w:t>Properties of 281 MMseqs2 sequence clans (50% identity), including size, taxonomic breadth, dominant motif type, and evolutionary characteristics. Clans are numbered in the clan column by descending size (Clan 1 is the largest), which is the numbering used in the main text. Clustering was run on the 2,447 retained proteins (2,392 validated plus 55 uncertain), so the three motif-class percentages for a clan need not sum to 100%; the shortfall is that clan’s uncertain-class members. The pct_tat_consensus column gives the percentage of clan members positive under the permissive twin-arginine detector, alongside pct_tat for the strict regex; the two differ most in Clan 6 (42% strict vs 98% consensus). A final block summarises the finer 90%-identity clustering (2,049 clusters over the 2,447 retained proteins).</w:t>
      </w:r>
      <w:bookmarkEnd w:id="17"/>
    </w:p>
    <w:p>
      <w:pPr>
        <w:pStyle w:val="Heading3"/>
        <w:rPr>
          <w:rFonts w:ascii="arial" w:hAnsi="arial"/>
        </w:rPr>
      </w:pPr>
      <w:r>
        <w:rPr>
          <w:rFonts w:ascii="arial" w:hAnsi="arial"/>
          <w:color w:val="000000"/>
          <w:sz w:val="24"/>
          <w:szCs w:val="24"/>
        </w:rPr>
        <w:t>Table S5</w:t>
      </w:r>
    </w:p>
    <w:p>
      <w:pPr>
        <w:pStyle w:val="FirstParagraph"/>
        <w:rPr>
          <w:rFonts w:ascii="arial" w:hAnsi="arial"/>
        </w:rPr>
      </w:pPr>
      <w:bookmarkStart w:id="18" w:name="table-s8"/>
      <w:r>
        <w:rPr>
          <w:rFonts w:ascii="arial" w:hAnsi="arial"/>
          <w:color w:val="000000"/>
          <w:sz w:val="24"/>
          <w:szCs w:val="24"/>
        </w:rPr>
        <w:t>Summary statistics for four evolutionary regimes: canonical respiratory rdhA-rdhB locus, solitary catabolic-like, tandem array, and other.</w:t>
      </w:r>
      <w:bookmarkEnd w:id="18"/>
    </w:p>
    <w:p>
      <w:pPr>
        <w:pStyle w:val="Heading3"/>
        <w:rPr>
          <w:rFonts w:ascii="arial" w:hAnsi="arial"/>
          <w:color w:val="000000"/>
        </w:rPr>
      </w:pPr>
      <w:r>
        <w:rPr>
          <w:rFonts w:ascii="arial" w:hAnsi="arial"/>
          <w:color w:val="000000"/>
        </w:rPr>
        <w:t>Table S6</w:t>
      </w:r>
    </w:p>
    <w:p>
      <w:pPr>
        <w:pStyle w:val="FirstParagraph"/>
        <w:rPr>
          <w:rFonts w:ascii="arial" w:hAnsi="arial"/>
        </w:rPr>
      </w:pPr>
      <w:r>
        <w:rPr>
          <w:rFonts w:ascii="arial" w:hAnsi="arial"/>
        </w:rPr>
        <w:t>Lineage-stratified regime contrasts and compositional null. Section 1 recomputes the canonical respiratory versus solitary catabolic-like comparison for mobility and transfer rate within lineage strata, because motif class is strongly associated with host phylum (52% of canonical respiratory loci are Chloroflexota; 65% of solitary catabolic-like loci are Pseudomonadota). The mobility contrast persists within single phyla; the transfer-rate contrast does not, and reverses within Pseudomonadota. Section 2 gives mean transfer counts by rdhA copy number, which together with phylum accounts for the pooled transfer-rate difference. Section 3 compares observed cross-phylum transfer with a compositional null in which transfer partners are drawn at random with each regime’s own genome composition; every regime transfers more locally than chance, and the canonical-versus-solitary enrichment is 2.8-fold rather than the 4.3-fold raw ratio.</w:t>
      </w:r>
    </w:p>
    <w:p>
      <w:pPr>
        <w:pStyle w:val="Heading3"/>
        <w:rPr>
          <w:rFonts w:ascii="arial" w:hAnsi="arial"/>
        </w:rPr>
      </w:pPr>
      <w:r>
        <w:rPr>
          <w:rFonts w:ascii="arial" w:hAnsi="arial"/>
          <w:color w:val="000000"/>
          <w:sz w:val="24"/>
          <w:szCs w:val="24"/>
        </w:rPr>
        <w:t>Table S7</w:t>
      </w:r>
    </w:p>
    <w:p>
      <w:pPr>
        <w:pStyle w:val="FirstParagraph"/>
        <w:rPr>
          <w:rFonts w:ascii="arial" w:hAnsi="arial"/>
        </w:rPr>
      </w:pPr>
      <w:bookmarkStart w:id="19" w:name="table-s15"/>
      <w:r>
        <w:rPr>
          <w:rFonts w:ascii="arial" w:hAnsi="arial"/>
          <w:color w:val="000000"/>
          <w:sz w:val="24"/>
          <w:szCs w:val="24"/>
        </w:rPr>
        <w:t>Mobile genetic element contexts by motif class (respiratory, catabolic, putative). For each rdhA locus, GFF annotations within 20 kb were scanned for transposases, recombinases/resolvases/relaxases, phage-related genes, conjugation machinery (T4SS, tra/trb genes), and plasmid contig markers. tRNA adjacency assessed within 5 kb. Fisher’s exact tests compare respiratory against all other loci and pairwise between motif classes. IS family distribution from ISfinder classification of transposase annotations. A final section summarises, per motif class, the proportion of loci carrying at least one flanking mobility element and the corresponding per-neighbouring-gene rate (the values quoted in the Results for respiratory, catabolic and putative loci).</w:t>
      </w:r>
      <w:bookmarkEnd w:id="19"/>
    </w:p>
    <w:p>
      <w:pPr>
        <w:pStyle w:val="Heading3"/>
        <w:rPr>
          <w:rFonts w:ascii="arial" w:hAnsi="arial"/>
          <w:color w:val="000000"/>
        </w:rPr>
      </w:pPr>
      <w:r>
        <w:rPr>
          <w:rFonts w:ascii="arial" w:hAnsi="arial"/>
          <w:color w:val="000000"/>
        </w:rPr>
        <w:t>Table S8</w:t>
      </w:r>
    </w:p>
    <w:p>
      <w:pPr>
        <w:pStyle w:val="FirstParagraph"/>
        <w:rPr>
          <w:rFonts w:ascii="arial" w:hAnsi="arial"/>
        </w:rPr>
      </w:pPr>
      <w:r>
        <w:rPr>
          <w:rFonts w:ascii="arial" w:hAnsi="arial"/>
        </w:rPr>
        <w:t>TAT-classification sensitivity analysis. Motif classes and the four evolutionary regimes recomputed with a permissive twin-arginine detector (validated to recover all eleven characterised respiratory seeds) in place of the strict TAT regex, compared side by side with the strict classification used throughout the manuscript. Regime columns report locus and genome counts, taxonomic breadth, the percentage of loci with a flanking mobility element, and the mean per-genome transfer rate. The relaxed detector nearly triples the respiratory class but preserves the canonical-versus-catabolic mobility and transfer contrasts. Two further blocks give the transmembrane-type profile within the putative class (389 proteins carrying twin [4Fe-4S], &lt;=600 aa, consensus-TAT positive but strict-regex negative) and the definitions of both TAT detectors.</w:t>
      </w:r>
    </w:p>
    <w:p>
      <w:pPr>
        <w:pStyle w:val="Heading3"/>
        <w:rPr>
          <w:rFonts w:ascii="arial" w:hAnsi="arial"/>
        </w:rPr>
      </w:pPr>
      <w:r>
        <w:rPr>
          <w:rFonts w:ascii="arial" w:hAnsi="arial"/>
          <w:color w:val="000000"/>
          <w:sz w:val="24"/>
          <w:szCs w:val="24"/>
        </w:rPr>
        <w:t>Table S9</w:t>
      </w:r>
    </w:p>
    <w:p>
      <w:pPr>
        <w:pStyle w:val="FirstParagraph"/>
        <w:rPr>
          <w:rFonts w:ascii="arial" w:hAnsi="arial"/>
        </w:rPr>
      </w:pPr>
      <w:bookmarkStart w:id="20" w:name="table-s4"/>
      <w:r>
        <w:rPr>
          <w:rFonts w:ascii="arial" w:hAnsi="arial"/>
          <w:color w:val="000000"/>
          <w:sz w:val="24"/>
          <w:szCs w:val="24"/>
        </w:rPr>
        <w:t>All 426 validated RdhB proteins identified by iterative HMM, with genome accessions, taxonomy, and HMM scores.</w:t>
      </w:r>
      <w:bookmarkEnd w:id="20"/>
    </w:p>
    <w:p>
      <w:pPr>
        <w:pStyle w:val="Heading3"/>
        <w:rPr>
          <w:rFonts w:ascii="arial" w:hAnsi="arial"/>
        </w:rPr>
      </w:pPr>
      <w:r>
        <w:rPr>
          <w:rFonts w:ascii="arial" w:hAnsi="arial"/>
          <w:color w:val="000000"/>
          <w:sz w:val="24"/>
          <w:szCs w:val="24"/>
        </w:rPr>
        <w:t>Table S10</w:t>
      </w:r>
    </w:p>
    <w:p>
      <w:pPr>
        <w:pStyle w:val="FirstParagraph"/>
        <w:rPr>
          <w:rFonts w:ascii="arial" w:hAnsi="arial"/>
        </w:rPr>
      </w:pPr>
      <w:bookmarkStart w:id="21" w:name="table-s18"/>
      <w:r>
        <w:rPr>
          <w:rFonts w:ascii="arial" w:hAnsi="arial"/>
          <w:color w:val="000000"/>
          <w:sz w:val="24"/>
          <w:szCs w:val="24"/>
        </w:rPr>
        <w:t>Summary of the five phylogenetic tests for HGT applied to the full 1,121-leaf matched gene and species trees. Rows report the test, metric, value, and brief interpretation.</w:t>
      </w:r>
      <w:bookmarkEnd w:id="21"/>
    </w:p>
    <w:p>
      <w:pPr>
        <w:pStyle w:val="Heading3"/>
        <w:rPr>
          <w:rFonts w:ascii="arial" w:hAnsi="arial"/>
        </w:rPr>
      </w:pPr>
      <w:r>
        <w:rPr>
          <w:rFonts w:ascii="arial" w:hAnsi="arial"/>
          <w:color w:val="000000"/>
          <w:sz w:val="24"/>
          <w:szCs w:val="24"/>
        </w:rPr>
        <w:t>Table S11</w:t>
      </w:r>
    </w:p>
    <w:p>
      <w:pPr>
        <w:pStyle w:val="FirstParagraph"/>
        <w:rPr>
          <w:rFonts w:ascii="arial" w:hAnsi="arial"/>
        </w:rPr>
      </w:pPr>
      <w:bookmarkStart w:id="22" w:name="table-s6"/>
      <w:r>
        <w:rPr>
          <w:rFonts w:ascii="arial" w:hAnsi="arial"/>
          <w:color w:val="000000"/>
          <w:sz w:val="24"/>
          <w:szCs w:val="24"/>
        </w:rPr>
        <w:t>Confidence-stratified HGT results for Tiers 1-3, including DTL event counts, Mantel correlations, and Robinson-Foulds distances.</w:t>
      </w:r>
      <w:bookmarkEnd w:id="22"/>
    </w:p>
    <w:p>
      <w:pPr>
        <w:pStyle w:val="Heading3"/>
        <w:rPr>
          <w:rFonts w:ascii="arial" w:hAnsi="arial"/>
        </w:rPr>
      </w:pPr>
      <w:r>
        <w:rPr>
          <w:rFonts w:ascii="arial" w:hAnsi="arial"/>
          <w:color w:val="000000"/>
          <w:sz w:val="24"/>
          <w:szCs w:val="24"/>
        </w:rPr>
        <w:t>Table S12</w:t>
      </w:r>
    </w:p>
    <w:p>
      <w:pPr>
        <w:pStyle w:val="FirstParagraph"/>
        <w:rPr>
          <w:rFonts w:ascii="arial" w:hAnsi="arial"/>
        </w:rPr>
      </w:pPr>
      <w:bookmarkStart w:id="23" w:name="table-s5"/>
      <w:r>
        <w:rPr>
          <w:rFonts w:ascii="arial" w:hAnsi="arial"/>
          <w:color w:val="000000"/>
          <w:sz w:val="24"/>
          <w:szCs w:val="24"/>
        </w:rPr>
        <w:t>RANGER-DTL reconciliation results across 20 replicate rootings, reporting duplication, transfer, and loss counts per replicate.</w:t>
      </w:r>
      <w:bookmarkEnd w:id="23"/>
    </w:p>
    <w:p>
      <w:pPr>
        <w:pStyle w:val="Heading3"/>
        <w:rPr>
          <w:rFonts w:ascii="arial" w:hAnsi="arial"/>
        </w:rPr>
      </w:pPr>
      <w:r>
        <w:rPr>
          <w:rFonts w:ascii="arial" w:hAnsi="arial"/>
          <w:color w:val="000000"/>
          <w:sz w:val="24"/>
          <w:szCs w:val="24"/>
        </w:rPr>
        <w:t>Table S13</w:t>
      </w:r>
    </w:p>
    <w:p>
      <w:pPr>
        <w:pStyle w:val="FirstParagraph"/>
        <w:rPr>
          <w:rFonts w:ascii="arial" w:hAnsi="arial"/>
        </w:rPr>
      </w:pPr>
      <w:bookmarkStart w:id="24" w:name="table-s10"/>
      <w:r>
        <w:rPr>
          <w:rFonts w:ascii="arial" w:hAnsi="arial"/>
          <w:color w:val="000000"/>
          <w:sz w:val="24"/>
          <w:szCs w:val="24"/>
        </w:rPr>
        <w:t>Comparison of five HGT test results between FastTree 2 and IQ-TREE2 (LG+G4, 1000 UFBoot) gene trees. DTL reconciliation reports mean D/T/L across 20 RANGER-DTL replicate rootings. sCF was computed on the species tree using the gene alignment and is therefore identical for both methods. nRF: normalized Robinson-Foulds distance between the gene tree and species tree. Mantel r: Pearson correlation between gene-tree and species-tree patristic distance matrices (999 permutations). A final row gives the gene-versus-species nRF after pruning the 57 archaeal leaves, the bacteria-only sensitivity analysis reported in the Methods.</w:t>
      </w:r>
      <w:bookmarkEnd w:id="24"/>
    </w:p>
    <w:p>
      <w:pPr>
        <w:pStyle w:val="Heading3"/>
        <w:rPr>
          <w:rFonts w:ascii="arial" w:hAnsi="arial"/>
        </w:rPr>
      </w:pPr>
      <w:r>
        <w:rPr>
          <w:rFonts w:ascii="arial" w:hAnsi="arial"/>
          <w:color w:val="000000"/>
          <w:sz w:val="24"/>
          <w:szCs w:val="24"/>
        </w:rPr>
        <w:t>Table S14</w:t>
      </w:r>
    </w:p>
    <w:p>
      <w:pPr>
        <w:pStyle w:val="FirstParagraph"/>
        <w:rPr>
          <w:rFonts w:ascii="arial" w:hAnsi="arial"/>
        </w:rPr>
      </w:pPr>
      <w:bookmarkStart w:id="25" w:name="table-s11"/>
      <w:r>
        <w:rPr>
          <w:rFonts w:ascii="arial" w:hAnsi="arial"/>
          <w:color w:val="000000"/>
          <w:sz w:val="24"/>
          <w:szCs w:val="24"/>
        </w:rPr>
        <w:t>Transfer depth classification by evolutionary regime. Each RANGER-DTL transfer event was classified by the taxonomic distance between donor and recipient (within-genus, within-family, within-order, within-class, within-phylum, cross-phylum) based on GTDB r220 taxonomy. Percentages and standard deviations computed across 20 replicate rootings. n = 9,566 total transfer events.</w:t>
      </w:r>
      <w:bookmarkEnd w:id="25"/>
    </w:p>
    <w:p>
      <w:pPr>
        <w:pStyle w:val="Heading3"/>
        <w:rPr>
          <w:rFonts w:ascii="arial" w:hAnsi="arial"/>
        </w:rPr>
      </w:pPr>
      <w:r>
        <w:rPr>
          <w:rFonts w:ascii="arial" w:hAnsi="arial"/>
          <w:color w:val="000000"/>
          <w:sz w:val="24"/>
          <w:szCs w:val="24"/>
        </w:rPr>
        <w:t>Table S15</w:t>
      </w:r>
    </w:p>
    <w:p>
      <w:pPr>
        <w:pStyle w:val="FirstParagraph"/>
        <w:rPr>
          <w:rFonts w:ascii="arial" w:hAnsi="arial"/>
        </w:rPr>
      </w:pPr>
      <w:bookmarkStart w:id="26" w:name="table-s12"/>
      <w:r>
        <w:rPr>
          <w:rFonts w:ascii="arial" w:hAnsi="arial"/>
          <w:color w:val="000000"/>
          <w:sz w:val="24"/>
          <w:szCs w:val="24"/>
        </w:rPr>
        <w:t>Phylogenetic patchiness by evolutionary regime. Patchiness index = 1 − (fraction of genomes in a taxonomic clade carrying a given regime). Higher values indicate sporadic, patchy distribution consistent with HGT; lower values indicate uniform presence consistent with vertical inheritance. Mann-Whitney U test compares each regime against solitary catabolic-like.</w:t>
      </w:r>
      <w:bookmarkEnd w:id="26"/>
    </w:p>
    <w:p>
      <w:pPr>
        <w:pStyle w:val="Heading3"/>
        <w:rPr>
          <w:rFonts w:ascii="arial" w:hAnsi="arial"/>
        </w:rPr>
      </w:pPr>
      <w:r>
        <w:rPr>
          <w:rFonts w:ascii="arial" w:hAnsi="arial"/>
          <w:color w:val="000000"/>
          <w:sz w:val="24"/>
          <w:szCs w:val="24"/>
        </w:rPr>
        <w:t>Table S16</w:t>
      </w:r>
    </w:p>
    <w:p>
      <w:pPr>
        <w:pStyle w:val="FirstParagraph"/>
        <w:rPr>
          <w:rFonts w:ascii="arial" w:hAnsi="arial"/>
        </w:rPr>
      </w:pPr>
      <w:bookmarkStart w:id="27" w:name="table-s13"/>
      <w:r>
        <w:rPr>
          <w:rFonts w:ascii="arial" w:hAnsi="arial"/>
          <w:color w:val="000000"/>
          <w:sz w:val="24"/>
          <w:szCs w:val="24"/>
        </w:rPr>
        <w:t>Synteny conservation by evolutionary regime. Metrics include median total neighbouring genes within ±20 kb, functional completeness (number of canonical neighbourhood categories: rdhB, regulators, chaperones, corrinoid biosynthesis, mobility), and pairwise Jaccard similarity of binary neighbourhood category vectors (500 random pairs per regime).</w:t>
      </w:r>
      <w:bookmarkEnd w:id="27"/>
    </w:p>
    <w:p>
      <w:pPr>
        <w:pStyle w:val="Heading3"/>
        <w:rPr>
          <w:rFonts w:ascii="arial" w:hAnsi="arial"/>
        </w:rPr>
      </w:pPr>
      <w:r>
        <w:rPr>
          <w:rFonts w:ascii="arial" w:hAnsi="arial"/>
          <w:color w:val="000000"/>
          <w:sz w:val="24"/>
          <w:szCs w:val="24"/>
        </w:rPr>
        <w:t>Table S17</w:t>
      </w:r>
    </w:p>
    <w:p>
      <w:pPr>
        <w:pStyle w:val="FirstParagraph"/>
        <w:rPr>
          <w:rFonts w:ascii="arial" w:hAnsi="arial"/>
        </w:rPr>
      </w:pPr>
      <w:bookmarkStart w:id="28" w:name="table-s14"/>
      <w:r>
        <w:rPr>
          <w:rFonts w:ascii="arial" w:hAnsi="arial"/>
          <w:color w:val="000000"/>
          <w:sz w:val="24"/>
          <w:szCs w:val="24"/>
        </w:rPr>
        <w:t>Genome characteristics by evolutionary regime. Median and mean genome size (Mb), contig count, rdhA copy number, rdhA density (copies/Mb), and gene density (genes/Mb) for genomes assigned to each regime. Computed on the 1,299 rdhA-bearing genomes for which GTDB r220 genome-size and CDS-count metadata are available. A final row reports the canonical respiratory regime with the class Dehalococcoidia excluded, which is the comparison used in the Discussion. A genome is counted in every regime to which any of its loci belongs, matching the regime membership of Table S55@; because 82 of these genomes carry loci in more than one regime - 65 in two regimes, 6 in three and 11 in all four - the per-regime counts sum to 1,409 rather than to 1,299. The tandem-array mean copy number here (18.6) is computed over the 22 tandem-bearing genomes with size metadata, whereas the 17.3 quoted in the Results and Table S4 is over all 23 tandem-bearing genomes.</w:t>
      </w:r>
      <w:bookmarkEnd w:id="28"/>
    </w:p>
    <w:p>
      <w:pPr>
        <w:pStyle w:val="Heading3"/>
        <w:rPr>
          <w:rFonts w:ascii="arial" w:hAnsi="arial"/>
        </w:rPr>
      </w:pPr>
      <w:r>
        <w:rPr>
          <w:rFonts w:ascii="arial" w:hAnsi="arial"/>
          <w:color w:val="000000"/>
          <w:sz w:val="24"/>
          <w:szCs w:val="24"/>
        </w:rPr>
        <w:t>Table S18</w:t>
      </w:r>
    </w:p>
    <w:p>
      <w:pPr>
        <w:pStyle w:val="FirstParagraph"/>
        <w:rPr>
          <w:rFonts w:ascii="arial" w:hAnsi="arial"/>
        </w:rPr>
      </w:pPr>
      <w:bookmarkStart w:id="29" w:name="table-s16"/>
      <w:r>
        <w:rPr>
          <w:rFonts w:ascii="arial" w:hAnsi="arial"/>
          <w:color w:val="000000"/>
          <w:sz w:val="24"/>
          <w:szCs w:val="24"/>
        </w:rPr>
        <w:t>Environment associations by motif class (respiratory, catabolic, putative). Genomes were classified into habitat categories based on GTDB r220 isolation_source metadata (keyword matching). Fisher’s exact or chi-squared tests with Bonferroni correction assess enrichment or depletion of each motif class in each environment. n = 1,131 genomes with classifiable metadata (445 unclassified excluded). The eleven habitat categories tabulated here account for 1,129 of the 1,131 classifiable genomes; the remaining two fall in an 'other_metagenome' category that was too small to test and is omitted. An uncertain row is tabulated alongside the three validated motif classes but is not part of the motif-class comparisons in the main text.</w:t>
      </w:r>
      <w:bookmarkEnd w:id="29"/>
    </w:p>
    <w:p>
      <w:pPr>
        <w:pStyle w:val="Heading3"/>
        <w:rPr>
          <w:rFonts w:ascii="arial" w:hAnsi="arial"/>
        </w:rPr>
      </w:pPr>
      <w:r>
        <w:rPr>
          <w:rFonts w:ascii="arial" w:hAnsi="arial"/>
          <w:color w:val="000000"/>
          <w:sz w:val="24"/>
          <w:szCs w:val="24"/>
        </w:rPr>
        <w:t>Table S19</w:t>
      </w:r>
    </w:p>
    <w:p>
      <w:pPr>
        <w:pStyle w:val="FirstParagraph"/>
        <w:rPr>
          <w:rFonts w:ascii="arial" w:hAnsi="arial"/>
        </w:rPr>
      </w:pPr>
      <w:bookmarkStart w:id="30" w:name="table-s2"/>
      <w:r>
        <w:rPr>
          <w:rFonts w:ascii="arial" w:hAnsi="arial"/>
          <w:color w:val="000000"/>
          <w:sz w:val="24"/>
          <w:szCs w:val="24"/>
        </w:rPr>
        <w:t>Raw inter-phylum transfer event count matrix from RANGER-DTL reconciliation (mean counts across 20 replicate rootings, rounded to integers). Rows: donor phyla; columns: recipient phyla.</w:t>
      </w:r>
      <w:bookmarkEnd w:id="30"/>
    </w:p>
    <w:p>
      <w:pPr>
        <w:pStyle w:val="Heading3"/>
        <w:rPr>
          <w:rFonts w:ascii="arial" w:hAnsi="arial"/>
        </w:rPr>
      </w:pPr>
      <w:r>
        <w:rPr>
          <w:rFonts w:ascii="arial" w:hAnsi="arial"/>
          <w:color w:val="000000"/>
          <w:sz w:val="24"/>
          <w:szCs w:val="24"/>
        </w:rPr>
        <w:t>Table S20</w:t>
      </w:r>
    </w:p>
    <w:p>
      <w:pPr>
        <w:pStyle w:val="FirstParagraph"/>
        <w:rPr>
          <w:rFonts w:ascii="arial" w:hAnsi="arial"/>
        </w:rPr>
      </w:pPr>
      <w:bookmarkStart w:id="31" w:name="table-s9"/>
      <w:r>
        <w:rPr>
          <w:rFonts w:ascii="arial" w:hAnsi="arial"/>
          <w:color w:val="000000"/>
          <w:sz w:val="24"/>
          <w:szCs w:val="24"/>
        </w:rPr>
        <w:t>Priority candidate loci for nonclassical organohalide respiration, ranked by composite heuristic score (0-13). Top 100 candidates shown; 10 loci with score &gt;= 10 in non-classical phyla are highlighted.</w:t>
      </w:r>
      <w:bookmarkEnd w:id="31"/>
    </w:p>
    <w:p>
      <w:pPr>
        <w:pStyle w:val="Heading3"/>
        <w:rPr>
          <w:rFonts w:ascii="arial" w:hAnsi="arial"/>
        </w:rPr>
      </w:pPr>
      <w:r>
        <w:rPr>
          <w:rFonts w:ascii="arial" w:hAnsi="arial"/>
          <w:color w:val="000000"/>
          <w:sz w:val="24"/>
          <w:szCs w:val="24"/>
        </w:rPr>
        <w:t>Table S21</w:t>
      </w:r>
    </w:p>
    <w:p>
      <w:pPr>
        <w:pStyle w:val="FirstParagraph"/>
        <w:rPr>
          <w:rFonts w:ascii="arial" w:hAnsi="arial"/>
        </w:rPr>
      </w:pPr>
      <w:bookmarkStart w:id="32" w:name="table-s3"/>
      <w:r>
        <w:rPr>
          <w:rFonts w:ascii="arial" w:hAnsi="arial"/>
          <w:color w:val="000000"/>
          <w:sz w:val="24"/>
          <w:szCs w:val="24"/>
        </w:rPr>
        <w:t>Gene neighbourhood analysis for the 2,447 retained rdhA proteins (2,392 validated plus 55 uncertain), listing neighbouring gene categories within +/-20 kb. Neighbourhood summary statistics reported in the main text are computed over the 1,444 genomes with GFF coordinates in a uniform annotation format. The final two columns give each protein’s 50%-identity clan and 90%-identity cluster assignment, numbered as in Table S4, so that the clan-level statistics and Fig. 2 can be reproduced from the deposit.</w:t>
      </w:r>
      <w:bookmarkEnd w:id="32"/>
    </w:p>
    <w:p>
      <w:pPr>
        <w:pStyle w:val="Heading3"/>
        <w:rPr>
          <w:rFonts w:ascii="arial" w:hAnsi="arial"/>
        </w:rPr>
      </w:pPr>
      <w:r>
        <w:rPr>
          <w:rFonts w:ascii="arial" w:hAnsi="arial"/>
          <w:color w:val="000000"/>
          <w:sz w:val="24"/>
          <w:szCs w:val="24"/>
        </w:rPr>
        <w:t>Table S22</w:t>
      </w:r>
    </w:p>
    <w:p>
      <w:pPr>
        <w:pStyle w:val="FirstParagraph"/>
        <w:rPr>
          <w:rFonts w:ascii="arial" w:hAnsi="arial"/>
        </w:rPr>
      </w:pPr>
      <w:bookmarkStart w:id="33" w:name="supplementary-tables"/>
      <w:bookmarkStart w:id="34" w:name="table-s19"/>
      <w:r>
        <w:rPr>
          <w:rFonts w:ascii="arial" w:hAnsi="arial"/>
          <w:color w:val="000000"/>
          <w:sz w:val="24"/>
          <w:szCs w:val="24"/>
        </w:rPr>
        <w:t>Dataset overview by phylum. Columns report, per phylum: the number of rdhA-bearing genomes (N_genomes); the total number of detected rdhA homologs (N_rdhA_total); the number of proteins in each validated motif class (N_respiratory, N_catabolic, N_putative); and the number of genomes with a co-localized rdhB or a flanking mobility element, with the corresponding percentage. The three motif-class columns are protein counts, not genome counts, and sum to the 2,392 validated proteins; N_rdhA_total counts the 2,447 retained loci plus the 152 recovered by de novo prediction (2,599) and therefore exceeds that sum; it is 20 fewer than the 2,619 loci detected in total (Table S22@), which include loci dropped at the retention step. Because motif class was assigned from the NCBI-annotated protein set, these columns exclude the 152 rdhA recovered by de novo gene prediction; Atribacterota and Korarchaeota therefore show zero in all three columns even though Table S2 records validated proteins in those genomes. A final TOTAL row summarises the 39 phyla. The N_genomes column provides the per-phylum genome counts plotted in Figure 1.</w:t>
      </w:r>
      <w:bookmarkEnd w:id="33"/>
      <w:bookmarkEnd w:id="34"/>
    </w:p>
    <w:p>
      <w:pPr>
        <w:pStyle w:val="Heading2"/>
        <w:rPr>
          <w:rFonts w:ascii="arial" w:hAnsi="arial"/>
        </w:rPr>
      </w:pPr>
      <w:bookmarkStart w:id="35" w:name="supplementary-figures"/>
      <w:bookmarkEnd w:id="35"/>
      <w:r>
        <w:rPr>
          <w:rFonts w:ascii="arial" w:hAnsi="arial"/>
          <w:color w:val="000000"/>
          <w:sz w:val="24"/>
          <w:szCs w:val="24"/>
        </w:rPr>
        <w:t>Supplementary figures</w:t>
      </w:r>
    </w:p>
    <w:p>
      <w:pPr>
        <w:pStyle w:val="Heading3"/>
        <w:rPr>
          <w:rFonts w:ascii="arial" w:hAnsi="arial"/>
          <w:color w:val="000000"/>
        </w:rPr>
      </w:pPr>
      <w:r>
        <w:rPr>
          <w:rFonts w:ascii="arial" w:hAnsi="arial"/>
          <w:color w:val="000000"/>
        </w:rPr>
        <w:t>Figure S1</w:t>
      </w:r>
    </w:p>
    <w:p>
      <w:pPr>
        <w:pStyle w:val="FirstParagraph"/>
        <w:rPr>
          <w:rFonts w:ascii="arial" w:hAnsi="arial"/>
        </w:rPr>
      </w:pPr>
      <w:r>
        <w:rPr>
          <w:rFonts w:ascii="arial" w:hAnsi="arial"/>
        </w:rPr>
        <w:t>Analysis workflow: screening, validation, classification, and HGT testing, with per-step counts (DIAMOND hits in 4,183 candidate genomes, 7,169 unique candidate proteins after tiered filtering, 2,487 sequences entering motif validation, 2,447 retained, 2,392 validated plus 55 uncertain, the 1,409 genomes and 36 phyla spanned by the validated set, the three motif classes, four regimes, matched 1,121-leaf trees and confidence tiers).</w:t>
      </w:r>
    </w:p>
    <w:p>
      <w:pPr>
        <w:pStyle w:val="Heading3"/>
        <w:rPr>
          <w:rFonts w:ascii="arial" w:hAnsi="arial"/>
        </w:rPr>
      </w:pPr>
      <w:bookmarkStart w:id="36" w:name="figure-s1"/>
      <w:bookmarkEnd w:id="36"/>
      <w:r>
        <w:rPr>
          <w:rFonts w:ascii="arial" w:hAnsi="arial"/>
          <w:color w:val="000000"/>
          <w:sz w:val="24"/>
          <w:szCs w:val="24"/>
        </w:rPr>
        <w:t>Figure S2</w:t>
      </w:r>
    </w:p>
    <w:p>
      <w:pPr>
        <w:pStyle w:val="FirstParagraph"/>
        <w:rPr>
          <w:rFonts w:ascii="arial" w:hAnsi="arial"/>
        </w:rPr>
      </w:pPr>
      <w:r>
        <w:rPr>
          <w:rFonts w:ascii="arial" w:hAnsi="arial"/>
          <w:color w:val="000000"/>
          <w:sz w:val="24"/>
          <w:szCs w:val="24"/>
        </w:rPr>
        <w:t xml:space="preserve">RdhA domain architecture and classification. </w:t>
      </w:r>
      <w:r>
        <w:rPr>
          <w:rFonts w:ascii="arial" w:hAnsi="arial"/>
          <w:b/>
          <w:bCs/>
          <w:color w:val="000000"/>
          <w:sz w:val="24"/>
          <w:szCs w:val="24"/>
        </w:rPr>
        <w:t>(A)</w:t>
      </w:r>
      <w:r>
        <w:rPr>
          <w:rFonts w:ascii="arial" w:hAnsi="arial"/>
          <w:color w:val="000000"/>
          <w:sz w:val="24"/>
          <w:szCs w:val="24"/>
        </w:rPr>
        <w:t xml:space="preserve"> Schematic domain architecture of the three motif classes: respiratory (TAT + twin [4Fe-4S]), catabolic (twin [4Fe-4S], no TAT), and putative (twin [4Fe-4S], no strict TAT, typically shorter). All three validated classes carry twin [4Fe-4S] motifs; proteins with fewer than two detectable clusters are classed as uncertain and excluded. </w:t>
      </w:r>
      <w:r>
        <w:rPr>
          <w:rFonts w:ascii="arial" w:hAnsi="arial"/>
          <w:b/>
          <w:bCs/>
          <w:color w:val="000000"/>
          <w:sz w:val="24"/>
          <w:szCs w:val="24"/>
        </w:rPr>
        <w:t>(B)</w:t>
      </w:r>
      <w:r>
        <w:rPr>
          <w:rFonts w:ascii="arial" w:hAnsi="arial"/>
          <w:color w:val="000000"/>
          <w:sz w:val="24"/>
          <w:szCs w:val="24"/>
        </w:rPr>
        <w:t xml:space="preserve"> Proportional classification of 2,392 validated RdhA homologs. </w:t>
      </w:r>
      <w:r>
        <w:rPr>
          <w:rFonts w:ascii="arial" w:hAnsi="arial"/>
          <w:b/>
          <w:bCs/>
          <w:color w:val="000000"/>
          <w:sz w:val="24"/>
          <w:szCs w:val="24"/>
        </w:rPr>
        <w:t>(C)</w:t>
      </w:r>
      <w:r>
        <w:rPr>
          <w:rFonts w:ascii="arial" w:hAnsi="arial"/>
          <w:color w:val="000000"/>
          <w:sz w:val="24"/>
          <w:szCs w:val="24"/>
        </w:rPr>
        <w:t xml:space="preserve"> Distribution of rdhA copy number per genome (log scale).</w:t>
      </w:r>
    </w:p>
    <w:p>
      <w:pPr>
        <w:pStyle w:val="Heading3"/>
        <w:rPr>
          <w:rFonts w:ascii="arial" w:hAnsi="arial"/>
          <w:color w:val="000000"/>
        </w:rPr>
      </w:pPr>
      <w:r>
        <w:rPr>
          <w:rFonts w:ascii="arial" w:hAnsi="arial"/>
          <w:color w:val="000000"/>
        </w:rPr>
        <w:t>Figure S3</w:t>
      </w:r>
    </w:p>
    <w:p>
      <w:pPr>
        <w:pStyle w:val="FirstParagraph"/>
        <w:rPr>
          <w:rFonts w:ascii="arial" w:hAnsi="arial"/>
        </w:rPr>
      </w:pPr>
      <w:r>
        <w:rPr>
          <w:rFonts w:ascii="arial" w:hAnsi="arial"/>
        </w:rPr>
        <w:t xml:space="preserve">Structural validation of the motif classes. Predicted structures for a stratified sample of 107 proteins were compared with the two experimentally determined RdhA structures, PceA from </w:t>
      </w:r>
      <w:r>
        <w:rPr>
          <w:rFonts w:ascii="arial" w:hAnsi="arial"/>
          <w:i/>
          <w:iCs/>
        </w:rPr>
        <w:t>Sulfurospirillum multivorans</w:t>
      </w:r>
      <w:r>
        <w:rPr>
          <w:rFonts w:ascii="arial" w:hAnsi="arial"/>
        </w:rPr>
        <w:t xml:space="preserve"> (PDB 4UR3, respiratory) and NpRdhA from </w:t>
      </w:r>
      <w:r>
        <w:rPr>
          <w:rFonts w:ascii="arial" w:hAnsi="arial"/>
          <w:i/>
          <w:iCs/>
        </w:rPr>
        <w:t>Nitratireductor pacificus</w:t>
      </w:r>
      <w:r>
        <w:rPr>
          <w:rFonts w:ascii="arial" w:hAnsi="arial"/>
        </w:rPr>
        <w:t xml:space="preserve"> (PDB 4RAS, catabolic), using TM-align. (A) TM-score to the nearer reference, normalised by reference length; each point is one protein and the bar is the group median. The dashed line at TM = 0.5 is the conventional same-fold threshold. Negative controls are non-rdhA proteins of comparable length drawn from the same genomes. (B) TM-score to PceA against TM-score to NpRdhA; points above the diagonal resemble the catabolic prototype more closely, points below the respiratory prototype. Per-protein values are in Table S3.</w:t>
      </w:r>
    </w:p>
    <w:p>
      <w:pPr>
        <w:pStyle w:val="Heading3"/>
        <w:rPr/>
      </w:pPr>
      <w:bookmarkStart w:id="37" w:name="figure-s2"/>
      <w:bookmarkEnd w:id="37"/>
      <w:r>
        <w:rPr>
          <w:rFonts w:ascii="arial" w:hAnsi="arial"/>
          <w:color w:val="000000"/>
          <w:sz w:val="24"/>
          <w:szCs w:val="24"/>
        </w:rPr>
        <w:t>Figure S4</w:t>
      </w:r>
    </w:p>
    <w:p>
      <w:pPr>
        <w:pStyle w:val="FirstParagraph"/>
        <w:rPr>
          <w:rFonts w:ascii="arial" w:hAnsi="arial"/>
        </w:rPr>
      </w:pPr>
      <w:r>
        <w:rPr>
          <w:rFonts w:ascii="arial" w:hAnsi="arial"/>
          <w:color w:val="000000"/>
          <w:sz w:val="24"/>
          <w:szCs w:val="24"/>
        </w:rPr>
        <w:t xml:space="preserve">Confidence-stratified HGT analysis across three tiers. </w:t>
      </w:r>
      <w:r>
        <w:rPr>
          <w:rFonts w:ascii="arial" w:hAnsi="arial"/>
          <w:b/>
          <w:bCs/>
          <w:color w:val="000000"/>
          <w:sz w:val="24"/>
          <w:szCs w:val="24"/>
        </w:rPr>
        <w:t>(A)</w:t>
      </w:r>
      <w:r>
        <w:rPr>
          <w:rFonts w:ascii="arial" w:hAnsi="arial"/>
          <w:color w:val="000000"/>
          <w:sz w:val="24"/>
          <w:szCs w:val="24"/>
        </w:rPr>
        <w:t xml:space="preserve"> DTL transfer fraction. </w:t>
      </w:r>
      <w:r>
        <w:rPr>
          <w:rFonts w:ascii="arial" w:hAnsi="arial"/>
          <w:b/>
          <w:bCs/>
          <w:color w:val="000000"/>
          <w:sz w:val="24"/>
          <w:szCs w:val="24"/>
        </w:rPr>
        <w:t>(B)</w:t>
      </w:r>
      <w:r>
        <w:rPr>
          <w:rFonts w:ascii="arial" w:hAnsi="arial"/>
          <w:color w:val="000000"/>
          <w:sz w:val="24"/>
          <w:szCs w:val="24"/>
        </w:rPr>
        <w:t xml:space="preserve"> Mantel correlation coefficient (dashed line: full-analysis value). </w:t>
      </w:r>
      <w:r>
        <w:rPr>
          <w:rFonts w:ascii="arial" w:hAnsi="arial"/>
          <w:b/>
          <w:bCs/>
          <w:color w:val="000000"/>
          <w:sz w:val="24"/>
          <w:szCs w:val="24"/>
        </w:rPr>
        <w:t>(C)</w:t>
      </w:r>
      <w:r>
        <w:rPr>
          <w:rFonts w:ascii="arial" w:hAnsi="arial"/>
          <w:color w:val="000000"/>
          <w:sz w:val="24"/>
          <w:szCs w:val="24"/>
        </w:rPr>
        <w:t xml:space="preserve"> Normalized Robinson-Foulds distance. Tier 1: respiratory motif class only (n = 55); Tier 2: respiratory + catabolic (n = 658); Tier 3: all validated (n = 1,090).</w:t>
      </w:r>
    </w:p>
    <w:p>
      <w:pPr>
        <w:pStyle w:val="Heading3"/>
        <w:rPr/>
      </w:pPr>
      <w:bookmarkStart w:id="38" w:name="figure-s6"/>
      <w:bookmarkStart w:id="39" w:name="figure-s5"/>
      <w:bookmarkEnd w:id="38"/>
      <w:bookmarkEnd w:id="39"/>
      <w:r>
        <w:rPr>
          <w:rFonts w:ascii="arial" w:hAnsi="arial"/>
          <w:color w:val="000000"/>
          <w:sz w:val="24"/>
          <w:szCs w:val="24"/>
        </w:rPr>
        <w:t>Figure S5</w:t>
      </w:r>
    </w:p>
    <w:p>
      <w:pPr>
        <w:pStyle w:val="FirstParagraph"/>
        <w:rPr>
          <w:rFonts w:ascii="arial" w:hAnsi="arial"/>
        </w:rPr>
      </w:pPr>
      <w:r>
        <w:rPr>
          <w:rFonts w:ascii="arial" w:hAnsi="arial"/>
          <w:color w:val="000000"/>
          <w:sz w:val="24"/>
          <w:szCs w:val="24"/>
        </w:rPr>
        <w:t xml:space="preserve">Corroborating analyses differentiating genomic architecture dynamics. </w:t>
      </w:r>
      <w:r>
        <w:rPr>
          <w:rFonts w:ascii="arial" w:hAnsi="arial"/>
          <w:b/>
          <w:bCs/>
          <w:color w:val="000000"/>
          <w:sz w:val="24"/>
          <w:szCs w:val="24"/>
        </w:rPr>
        <w:t>(A)</w:t>
      </w:r>
      <w:r>
        <w:rPr>
          <w:rFonts w:ascii="arial" w:hAnsi="arial"/>
          <w:color w:val="000000"/>
          <w:sz w:val="24"/>
          <w:szCs w:val="24"/>
        </w:rPr>
        <w:t xml:space="preserve"> Transfer depth classification by architecture: stacked bar chart showing the proportion of RANGER-DTL transfer events at each taxonomic depth (within-genus through cross-phylum). Canonical respiratory transfers are predominantly cross-phylum (56.2%) while solitary catabolic-like transfers cluster at within-family and within-class. </w:t>
      </w:r>
      <w:r>
        <w:rPr>
          <w:rFonts w:ascii="arial" w:hAnsi="arial"/>
          <w:b/>
          <w:bCs/>
          <w:color w:val="000000"/>
          <w:sz w:val="24"/>
          <w:szCs w:val="24"/>
        </w:rPr>
        <w:t>(B)</w:t>
      </w:r>
      <w:r>
        <w:rPr>
          <w:rFonts w:ascii="arial" w:hAnsi="arial"/>
          <w:color w:val="000000"/>
          <w:sz w:val="24"/>
          <w:szCs w:val="24"/>
        </w:rPr>
        <w:t xml:space="preserve"> Mobile genetic element contexts by motif class: grouped bar chart of transposase, recombinase, conjugation machinery, and phage gene percentages within 20 kb of rdhA loci. Respiratory loci are enriched for transposases (30.2%) and recombinases (21.2%) but depleted for conjugation machinery (2.2% vs 26.7% catabolic; Fisher’s p = 1.6 × 10</w:t>
      </w:r>
      <w:r>
        <w:rPr>
          <w:rFonts w:ascii="arial" w:hAnsi="arial"/>
          <w:color w:val="000000"/>
          <w:sz w:val="24"/>
          <w:szCs w:val="24"/>
          <w:vertAlign w:val="superscript"/>
        </w:rPr>
        <w:t>-15</w:t>
      </w:r>
      <w:r>
        <w:rPr>
          <w:rFonts w:ascii="arial" w:hAnsi="arial"/>
          <w:color w:val="000000"/>
          <w:sz w:val="24"/>
          <w:szCs w:val="24"/>
        </w:rPr>
        <w:t xml:space="preserve">). </w:t>
      </w:r>
      <w:r>
        <w:rPr>
          <w:rFonts w:ascii="arial" w:hAnsi="arial"/>
          <w:b/>
          <w:bCs/>
          <w:color w:val="000000"/>
          <w:sz w:val="24"/>
          <w:szCs w:val="24"/>
        </w:rPr>
        <w:t>(C)</w:t>
      </w:r>
      <w:r>
        <w:rPr>
          <w:rFonts w:ascii="arial" w:hAnsi="arial"/>
          <w:color w:val="000000"/>
          <w:sz w:val="24"/>
          <w:szCs w:val="24"/>
        </w:rPr>
        <w:t xml:space="preserve"> Synteny conservation: mean pairwise Jaccard similarity of neighbourhood category vectors within each architecture (error bars: sd, n = 500 pairs per group). Tandem arrays show highest conservation (0.431), followed by respiratory (0.218), other (0.132), and solitary catabolic-like (0.049); Kruskal-Wallis p &lt; 0.001. </w:t>
      </w:r>
      <w:r>
        <w:rPr>
          <w:rFonts w:ascii="arial" w:hAnsi="arial"/>
          <w:b/>
          <w:bCs/>
          <w:color w:val="000000"/>
          <w:sz w:val="24"/>
          <w:szCs w:val="24"/>
        </w:rPr>
        <w:t>(D)</w:t>
      </w:r>
      <w:r>
        <w:rPr>
          <w:rFonts w:ascii="arial" w:hAnsi="arial"/>
          <w:color w:val="000000"/>
          <w:sz w:val="24"/>
          <w:szCs w:val="24"/>
        </w:rPr>
        <w:t xml:space="preserve"> Phylogenetic patchiness: mean patchiness index (1 - fraction of clade members carrying a given architecture) for taxonomic clades with &gt;= 5 rdhA-bearing genomes. Higher patchiness indicates sporadic, HGT-consistent distribution. Solitary catabolic-like architecture shows lowest patchiness (0.108, n = 19 clades) compared to canonical respiratory (0.388, n = 6; Mann-Whitney p = 0.004).</w:t>
      </w:r>
    </w:p>
    <w:p>
      <w:pPr>
        <w:pStyle w:val="Heading3"/>
        <w:rPr/>
      </w:pPr>
      <w:bookmarkStart w:id="40" w:name="figure-s5_Copy_1"/>
      <w:bookmarkStart w:id="41" w:name="figure-s4"/>
      <w:bookmarkEnd w:id="40"/>
      <w:bookmarkEnd w:id="41"/>
      <w:r>
        <w:rPr>
          <w:rFonts w:ascii="arial" w:hAnsi="arial"/>
          <w:color w:val="000000"/>
          <w:sz w:val="24"/>
          <w:szCs w:val="24"/>
        </w:rPr>
        <w:t>Figure S6</w:t>
      </w:r>
    </w:p>
    <w:p>
      <w:pPr>
        <w:pStyle w:val="FirstParagraph"/>
        <w:rPr>
          <w:rFonts w:ascii="arial" w:hAnsi="arial"/>
        </w:rPr>
      </w:pPr>
      <w:r>
        <w:rPr>
          <w:rFonts w:ascii="arial" w:hAnsi="arial"/>
          <w:color w:val="000000"/>
          <w:sz w:val="24"/>
          <w:szCs w:val="24"/>
        </w:rPr>
        <w:t>Raw inter-phylum rdhA transfer network. Heatmap of absolute transfer event counts inferred by RANGER-DTL reconciliation. Rows: donor phyla; columns: recipient phyla. Color scale: log10(transfers + 1).</w:t>
      </w:r>
    </w:p>
    <w:p>
      <w:pPr>
        <w:pStyle w:val="Heading3"/>
        <w:rPr/>
      </w:pPr>
      <w:bookmarkStart w:id="42" w:name="figure-s3"/>
      <w:bookmarkStart w:id="43" w:name="figure-s2_Copy_1"/>
      <w:bookmarkEnd w:id="42"/>
      <w:bookmarkEnd w:id="43"/>
      <w:r>
        <w:rPr>
          <w:rFonts w:ascii="arial" w:hAnsi="arial"/>
          <w:color w:val="000000"/>
          <w:sz w:val="24"/>
          <w:szCs w:val="24"/>
        </w:rPr>
        <w:t>Figure S7</w:t>
      </w:r>
    </w:p>
    <w:p>
      <w:pPr>
        <w:pStyle w:val="FirstParagraph"/>
        <w:rPr>
          <w:rFonts w:ascii="arial" w:hAnsi="arial"/>
        </w:rPr>
      </w:pPr>
      <w:r>
        <w:rPr>
          <w:rFonts w:ascii="arial" w:hAnsi="arial"/>
          <w:color w:val="000000"/>
          <w:sz w:val="24"/>
          <w:szCs w:val="24"/>
        </w:rPr>
        <w:t>Genome-normalized inter-phylum transfer network. Bubble size is proportional to the transfer rate normalized by donor and recipient genome counts. Color scale from yellow (low) to red (high).</w:t>
      </w:r>
    </w:p>
    <w:p>
      <w:pPr>
        <w:pStyle w:val="Heading3"/>
        <w:rPr/>
      </w:pPr>
      <w:bookmarkStart w:id="44" w:name="figure-s4_Copy_1"/>
      <w:bookmarkStart w:id="45" w:name="figure-s3_Copy_1"/>
      <w:bookmarkEnd w:id="44"/>
      <w:bookmarkEnd w:id="45"/>
      <w:r>
        <w:rPr>
          <w:rFonts w:ascii="arial" w:hAnsi="arial"/>
          <w:color w:val="000000"/>
          <w:sz w:val="24"/>
          <w:szCs w:val="24"/>
        </w:rPr>
        <w:t>Figure S8</w:t>
      </w:r>
    </w:p>
    <w:p>
      <w:pPr>
        <w:pStyle w:val="FirstParagraph"/>
        <w:rPr>
          <w:rFonts w:ascii="arial" w:hAnsi="arial"/>
        </w:rPr>
      </w:pPr>
      <w:r>
        <w:rPr>
          <w:rFonts w:ascii="arial" w:hAnsi="arial"/>
          <w:color w:val="000000"/>
          <w:sz w:val="24"/>
          <w:szCs w:val="24"/>
        </w:rPr>
        <w:t>Gene neighbourhood composition by phylum. Heatmap showing the mean count per rdhA locus of neighbouring gene categories (rdhA paralogs, rdhB, transposases, integrases, regulators, corrinoid biosynthesis, chaperones) within +/-20 kb, stratified by host phylum.</w:t>
      </w:r>
    </w:p>
    <w:p>
      <w:pPr>
        <w:pStyle w:val="Heading2"/>
        <w:rPr>
          <w:color w:val="000000"/>
        </w:rPr>
      </w:pPr>
      <w:bookmarkStart w:id="46" w:name="figure-s6_Copy_1"/>
      <w:bookmarkStart w:id="47" w:name="supplementary-figures_Copy_1"/>
      <w:bookmarkStart w:id="48" w:name="supplementary-information_Copy_1"/>
      <w:bookmarkEnd w:id="46"/>
      <w:bookmarkEnd w:id="47"/>
      <w:bookmarkEnd w:id="48"/>
      <w:r>
        <w:rPr>
          <w:rFonts w:ascii="arial" w:hAnsi="arial"/>
          <w:color w:val="000000"/>
        </w:rPr>
        <w:t>Supplementary references</w:t>
      </w:r>
    </w:p>
    <w:p>
      <w:pPr>
        <w:pStyle w:val="FirstParagraph"/>
        <w:rPr>
          <w:rFonts w:ascii="arial" w:hAnsi="arial"/>
        </w:rPr>
      </w:pPr>
      <w:r>
        <w:rPr>
          <w:rFonts w:ascii="arial" w:hAnsi="arial"/>
        </w:rPr>
        <w:t>Numbering follows the reference list of the main manuscript.</w:t>
      </w:r>
    </w:p>
    <w:p>
      <w:pPr>
        <w:pStyle w:val="FirstParagraph"/>
        <w:rPr>
          <w:rFonts w:ascii="arial" w:hAnsi="arial"/>
        </w:rPr>
      </w:pPr>
      <w:r>
        <w:rPr>
          <w:rFonts w:ascii="arial" w:hAnsi="arial"/>
        </w:rPr>
        <w:t>18. Halliwell T, Fisher K, Payne KAP, Rigby SEJ, Leys D. Catabolic Reductive Dehalogenase Substrate Complex Structures Underpin Rational Repurposing of Substrate Scope. Microorganisms. 2020;8:1344. https://doi.org/10.3390/microorganisms8091344.</w:t>
      </w:r>
    </w:p>
    <w:p>
      <w:pPr>
        <w:pStyle w:val="FirstParagraph"/>
        <w:rPr>
          <w:rFonts w:ascii="arial" w:hAnsi="arial"/>
        </w:rPr>
      </w:pPr>
      <w:r>
        <w:rPr>
          <w:rFonts w:ascii="arial" w:hAnsi="arial"/>
        </w:rPr>
        <w:t>19. Atashgahi S. Discovered by genomics: Putative reductive dehalogenases with N-terminus transmembrane helixes. FEMS Microbiology Ecology. 2019. https://doi.org/10.1093/femsec/fiz048.</w:t>
      </w:r>
    </w:p>
    <w:p>
      <w:pPr>
        <w:pStyle w:val="FirstParagraph"/>
        <w:rPr>
          <w:rFonts w:ascii="arial" w:hAnsi="arial"/>
        </w:rPr>
      </w:pPr>
      <w:r>
        <w:rPr>
          <w:rFonts w:ascii="arial" w:hAnsi="arial"/>
        </w:rPr>
        <w:t>20. Fincker M, Huber JA, Orphan VJ, Rappé MS, Teske A, Spormann AM. Metabolic strategies of marine subseafloor Chloroflexi inferred from genome reconstructions. Environ Microbiol. 2020;22:3188–204. https://doi.org/10.1111/1462-2920.15061.</w:t>
      </w:r>
    </w:p>
    <w:p>
      <w:pPr>
        <w:pStyle w:val="FirstParagraph"/>
        <w:rPr>
          <w:rFonts w:ascii="arial" w:hAnsi="arial"/>
        </w:rPr>
      </w:pPr>
      <w:r>
        <w:rPr>
          <w:rFonts w:ascii="arial" w:hAnsi="arial"/>
        </w:rPr>
        <w:t>22. Molenda O, Jácome LAP, Cao X, Nesbø CL, Tang S, Morson N, et al. Insights into origins and function of the unexplored majority of the reductive dehalogenase gene family as a result of genome assembly and ortholog group classification. Environ Sci: Processes Impacts. 2020;22:663–78. https://doi.org/10.1039/C9EM00605B.</w:t>
      </w:r>
    </w:p>
    <w:p>
      <w:pPr>
        <w:pStyle w:val="FirstParagraph"/>
        <w:rPr>
          <w:rFonts w:ascii="arial" w:hAnsi="arial"/>
        </w:rPr>
      </w:pPr>
      <w:r>
        <w:rPr>
          <w:rFonts w:ascii="arial" w:hAnsi="arial"/>
        </w:rPr>
        <w:t>24. Maphosa F, de Vos WM, Smidt H. Exploiting the ecogenomics toolbox for environmental diagnostics of organohalide-respiring bacteria. Trends in Biotechnology. 2010;28:308–16. https://doi.org/10.1016/j.tibtech.2010.03.005.</w:t>
      </w:r>
    </w:p>
    <w:p>
      <w:pPr>
        <w:pStyle w:val="FirstParagraph"/>
        <w:rPr>
          <w:rFonts w:ascii="arial" w:hAnsi="arial"/>
        </w:rPr>
      </w:pPr>
      <w:r>
        <w:rPr>
          <w:rFonts w:ascii="arial" w:hAnsi="arial"/>
        </w:rPr>
        <w:t>32. Zhou N, Li Q, Liang Z, Yu K, Zhang C, Wang H, et al. Microbially-mediated halogenation and dehalogenation cycling of organohalides in the ocean. Nat Commun. 2025;16:10670. https://doi.org/10.1038/s41467-025-65696-x.</w:t>
      </w:r>
    </w:p>
    <w:p>
      <w:pPr>
        <w:pStyle w:val="FirstParagraph"/>
        <w:rPr>
          <w:rFonts w:ascii="arial" w:hAnsi="arial"/>
        </w:rPr>
      </w:pPr>
      <w:r>
        <w:rPr>
          <w:rFonts w:ascii="arial" w:hAnsi="arial"/>
        </w:rPr>
        <w:t>36. Bansal MS, Kellis M, Kordi M, Kundu S. RANGER-DTL 2.0: rigorous reconstruction of gene-family evolution by duplication, transfer and loss. Bioinformatics. 2018;34:3214–6. https://doi.org/10.1093/bioinformatics/bty314.</w:t>
      </w:r>
    </w:p>
    <w:p>
      <w:pPr>
        <w:pStyle w:val="FirstParagraph"/>
        <w:rPr>
          <w:rFonts w:ascii="arial" w:hAnsi="arial"/>
        </w:rPr>
      </w:pPr>
      <w:r>
        <w:rPr>
          <w:rFonts w:ascii="arial" w:hAnsi="arial"/>
        </w:rPr>
        <w:t>38. Minh BQ, Schmidt HA, Chernomor O, Schrempf D, Woodhams MD, von Haeseler A, et al. IQ-TREE 2: New Models and Efficient Methods for Phylogenetic Inference in the Genomic Era. Molecular Biology and Evolution. 2020;37:1530–4. https://doi.org/10.1093/molbev/msaa015.</w:t>
      </w:r>
    </w:p>
    <w:p>
      <w:pPr>
        <w:pStyle w:val="FirstParagraph"/>
        <w:rPr>
          <w:rFonts w:ascii="arial" w:hAnsi="arial"/>
        </w:rPr>
      </w:pPr>
      <w:r>
        <w:rPr>
          <w:rFonts w:ascii="arial" w:hAnsi="arial"/>
        </w:rPr>
        <w:t>45. Rost B. Twilight zone of protein sequence alignments. Protein Engineering. 1999;12:85–94. https://doi.org/10.1093/protein/12.2.85.</w:t>
      </w:r>
    </w:p>
    <w:p>
      <w:pPr>
        <w:pStyle w:val="FirstParagraph"/>
        <w:rPr>
          <w:rFonts w:ascii="arial" w:hAnsi="arial"/>
        </w:rPr>
      </w:pPr>
      <w:r>
        <w:rPr>
          <w:rFonts w:ascii="arial" w:hAnsi="arial"/>
        </w:rPr>
        <w:t>50. Price MN, Dehal PS, Arkin AP. FastTree 2--approximately maximum-likelihood trees for large alignments. PLoS One. 2010;5:e9490. https://doi.org/10.1371/journal.pone.0009490.</w:t>
      </w:r>
    </w:p>
    <w:p>
      <w:pPr>
        <w:pStyle w:val="FirstParagraph"/>
        <w:rPr>
          <w:rFonts w:ascii="arial" w:hAnsi="arial"/>
        </w:rPr>
      </w:pPr>
      <w:r>
        <w:rPr>
          <w:rFonts w:ascii="arial" w:hAnsi="arial"/>
        </w:rPr>
        <w:t>51. Zhou X, Shen X-X, Hittinger CT, Rokas A. Evaluating Fast Maximum Likelihood-Based Phylogenetic Programs Using Empirical Phylogenomic Data Sets. Mol Biol Evol. 2018;35:486–503. https://doi.org/10.1093/molbev/msx302.</w:t>
      </w:r>
    </w:p>
    <w:p>
      <w:pPr>
        <w:pStyle w:val="FirstParagraph"/>
        <w:rPr>
          <w:rFonts w:ascii="arial" w:hAnsi="arial"/>
        </w:rPr>
      </w:pPr>
      <w:r>
        <w:rPr>
          <w:rFonts w:ascii="arial" w:hAnsi="arial"/>
        </w:rPr>
        <w:t>52. Parks DH, Chuvochina M, Waite DW, Rinke C, Skarshewski A, Chaumeil P-A, et al. A standardized bacterial taxonomy based on genome phylogeny substantially revises the tree of life. Nature Biotechnology. 2018;36:996–1004. https://doi.org/10.1038/nbt.4229.</w:t>
      </w:r>
    </w:p>
    <w:p>
      <w:pPr>
        <w:pStyle w:val="FirstParagraph"/>
        <w:rPr>
          <w:rFonts w:ascii="arial" w:hAnsi="arial"/>
        </w:rPr>
      </w:pPr>
      <w:r>
        <w:rPr>
          <w:rFonts w:ascii="arial" w:hAnsi="arial"/>
        </w:rPr>
        <w:t>54. Bendtsen JD, Nielsen H, Widdick D, Palmer T, Brunak S. Prediction of twin-arginine signal peptides. BMC Bioinformatics. 2005;6:167. https://doi.org/10.1186/1471-2105-6-167.</w:t>
      </w:r>
    </w:p>
    <w:p>
      <w:pPr>
        <w:pStyle w:val="FirstParagraph"/>
        <w:spacing w:before="180" w:after="180"/>
        <w:rPr>
          <w:rFonts w:ascii="arial" w:hAnsi="arial"/>
        </w:rPr>
      </w:pPr>
      <w:r>
        <w:rPr>
          <w:rFonts w:ascii="arial" w:hAnsi="arial"/>
        </w:rPr>
        <w:t>55. Bagos PG, Nikolaou EP, Liakopoulos TD, Tsirigos KD. Combined prediction of Tat and Sec signal peptides with hidden Markov models. Bioinformatics. 2010;26:2811–7. https://doi.org/10.1093/bioinformatics/btq530.</w:t>
      </w:r>
    </w:p>
    <w:sectPr>
      <w:footerReference w:type="even" r:id="rId2"/>
      <w:footerReference w:type="default" r:id="rId3"/>
      <w:footerReference w:type="first" r:id="rId4"/>
      <w:type w:val="nextPage"/>
      <w:pgSz w:w="12240" w:h="15840"/>
      <w:pgMar w:left="1440" w:right="1440" w:gutter="0" w:header="0" w:top="1440" w:footer="1440" w:bottom="225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nsolas">
    <w:charset w:val="01"/>
    <w:family w:val="roman"/>
    <w:pitch w:val="variable"/>
  </w:font>
  <w:font w:name="Liberation Sans">
    <w:altName w:val="Arial"/>
    <w:charset w:val="01"/>
    <w:family w:val="roman"/>
    <w:pitch w:val="variable"/>
  </w:font>
  <w:font w:name="arial">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jc w:val="center"/>
      <w:rPr/>
    </w:pPr>
    <w:bookmarkStart w:id="49" w:name="PageNumWizard_FOOTER_Default_Page_Style6"/>
    <w:r>
      <w:rPr/>
      <w:fldChar w:fldCharType="begin"/>
    </w:r>
    <w:r>
      <w:rPr/>
      <w:instrText xml:space="preserve"> PAGE </w:instrText>
    </w:r>
    <w:r>
      <w:rPr/>
      <w:fldChar w:fldCharType="separate"/>
    </w:r>
    <w:r>
      <w:rPr/>
      <w:t>12</w:t>
    </w:r>
    <w:r>
      <w:rPr/>
      <w:fldChar w:fldCharType="end"/>
    </w:r>
    <w:bookmarkEnd w:id="49"/>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jc w:val="center"/>
      <w:rPr/>
    </w:pPr>
    <w:bookmarkStart w:id="50" w:name="PageNumWizard_FOOTER_Default_Page_Style6"/>
    <w:r>
      <w:rPr/>
      <w:fldChar w:fldCharType="begin"/>
    </w:r>
    <w:r>
      <w:rPr/>
      <w:instrText xml:space="preserve"> PAGE </w:instrText>
    </w:r>
    <w:r>
      <w:rPr/>
      <w:fldChar w:fldCharType="separate"/>
    </w:r>
    <w:r>
      <w:rPr/>
      <w:t>12</w:t>
    </w:r>
    <w:r>
      <w:rPr/>
      <w:fldChar w:fldCharType="end"/>
    </w:r>
    <w:bookmarkEnd w:id="50"/>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Cambria"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0" w:defSemiHidden="0" w:defUnhideWhenUsed="0" w:defQFormat="0" w:count="276"/>
  <w:style w:type="paragraph" w:styleId="Normal" w:default="1">
    <w:name w:val="Normal"/>
    <w:qFormat/>
    <w:pPr>
      <w:widowControl/>
      <w:suppressAutoHyphens w:val="true"/>
      <w:bidi w:val="0"/>
      <w:spacing w:before="0" w:after="200"/>
      <w:jc w:val="left"/>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Heading1">
    <w:name w:val="Heading 1"/>
    <w:basedOn w:val="Normal"/>
    <w:next w:val="BodyText"/>
    <w:uiPriority w:val="9"/>
    <w:qFormat/>
    <w:pPr>
      <w:keepNext w:val="true"/>
      <w:keepLines/>
      <w:spacing w:before="480" w:after="0"/>
      <w:outlineLvl w:val="0"/>
    </w:pPr>
    <w:rPr>
      <w:rFonts w:ascii="Calibri" w:hAnsi="Calibri" w:eastAsia="" w:cs="" w:asciiTheme="majorHAnsi" w:cstheme="majorBidi" w:eastAsiaTheme="majorEastAsia" w:hAnsiTheme="majorHAnsi"/>
      <w:b/>
      <w:bCs/>
      <w:color w:themeColor="accent1" w:val="4F81BD"/>
      <w:sz w:val="32"/>
      <w:szCs w:val="32"/>
    </w:rPr>
  </w:style>
  <w:style w:type="paragraph" w:styleId="Heading2">
    <w:name w:val="Heading 2"/>
    <w:basedOn w:val="Normal"/>
    <w:next w:val="BodyText"/>
    <w:uiPriority w:val="9"/>
    <w:unhideWhenUsed/>
    <w:qFormat/>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8"/>
      <w:szCs w:val="28"/>
    </w:rPr>
  </w:style>
  <w:style w:type="paragraph" w:styleId="Heading3">
    <w:name w:val="Heading 3"/>
    <w:basedOn w:val="Normal"/>
    <w:next w:val="BodyText"/>
    <w:uiPriority w:val="9"/>
    <w:unhideWhenUsed/>
    <w:qFormat/>
    <w:pPr>
      <w:keepNext w:val="true"/>
      <w:keepLines/>
      <w:spacing w:before="200" w:after="0"/>
      <w:outlineLvl w:val="2"/>
    </w:pPr>
    <w:rPr>
      <w:rFonts w:ascii="Calibri" w:hAnsi="Calibri" w:eastAsia="" w:cs="" w:asciiTheme="majorHAnsi" w:cstheme="majorBidi" w:eastAsiaTheme="majorEastAsia" w:hAnsiTheme="majorHAnsi"/>
      <w:b/>
      <w:bCs/>
      <w:color w:themeColor="accent1" w:val="4F81BD"/>
      <w:sz w:val="24"/>
      <w:szCs w:val="24"/>
    </w:rPr>
  </w:style>
  <w:style w:type="paragraph" w:styleId="Heading4">
    <w:name w:val="Heading 4"/>
    <w:basedOn w:val="Normal"/>
    <w:next w:val="BodyText"/>
    <w:uiPriority w:val="9"/>
    <w:unhideWhenUsed/>
    <w:qFormat/>
    <w:pPr>
      <w:keepNext w:val="true"/>
      <w:keepLines/>
      <w:spacing w:before="200" w:after="0"/>
      <w:outlineLvl w:val="3"/>
    </w:pPr>
    <w:rPr>
      <w:rFonts w:ascii="Calibri" w:hAnsi="Calibri" w:eastAsia="" w:cs="" w:asciiTheme="majorHAnsi" w:cstheme="majorBidi" w:eastAsiaTheme="majorEastAsia" w:hAnsiTheme="majorHAnsi"/>
      <w:bCs/>
      <w:i/>
      <w:color w:themeColor="accent1" w:val="4F81BD"/>
      <w:sz w:val="24"/>
      <w:szCs w:val="24"/>
    </w:rPr>
  </w:style>
  <w:style w:type="paragraph" w:styleId="Heading5">
    <w:name w:val="Heading 5"/>
    <w:basedOn w:val="Normal"/>
    <w:next w:val="BodyText"/>
    <w:uiPriority w:val="9"/>
    <w:unhideWhenUsed/>
    <w:qFormat/>
    <w:pPr>
      <w:keepNext w:val="true"/>
      <w:keepLines/>
      <w:spacing w:before="200" w:after="0"/>
      <w:outlineLvl w:val="4"/>
    </w:pPr>
    <w:rPr>
      <w:rFonts w:ascii="Calibri" w:hAnsi="Calibri" w:eastAsia="" w:cs="" w:asciiTheme="majorHAnsi" w:cstheme="majorBidi" w:eastAsiaTheme="majorEastAsia" w:hAnsiTheme="majorHAnsi"/>
      <w:iCs/>
      <w:color w:themeColor="accent1" w:val="4F81BD"/>
      <w:sz w:val="24"/>
      <w:szCs w:val="24"/>
    </w:rPr>
  </w:style>
  <w:style w:type="paragraph" w:styleId="Heading6">
    <w:name w:val="Heading 6"/>
    <w:basedOn w:val="Normal"/>
    <w:next w:val="BodyText"/>
    <w:uiPriority w:val="9"/>
    <w:unhideWhenUsed/>
    <w:qFormat/>
    <w:pPr>
      <w:keepNext w:val="true"/>
      <w:keepLines/>
      <w:spacing w:before="200" w:after="0"/>
      <w:outlineLvl w:val="5"/>
    </w:pPr>
    <w:rPr>
      <w:rFonts w:ascii="Calibri" w:hAnsi="Calibri" w:eastAsia="" w:cs="" w:asciiTheme="majorHAnsi" w:cstheme="majorBidi" w:eastAsiaTheme="majorEastAsia" w:hAnsiTheme="majorHAnsi"/>
      <w:color w:themeColor="accent1" w:val="4F81BD"/>
      <w:sz w:val="24"/>
      <w:szCs w:val="24"/>
    </w:rPr>
  </w:style>
  <w:style w:type="paragraph" w:styleId="Heading7">
    <w:name w:val="Heading 7"/>
    <w:basedOn w:val="Normal"/>
    <w:next w:val="BodyText"/>
    <w:uiPriority w:val="9"/>
    <w:unhideWhenUsed/>
    <w:qFormat/>
    <w:pPr>
      <w:keepNext w:val="true"/>
      <w:keepLines/>
      <w:spacing w:before="200" w:after="0"/>
      <w:outlineLvl w:val="6"/>
    </w:pPr>
    <w:rPr>
      <w:rFonts w:ascii="Calibri" w:hAnsi="Calibri" w:eastAsia="" w:cs="" w:asciiTheme="majorHAnsi" w:cstheme="majorBidi" w:eastAsiaTheme="majorEastAsia" w:hAnsiTheme="majorHAnsi"/>
      <w:color w:themeColor="accent1" w:val="4F81BD"/>
      <w:sz w:val="24"/>
      <w:szCs w:val="24"/>
    </w:rPr>
  </w:style>
  <w:style w:type="paragraph" w:styleId="Heading8">
    <w:name w:val="Heading 8"/>
    <w:basedOn w:val="Normal"/>
    <w:next w:val="BodyText"/>
    <w:uiPriority w:val="9"/>
    <w:unhideWhenUsed/>
    <w:qFormat/>
    <w:pPr>
      <w:keepNext w:val="true"/>
      <w:keepLines/>
      <w:spacing w:before="200" w:after="0"/>
      <w:outlineLvl w:val="7"/>
    </w:pPr>
    <w:rPr>
      <w:rFonts w:ascii="Calibri" w:hAnsi="Calibri" w:eastAsia="" w:cs="" w:asciiTheme="majorHAnsi" w:cstheme="majorBidi" w:eastAsiaTheme="majorEastAsia" w:hAnsiTheme="majorHAnsi"/>
      <w:color w:themeColor="accent1" w:val="4F81BD"/>
      <w:sz w:val="24"/>
      <w:szCs w:val="24"/>
    </w:rPr>
  </w:style>
  <w:style w:type="paragraph" w:styleId="Heading9">
    <w:name w:val="Heading 9"/>
    <w:basedOn w:val="Normal"/>
    <w:next w:val="BodyText"/>
    <w:uiPriority w:val="9"/>
    <w:unhideWhenUsed/>
    <w:qFormat/>
    <w:pPr>
      <w:keepNext w:val="true"/>
      <w:keepLines/>
      <w:spacing w:before="200" w:after="0"/>
      <w:outlineLvl w:val="8"/>
    </w:pPr>
    <w:rPr>
      <w:rFonts w:ascii="Calibri" w:hAnsi="Calibri" w:eastAsia="" w:cs="" w:asciiTheme="majorHAnsi" w:cstheme="majorBidi" w:eastAsiaTheme="majorEastAsia" w:hAnsiTheme="majorHAnsi"/>
      <w:color w:themeColor="accent1" w:val="4F81BD"/>
      <w:sz w:val="24"/>
      <w:szCs w:val="24"/>
    </w:rPr>
  </w:style>
  <w:style w:type="character" w:styleId="DefaultParagraphFont" w:default="1">
    <w:name w:val="Default Paragraph Font"/>
    <w:semiHidden/>
    <w:unhideWhenUsed/>
    <w:qFormat/>
    <w:rPr/>
  </w:style>
  <w:style w:type="character" w:styleId="BodyTextChar" w:customStyle="1">
    <w:name w:val="Body Text Char"/>
    <w:basedOn w:val="DefaultParagraphFont"/>
    <w:qFormat/>
    <w:rPr/>
  </w:style>
  <w:style w:type="character" w:styleId="VerbatimChar" w:customStyle="1">
    <w:name w:val="Verbatim Char"/>
    <w:basedOn w:val="BodyTextChar"/>
    <w:qFormat/>
    <w:rPr>
      <w:rFonts w:ascii="Consolas" w:hAnsi="Consolas"/>
      <w:sz w:val="22"/>
    </w:rPr>
  </w:style>
  <w:style w:type="character" w:styleId="SectionNumber" w:customStyle="1">
    <w:name w:val="Section Number"/>
    <w:basedOn w:val="BodyTextChar"/>
    <w:qFormat/>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Hyperlink">
    <w:name w:val="Hyperlink"/>
    <w:basedOn w:val="BodyTextChar"/>
    <w:rPr>
      <w:color w:themeColor="accent1" w:val="4F81BD"/>
    </w:rPr>
  </w:style>
  <w:style w:type="character" w:styleId="KeywordTok" w:customStyle="1">
    <w:name w:val="KeywordTok"/>
    <w:basedOn w:val="VerbatimChar"/>
    <w:qFormat/>
    <w:rPr>
      <w:b/>
      <w:color w:val="007020"/>
    </w:rPr>
  </w:style>
  <w:style w:type="character" w:styleId="DataTypeTok" w:customStyle="1">
    <w:name w:val="DataTypeTok"/>
    <w:basedOn w:val="VerbatimChar"/>
    <w:qFormat/>
    <w:rPr>
      <w:color w:val="902000"/>
    </w:rPr>
  </w:style>
  <w:style w:type="character" w:styleId="DecValTok" w:customStyle="1">
    <w:name w:val="DecValTok"/>
    <w:basedOn w:val="VerbatimChar"/>
    <w:qFormat/>
    <w:rPr>
      <w:color w:val="40A070"/>
    </w:rPr>
  </w:style>
  <w:style w:type="character" w:styleId="BaseNTok" w:customStyle="1">
    <w:name w:val="BaseNTok"/>
    <w:basedOn w:val="VerbatimChar"/>
    <w:qFormat/>
    <w:rPr>
      <w:color w:val="40A070"/>
    </w:rPr>
  </w:style>
  <w:style w:type="character" w:styleId="FloatTok" w:customStyle="1">
    <w:name w:val="FloatTok"/>
    <w:basedOn w:val="VerbatimChar"/>
    <w:qFormat/>
    <w:rPr>
      <w:color w:val="40A070"/>
    </w:rPr>
  </w:style>
  <w:style w:type="character" w:styleId="ConstantTok" w:customStyle="1">
    <w:name w:val="ConstantTok"/>
    <w:basedOn w:val="VerbatimChar"/>
    <w:qFormat/>
    <w:rPr>
      <w:color w:val="880000"/>
    </w:rPr>
  </w:style>
  <w:style w:type="character" w:styleId="CharTok" w:customStyle="1">
    <w:name w:val="CharTok"/>
    <w:basedOn w:val="VerbatimChar"/>
    <w:qFormat/>
    <w:rPr>
      <w:color w:val="4070A0"/>
    </w:rPr>
  </w:style>
  <w:style w:type="character" w:styleId="SpecialCharTok" w:customStyle="1">
    <w:name w:val="SpecialCharTok"/>
    <w:basedOn w:val="VerbatimChar"/>
    <w:qFormat/>
    <w:rPr>
      <w:color w:val="4070A0"/>
    </w:rPr>
  </w:style>
  <w:style w:type="character" w:styleId="StringTok" w:customStyle="1">
    <w:name w:val="StringTok"/>
    <w:basedOn w:val="VerbatimChar"/>
    <w:qFormat/>
    <w:rPr>
      <w:color w:val="4070A0"/>
    </w:rPr>
  </w:style>
  <w:style w:type="character" w:styleId="VerbatimStringTok" w:customStyle="1">
    <w:name w:val="VerbatimStringTok"/>
    <w:basedOn w:val="VerbatimChar"/>
    <w:qFormat/>
    <w:rPr>
      <w:color w:val="4070A0"/>
    </w:rPr>
  </w:style>
  <w:style w:type="character" w:styleId="SpecialStringTok" w:customStyle="1">
    <w:name w:val="SpecialStringTok"/>
    <w:basedOn w:val="VerbatimChar"/>
    <w:qFormat/>
    <w:rPr>
      <w:color w:val="BB6688"/>
    </w:rPr>
  </w:style>
  <w:style w:type="character" w:styleId="ImportTok" w:customStyle="1">
    <w:name w:val="ImportTok"/>
    <w:basedOn w:val="VerbatimChar"/>
    <w:qFormat/>
    <w:rPr>
      <w:b/>
      <w:color w:val="008000"/>
    </w:rPr>
  </w:style>
  <w:style w:type="character" w:styleId="CommentTok" w:customStyle="1">
    <w:name w:val="CommentTok"/>
    <w:basedOn w:val="VerbatimChar"/>
    <w:qFormat/>
    <w:rPr>
      <w:i/>
      <w:color w:val="60A0B0"/>
    </w:rPr>
  </w:style>
  <w:style w:type="character" w:styleId="DocumentationTok" w:customStyle="1">
    <w:name w:val="DocumentationTok"/>
    <w:basedOn w:val="VerbatimChar"/>
    <w:qFormat/>
    <w:rPr>
      <w:i/>
      <w:color w:val="BA2121"/>
    </w:rPr>
  </w:style>
  <w:style w:type="character" w:styleId="AnnotationTok" w:customStyle="1">
    <w:name w:val="AnnotationTok"/>
    <w:basedOn w:val="VerbatimChar"/>
    <w:qFormat/>
    <w:rPr>
      <w:b/>
      <w:i/>
      <w:color w:val="60A0B0"/>
    </w:rPr>
  </w:style>
  <w:style w:type="character" w:styleId="CommentVarTok" w:customStyle="1">
    <w:name w:val="CommentVarTok"/>
    <w:basedOn w:val="VerbatimChar"/>
    <w:qFormat/>
    <w:rPr>
      <w:b/>
      <w:i/>
      <w:color w:val="60A0B0"/>
    </w:rPr>
  </w:style>
  <w:style w:type="character" w:styleId="OtherTok" w:customStyle="1">
    <w:name w:val="OtherTok"/>
    <w:basedOn w:val="VerbatimChar"/>
    <w:qFormat/>
    <w:rPr>
      <w:color w:val="007020"/>
    </w:rPr>
  </w:style>
  <w:style w:type="character" w:styleId="FunctionTok" w:customStyle="1">
    <w:name w:val="FunctionTok"/>
    <w:basedOn w:val="VerbatimChar"/>
    <w:qFormat/>
    <w:rPr>
      <w:color w:val="06287E"/>
    </w:rPr>
  </w:style>
  <w:style w:type="character" w:styleId="VariableTok" w:customStyle="1">
    <w:name w:val="VariableTok"/>
    <w:basedOn w:val="VerbatimChar"/>
    <w:qFormat/>
    <w:rPr>
      <w:color w:val="19177C"/>
    </w:rPr>
  </w:style>
  <w:style w:type="character" w:styleId="ControlFlowTok" w:customStyle="1">
    <w:name w:val="ControlFlowTok"/>
    <w:basedOn w:val="VerbatimChar"/>
    <w:qFormat/>
    <w:rPr>
      <w:b/>
      <w:color w:val="007020"/>
    </w:rPr>
  </w:style>
  <w:style w:type="character" w:styleId="OperatorTok" w:customStyle="1">
    <w:name w:val="OperatorTok"/>
    <w:basedOn w:val="VerbatimChar"/>
    <w:qFormat/>
    <w:rPr>
      <w:color w:val="666666"/>
    </w:rPr>
  </w:style>
  <w:style w:type="character" w:styleId="BuiltInTok" w:customStyle="1">
    <w:name w:val="BuiltInTok"/>
    <w:basedOn w:val="VerbatimChar"/>
    <w:qFormat/>
    <w:rPr>
      <w:color w:val="008000"/>
    </w:rPr>
  </w:style>
  <w:style w:type="character" w:styleId="ExtensionTok" w:customStyle="1">
    <w:name w:val="ExtensionTok"/>
    <w:basedOn w:val="VerbatimChar"/>
    <w:qFormat/>
    <w:rPr/>
  </w:style>
  <w:style w:type="character" w:styleId="PreprocessorTok" w:customStyle="1">
    <w:name w:val="PreprocessorTok"/>
    <w:basedOn w:val="VerbatimChar"/>
    <w:qFormat/>
    <w:rPr>
      <w:color w:val="BC7A00"/>
    </w:rPr>
  </w:style>
  <w:style w:type="character" w:styleId="AttributeTok" w:customStyle="1">
    <w:name w:val="AttributeTok"/>
    <w:basedOn w:val="VerbatimChar"/>
    <w:qFormat/>
    <w:rPr>
      <w:color w:val="7D9029"/>
    </w:rPr>
  </w:style>
  <w:style w:type="character" w:styleId="RegionMarkerTok" w:customStyle="1">
    <w:name w:val="RegionMarkerTok"/>
    <w:basedOn w:val="VerbatimChar"/>
    <w:qFormat/>
    <w:rPr/>
  </w:style>
  <w:style w:type="character" w:styleId="InformationTok" w:customStyle="1">
    <w:name w:val="InformationTok"/>
    <w:basedOn w:val="VerbatimChar"/>
    <w:qFormat/>
    <w:rPr>
      <w:b/>
      <w:i/>
      <w:color w:val="60A0B0"/>
    </w:rPr>
  </w:style>
  <w:style w:type="character" w:styleId="WarningTok" w:customStyle="1">
    <w:name w:val="WarningTok"/>
    <w:basedOn w:val="VerbatimChar"/>
    <w:qFormat/>
    <w:rPr>
      <w:b/>
      <w:i/>
      <w:color w:val="60A0B0"/>
    </w:rPr>
  </w:style>
  <w:style w:type="character" w:styleId="AlertTok" w:customStyle="1">
    <w:name w:val="AlertTok"/>
    <w:basedOn w:val="VerbatimChar"/>
    <w:qFormat/>
    <w:rPr>
      <w:b/>
      <w:color w:val="FF0000"/>
    </w:rPr>
  </w:style>
  <w:style w:type="character" w:styleId="ErrorTok" w:customStyle="1">
    <w:name w:val="ErrorTok"/>
    <w:basedOn w:val="VerbatimChar"/>
    <w:qFormat/>
    <w:rPr>
      <w:b/>
      <w:color w:val="FF0000"/>
    </w:rPr>
  </w:style>
  <w:style w:type="character" w:styleId="NormalTok" w:customStyle="1">
    <w:name w:val="NormalTok"/>
    <w:basedOn w:val="VerbatimChar"/>
    <w:qFormat/>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link w:val="BodyTextChar"/>
    <w:qFormat/>
    <w:pPr>
      <w:spacing w:before="180" w:after="180"/>
    </w:pPr>
    <w:rPr/>
  </w:style>
  <w:style w:type="paragraph" w:styleId="List">
    <w:name w:val="List"/>
    <w:basedOn w:val="BodyText"/>
    <w:pPr/>
    <w:rPr>
      <w:rFonts w:cs="Noto Sans Devanagari"/>
    </w:rPr>
  </w:style>
  <w:style w:type="paragraph" w:styleId="Caption">
    <w:name w:val="Caption"/>
    <w:basedOn w:val="Normal"/>
    <w:link w:val="BodyTextChar"/>
    <w:qFormat/>
    <w:pPr>
      <w:spacing w:before="0" w:after="120"/>
    </w:pPr>
    <w:rPr>
      <w:i/>
    </w:rPr>
  </w:style>
  <w:style w:type="paragraph" w:styleId="Index">
    <w:name w:val="Index"/>
    <w:basedOn w:val="Normal"/>
    <w:qFormat/>
    <w:pPr>
      <w:suppressLineNumbers/>
    </w:pPr>
    <w:rPr>
      <w:rFonts w:cs="Noto Sans Devanagari"/>
    </w:rPr>
  </w:style>
  <w:style w:type="paragraph" w:styleId="FirstParagraph" w:customStyle="1">
    <w:name w:val="First Paragraph"/>
    <w:basedOn w:val="BodyText"/>
    <w:next w:val="BodyText"/>
    <w:qFormat/>
    <w:pPr/>
    <w:rPr/>
  </w:style>
  <w:style w:type="paragraph" w:styleId="Compact" w:customStyle="1">
    <w:name w:val="Compact"/>
    <w:basedOn w:val="BodyText"/>
    <w:qFormat/>
    <w:pPr>
      <w:spacing w:before="36" w:after="36"/>
    </w:pPr>
    <w:rPr/>
  </w:style>
  <w:style w:type="paragraph" w:styleId="Title">
    <w:name w:val="Title"/>
    <w:basedOn w:val="Normal"/>
    <w:next w:val="BodyText"/>
    <w:qFormat/>
    <w:pPr>
      <w:keepNext w:val="true"/>
      <w:keepLines/>
      <w:spacing w:before="480" w:after="240"/>
      <w:jc w:val="center"/>
    </w:pPr>
    <w:rPr>
      <w:rFonts w:ascii="Calibri" w:hAnsi="Calibri" w:eastAsia="" w:cs="" w:asciiTheme="majorHAnsi" w:cstheme="majorBidi" w:eastAsiaTheme="majorEastAsia" w:hAnsiTheme="majorHAnsi"/>
      <w:b/>
      <w:bCs/>
      <w:color w:themeColor="accent1" w:themeShade="b5" w:val="345A8A"/>
      <w:sz w:val="36"/>
      <w:szCs w:val="36"/>
    </w:rPr>
  </w:style>
  <w:style w:type="paragraph" w:styleId="Subtitle">
    <w:name w:val="Subtitle"/>
    <w:basedOn w:val="Title"/>
    <w:next w:val="BodyText"/>
    <w:qFormat/>
    <w:pPr>
      <w:keepNext w:val="true"/>
      <w:keepLines/>
      <w:spacing w:before="240" w:after="240"/>
      <w:jc w:val="center"/>
    </w:pPr>
    <w:rPr>
      <w:sz w:val="30"/>
      <w:szCs w:val="30"/>
    </w:rPr>
  </w:style>
  <w:style w:type="paragraph" w:styleId="Author" w:customStyle="1">
    <w:name w:val="Author"/>
    <w:next w:val="BodyText"/>
    <w:qFormat/>
    <w:pPr>
      <w:keepNext w:val="true"/>
      <w:keepLines/>
      <w:widowControl/>
      <w:suppressAutoHyphens w:val="true"/>
      <w:bidi w:val="0"/>
      <w:spacing w:before="0" w:after="200"/>
      <w:jc w:val="center"/>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Date">
    <w:name w:val="Date"/>
    <w:next w:val="BodyText"/>
    <w:qFormat/>
    <w:pPr>
      <w:keepNext w:val="true"/>
      <w:keepLines/>
      <w:widowControl/>
      <w:suppressAutoHyphens w:val="true"/>
      <w:bidi w:val="0"/>
      <w:spacing w:before="0" w:after="200"/>
      <w:jc w:val="center"/>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AbstractTitle" w:customStyle="1">
    <w:name w:val="Abstract Title"/>
    <w:basedOn w:val="Normal"/>
    <w:next w:val="Abstract"/>
    <w:qFormat/>
    <w:pPr>
      <w:keepNext w:val="true"/>
      <w:keepLines/>
      <w:spacing w:before="300" w:after="0"/>
      <w:jc w:val="center"/>
    </w:pPr>
    <w:rPr>
      <w:b/>
      <w:color w:val="345A8A"/>
      <w:sz w:val="20"/>
      <w:szCs w:val="20"/>
    </w:rPr>
  </w:style>
  <w:style w:type="paragraph" w:styleId="Abstract" w:customStyle="1">
    <w:name w:val="Abstract"/>
    <w:basedOn w:val="Normal"/>
    <w:next w:val="BodyText"/>
    <w:qFormat/>
    <w:pPr>
      <w:keepNext w:val="true"/>
      <w:keepLines/>
      <w:spacing w:before="100" w:after="300"/>
    </w:pPr>
    <w:rPr>
      <w:sz w:val="20"/>
      <w:szCs w:val="20"/>
    </w:rPr>
  </w:style>
  <w:style w:type="paragraph" w:styleId="Bibliography">
    <w:name w:val="Bibliography"/>
    <w:basedOn w:val="Normal"/>
    <w:qFormat/>
    <w:pPr/>
    <w:rPr/>
  </w:style>
  <w:style w:type="paragraph" w:styleId="BlockText">
    <w:name w:val="Block Text"/>
    <w:basedOn w:val="BodyText"/>
    <w:next w:val="BodyText"/>
    <w:uiPriority w:val="9"/>
    <w:unhideWhenUsed/>
    <w:qFormat/>
    <w:pPr>
      <w:spacing w:before="100" w:after="100"/>
      <w:ind w:hanging="0" w:left="480" w:right="480"/>
    </w:pPr>
    <w:rPr/>
  </w:style>
  <w:style w:type="paragraph" w:styleId="FootnoteText">
    <w:name w:val="Footnote Text"/>
    <w:basedOn w:val="Normal"/>
    <w:uiPriority w:val="9"/>
    <w:unhideWhenUsed/>
    <w:qFormat/>
    <w:pPr/>
    <w:rPr/>
  </w:style>
  <w:style w:type="paragraph" w:styleId="DefinitionTerm" w:customStyle="1">
    <w:name w:val="Definition Term"/>
    <w:basedOn w:val="Normal"/>
    <w:next w:val="Definition"/>
    <w:qFormat/>
    <w:pPr>
      <w:keepNext w:val="true"/>
      <w:keepLines/>
      <w:spacing w:before="0" w:after="0"/>
    </w:pPr>
    <w:rPr>
      <w:b/>
    </w:rPr>
  </w:style>
  <w:style w:type="paragraph" w:styleId="Definition" w:customStyle="1">
    <w:name w:val="Definition"/>
    <w:basedOn w:val="Normal"/>
    <w:qFormat/>
    <w:pPr/>
    <w:rPr/>
  </w:style>
  <w:style w:type="paragraph" w:styleId="TableCaption" w:customStyle="1">
    <w:name w:val="Table Caption"/>
    <w:basedOn w:val="Caption"/>
    <w:qFormat/>
    <w:pPr>
      <w:keepNext w:val="true"/>
    </w:pPr>
    <w:rPr/>
  </w:style>
  <w:style w:type="paragraph" w:styleId="ImageCaption" w:customStyle="1">
    <w:name w:val="Image Caption"/>
    <w:basedOn w:val="Caption"/>
    <w:qFormat/>
    <w:pPr/>
    <w:rPr/>
  </w:style>
  <w:style w:type="paragraph" w:styleId="Figure" w:customStyle="1">
    <w:name w:val="Figure"/>
    <w:basedOn w:val="Normal"/>
    <w:qFormat/>
    <w:pPr/>
    <w:rPr/>
  </w:style>
  <w:style w:type="paragraph" w:styleId="CaptionedFigure" w:customStyle="1">
    <w:name w:val="Captioned Figure"/>
    <w:basedOn w:val="Figure"/>
    <w:qFormat/>
    <w:pPr>
      <w:keepNext w:val="true"/>
    </w:pPr>
    <w:rPr/>
  </w:style>
  <w:style w:type="paragraph" w:styleId="IndexHeading">
    <w:name w:val="Index Heading"/>
    <w:basedOn w:val="Heading"/>
    <w:pPr/>
    <w:rPr/>
  </w:style>
  <w:style w:type="paragraph" w:styleId="TOCHeading">
    <w:name w:val="TOC Heading"/>
    <w:basedOn w:val="Heading1"/>
    <w:next w:val="BodyText"/>
    <w:uiPriority w:val="39"/>
    <w:unhideWhenUsed/>
    <w:qFormat/>
    <w:pPr>
      <w:spacing w:lineRule="auto" w:line="259" w:before="240" w:after="0"/>
      <w:outlineLvl w:val="9"/>
    </w:pPr>
    <w:rPr>
      <w:rFonts w:ascii="Calibri" w:hAnsi="Calibri" w:eastAsia="" w:cs="" w:asciiTheme="majorHAnsi" w:cstheme="majorBidi" w:eastAsiaTheme="majorEastAsia" w:hAnsiTheme="majorHAnsi"/>
      <w:b w:val="false"/>
      <w:bCs w:val="false"/>
      <w:color w:themeColor="accent1" w:themeShade="bf" w:val="365F91"/>
    </w:rPr>
  </w:style>
  <w:style w:type="paragraph" w:styleId="SourceCode" w:customStyle="1">
    <w:name w:val="Source Code"/>
    <w:basedOn w:val="Normal"/>
    <w:link w:val="VerbatimChar"/>
    <w:qFormat/>
    <w:pPr/>
    <w:rPr/>
  </w:style>
  <w:style w:type="paragraph" w:styleId="HeaderandFooter">
    <w:name w:val="Header and Footer"/>
    <w:basedOn w:val="Normal"/>
    <w:qFormat/>
    <w:pPr>
      <w:suppressLineNumbers/>
      <w:tabs>
        <w:tab w:val="clear" w:pos="720"/>
        <w:tab w:val="center" w:pos="4680" w:leader="none"/>
        <w:tab w:val="right" w:pos="9360" w:leader="none"/>
      </w:tabs>
    </w:pPr>
    <w:rPr/>
  </w:style>
  <w:style w:type="paragraph" w:styleId="Footer">
    <w:name w:val="Footer"/>
    <w:basedOn w:val="HeaderandFooter"/>
    <w:pPr>
      <w:suppressLineNumbers/>
    </w:pPr>
    <w:rPr/>
  </w:style>
  <w:style w:type="table" w:default="1" w:styleId="Table">
    <w:name w:val="Table"/>
    <w:basedOn w:val="TableNormal"/>
    <w:semiHidden/>
    <w:unhideWhenUsed/>
    <w:qFormat/>
    <w:tblPr>
      <w:tblCellMar>
        <w:top w:w="0" w:type="dxa"/>
        <w:left w:w="108" w:type="dxa"/>
        <w:bottom w:w="0" w:type="dxa"/>
        <w:right w:w="108" w:type="dxa"/>
      </w:tblCellMar>
    </w:tblPr>
    <w:tblStylePr w:type="firstRow">
      <w:tblPr/>
      <w:tcPr>
        <w:tcBorders>
          <w:bottom w:val="single"/>
        </w:tcBorders>
        <w:vAlign w:val="bottom"/>
      </w:tcPr>
    </w:tblStyle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15</TotalTime>
  <Application>LibreOffice/24.2.7.2$Linux_X86_64 LibreOffice_project/420$Build-2</Application>
  <AppVersion>15.0000</AppVersion>
  <Pages>12</Pages>
  <Words>4038</Words>
  <Characters>25231</Characters>
  <CharactersWithSpaces>29153</CharactersWithSpaces>
  <Paragraphs>104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2026-03-29T06:56:49Z</dcterms:created>
  <dc:creator/>
  <dc:description/>
  <dc:language>en-US</dc:language>
  <cp:lastModifiedBy>cm</cp:lastModifiedBy>
  <dcterms:modified xsi:type="dcterms:W3CDTF">2026-08-02T22:18:03Z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