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Additional file 1: Supplementary methods, quality control and analysis-state documentation</w:t>
      </w:r>
    </w:p>
    <w:p>
      <w:r>
        <w:t>This supplementary file provides additional computational methods, quality-control details and analysis-state documentation supporting the revised main manuscript.</w:t>
      </w:r>
    </w:p>
    <w:p>
      <w:pPr>
        <w:pStyle w:val="Heading1"/>
      </w:pPr>
      <w:r>
        <w:t>S1. Analysis scope and final dataset</w:t>
      </w:r>
    </w:p>
    <w:p>
      <w:r>
        <w:t>The final analysis comprised 23,435 NCBI prokaryotic reference assemblies (22,606 Bacteria and 829 Archaea). The row-level file 24_global_profile_presence_states_v2.tsv.gz was used as the final genome-state matrix after completion of the MutS/SMR classifier correction and final quality-control checks. All genome-level summary counts reported in the main manuscript refer to this final analysis dataset.</w:t>
      </w:r>
    </w:p>
    <w:p>
      <w:pPr>
        <w:pStyle w:val="Heading1"/>
      </w:pPr>
      <w:r>
        <w:t>S2. Operational profile criteria</w:t>
      </w:r>
    </w:p>
    <w:p>
      <w:pPr>
        <w:pStyle w:val="Caption"/>
        <w:jc w:val="center"/>
      </w:pPr>
      <w:r>
        <w:t>Supplementary Table S1. Operational profile criteria</w:t>
      </w:r>
    </w:p>
    <w:tbl>
      <w:tblPr>
        <w:tblStyle w:val="TableGrid"/>
        <w:tblW w:type="auto" w:w="0"/>
        <w:jc w:val="center"/>
        <w:tblLook w:firstColumn="1" w:firstRow="1" w:lastColumn="0" w:lastRow="0" w:noHBand="0" w:noVBand="1" w:val="04A0"/>
      </w:tblPr>
      <w:tblGrid>
        <w:gridCol w:w="3216"/>
        <w:gridCol w:w="3216"/>
        <w:gridCol w:w="3216"/>
      </w:tblGrid>
      <w:tr>
        <w:trPr>
          <w:cantSplit/>
        </w:trPr>
        <w:tc>
          <w:tcPr>
            <w:tcW w:type="dxa" w:w="3216"/>
            <w:vAlign w:val="center"/>
            <w:shd w:fill="D9EAF7"/>
          </w:tcPr>
          <w:p>
            <w:pPr>
              <w:spacing w:after="0"/>
            </w:pPr>
            <w:r>
              <w:rPr>
                <w:b/>
                <w:sz w:val="18"/>
              </w:rPr>
              <w:t>Component</w:t>
            </w:r>
          </w:p>
        </w:tc>
        <w:tc>
          <w:tcPr>
            <w:tcW w:type="dxa" w:w="3216"/>
            <w:vAlign w:val="center"/>
            <w:shd w:fill="D9EAF7"/>
          </w:tcPr>
          <w:p>
            <w:pPr>
              <w:spacing w:after="0"/>
            </w:pPr>
            <w:r>
              <w:rPr>
                <w:b/>
                <w:sz w:val="18"/>
              </w:rPr>
              <w:t>Required profile evidence</w:t>
            </w:r>
          </w:p>
        </w:tc>
        <w:tc>
          <w:tcPr>
            <w:tcW w:type="dxa" w:w="3216"/>
            <w:vAlign w:val="center"/>
            <w:shd w:fill="D9EAF7"/>
          </w:tcPr>
          <w:p>
            <w:pPr>
              <w:spacing w:after="0"/>
            </w:pPr>
            <w:r>
              <w:rPr>
                <w:b/>
                <w:sz w:val="18"/>
              </w:rPr>
              <w:t>Additional rule</w:t>
            </w:r>
          </w:p>
        </w:tc>
      </w:tr>
      <w:tr>
        <w:trPr>
          <w:cantSplit/>
        </w:trPr>
        <w:tc>
          <w:tcPr>
            <w:tcW w:type="dxa" w:w="3216"/>
            <w:vAlign w:val="center"/>
          </w:tcPr>
          <w:p>
            <w:pPr>
              <w:spacing w:after="0"/>
            </w:pPr>
            <w:r>
              <w:rPr>
                <w:sz w:val="18"/>
              </w:rPr>
              <w:t>NucS</w:t>
            </w:r>
          </w:p>
        </w:tc>
        <w:tc>
          <w:tcPr>
            <w:tcW w:type="dxa" w:w="3216"/>
            <w:vAlign w:val="center"/>
          </w:tcPr>
          <w:p>
            <w:pPr>
              <w:spacing w:after="0"/>
            </w:pPr>
            <w:r>
              <w:rPr>
                <w:sz w:val="18"/>
              </w:rPr>
              <w:t>PF21003 (NucS_N) + PF01939 (NucS_C) on at least one candidate protein</w:t>
            </w:r>
          </w:p>
        </w:tc>
        <w:tc>
          <w:tcPr>
            <w:tcW w:type="dxa" w:w="3216"/>
            <w:vAlign w:val="center"/>
          </w:tcPr>
          <w:p>
            <w:pPr>
              <w:spacing w:after="0"/>
            </w:pPr>
            <w:r>
              <w:rPr>
                <w:sz w:val="18"/>
              </w:rPr>
              <w:t>Both profiles required on the same protein for the two-domain NucS call</w:t>
            </w:r>
          </w:p>
        </w:tc>
      </w:tr>
      <w:tr>
        <w:trPr>
          <w:cantSplit/>
        </w:trPr>
        <w:tc>
          <w:tcPr>
            <w:tcW w:type="dxa" w:w="3216"/>
            <w:vAlign w:val="center"/>
          </w:tcPr>
          <w:p>
            <w:pPr>
              <w:spacing w:after="0"/>
            </w:pPr>
            <w:r>
              <w:rPr>
                <w:sz w:val="18"/>
              </w:rPr>
              <w:t>Canonical MutS</w:t>
            </w:r>
          </w:p>
        </w:tc>
        <w:tc>
          <w:tcPr>
            <w:tcW w:type="dxa" w:w="3216"/>
            <w:vAlign w:val="center"/>
          </w:tcPr>
          <w:p>
            <w:pPr>
              <w:spacing w:after="0"/>
            </w:pPr>
            <w:r>
              <w:rPr>
                <w:sz w:val="18"/>
              </w:rPr>
              <w:t>PF01624 + PF05188 + PF05192 + PF05190 + PF00488 on the same candidate protein</w:t>
            </w:r>
          </w:p>
        </w:tc>
        <w:tc>
          <w:tcPr>
            <w:tcW w:type="dxa" w:w="3216"/>
            <w:vAlign w:val="center"/>
          </w:tcPr>
          <w:p>
            <w:pPr>
              <w:spacing w:after="0"/>
            </w:pPr>
            <w:r>
              <w:rPr>
                <w:sz w:val="18"/>
              </w:rPr>
              <w:t>PF01713 (SMR) was used only as a same-protein warning; non-overlap of all five Pfam matches was not required</w:t>
            </w:r>
          </w:p>
        </w:tc>
      </w:tr>
      <w:tr>
        <w:trPr>
          <w:cantSplit/>
        </w:trPr>
        <w:tc>
          <w:tcPr>
            <w:tcW w:type="dxa" w:w="3216"/>
            <w:vAlign w:val="center"/>
          </w:tcPr>
          <w:p>
            <w:pPr>
              <w:spacing w:after="0"/>
            </w:pPr>
            <w:r>
              <w:rPr>
                <w:sz w:val="18"/>
              </w:rPr>
              <w:t>MutL</w:t>
            </w:r>
          </w:p>
        </w:tc>
        <w:tc>
          <w:tcPr>
            <w:tcW w:type="dxa" w:w="3216"/>
            <w:vAlign w:val="center"/>
          </w:tcPr>
          <w:p>
            <w:pPr>
              <w:spacing w:after="0"/>
            </w:pPr>
            <w:r>
              <w:rPr>
                <w:sz w:val="18"/>
              </w:rPr>
              <w:t>PF01119 + PF08676 on at least one candidate protein</w:t>
            </w:r>
          </w:p>
        </w:tc>
        <w:tc>
          <w:tcPr>
            <w:tcW w:type="dxa" w:w="3216"/>
            <w:vAlign w:val="center"/>
          </w:tcPr>
          <w:p>
            <w:pPr>
              <w:spacing w:after="0"/>
            </w:pPr>
            <w:r>
              <w:rPr>
                <w:sz w:val="18"/>
              </w:rPr>
              <w:t>PF13589 was supplementary and not mandatory</w:t>
            </w:r>
          </w:p>
        </w:tc>
      </w:tr>
    </w:tbl>
    <w:p/>
    <w:p>
      <w:r>
        <w:t>Candidates were evaluated with the Pfam profile models and HMMER workflow described in the main Methods. Pfam clan membership was not used as a classification criterion. Profile non-detection was not treated as proof of biological absence.</w:t>
      </w:r>
    </w:p>
    <w:p>
      <w:pPr>
        <w:pStyle w:val="Heading1"/>
      </w:pPr>
      <w:r>
        <w:t>S3. Candidate-protein retrieval integrity</w:t>
      </w:r>
    </w:p>
    <w:p>
      <w:pPr>
        <w:pStyle w:val="Caption"/>
        <w:jc w:val="center"/>
      </w:pPr>
      <w:r>
        <w:t>Supplementary Table S2. Accession retrieval audit</w:t>
      </w:r>
    </w:p>
    <w:tbl>
      <w:tblPr>
        <w:tblStyle w:val="TableGrid"/>
        <w:tblW w:type="auto" w:w="0"/>
        <w:jc w:val="center"/>
        <w:tblLook w:firstColumn="1" w:firstRow="1" w:lastColumn="0" w:lastRow="0" w:noHBand="0" w:noVBand="1" w:val="04A0"/>
      </w:tblPr>
      <w:tblGrid>
        <w:gridCol w:w="1930"/>
        <w:gridCol w:w="1930"/>
        <w:gridCol w:w="1930"/>
        <w:gridCol w:w="1930"/>
        <w:gridCol w:w="1930"/>
      </w:tblGrid>
      <w:tr>
        <w:trPr>
          <w:cantSplit/>
        </w:trPr>
        <w:tc>
          <w:tcPr>
            <w:tcW w:type="dxa" w:w="1930"/>
            <w:vAlign w:val="center"/>
            <w:shd w:fill="D9EAF7"/>
          </w:tcPr>
          <w:p>
            <w:pPr>
              <w:spacing w:after="0"/>
            </w:pPr>
            <w:r>
              <w:rPr>
                <w:b/>
                <w:sz w:val="18"/>
              </w:rPr>
              <w:t>Candidate set</w:t>
            </w:r>
          </w:p>
        </w:tc>
        <w:tc>
          <w:tcPr>
            <w:tcW w:type="dxa" w:w="1930"/>
            <w:vAlign w:val="center"/>
            <w:shd w:fill="D9EAF7"/>
          </w:tcPr>
          <w:p>
            <w:pPr>
              <w:spacing w:after="0"/>
            </w:pPr>
            <w:r>
              <w:rPr>
                <w:b/>
                <w:sz w:val="18"/>
              </w:rPr>
              <w:t>Expected unique accessions</w:t>
            </w:r>
          </w:p>
        </w:tc>
        <w:tc>
          <w:tcPr>
            <w:tcW w:type="dxa" w:w="1930"/>
            <w:vAlign w:val="center"/>
            <w:shd w:fill="D9EAF7"/>
          </w:tcPr>
          <w:p>
            <w:pPr>
              <w:spacing w:after="0"/>
            </w:pPr>
            <w:r>
              <w:rPr>
                <w:b/>
                <w:sz w:val="18"/>
              </w:rPr>
              <w:t>Retrieved</w:t>
            </w:r>
          </w:p>
        </w:tc>
        <w:tc>
          <w:tcPr>
            <w:tcW w:type="dxa" w:w="1930"/>
            <w:vAlign w:val="center"/>
            <w:shd w:fill="D9EAF7"/>
          </w:tcPr>
          <w:p>
            <w:pPr>
              <w:spacing w:after="0"/>
            </w:pPr>
            <w:r>
              <w:rPr>
                <w:b/>
                <w:sz w:val="18"/>
              </w:rPr>
              <w:t>Missing</w:t>
            </w:r>
          </w:p>
        </w:tc>
        <w:tc>
          <w:tcPr>
            <w:tcW w:type="dxa" w:w="1930"/>
            <w:vAlign w:val="center"/>
            <w:shd w:fill="D9EAF7"/>
          </w:tcPr>
          <w:p>
            <w:pPr>
              <w:spacing w:after="0"/>
            </w:pPr>
            <w:r>
              <w:rPr>
                <w:b/>
                <w:sz w:val="18"/>
              </w:rPr>
              <w:t>Unexpected</w:t>
            </w:r>
          </w:p>
        </w:tc>
      </w:tr>
      <w:tr>
        <w:trPr>
          <w:cantSplit/>
        </w:trPr>
        <w:tc>
          <w:tcPr>
            <w:tcW w:type="dxa" w:w="1930"/>
            <w:vAlign w:val="center"/>
          </w:tcPr>
          <w:p>
            <w:pPr>
              <w:spacing w:after="0"/>
            </w:pPr>
            <w:r>
              <w:rPr>
                <w:sz w:val="18"/>
              </w:rPr>
              <w:t>NucS</w:t>
            </w:r>
          </w:p>
        </w:tc>
        <w:tc>
          <w:tcPr>
            <w:tcW w:type="dxa" w:w="1930"/>
            <w:vAlign w:val="center"/>
          </w:tcPr>
          <w:p>
            <w:pPr>
              <w:spacing w:after="0"/>
            </w:pPr>
            <w:r>
              <w:rPr>
                <w:sz w:val="18"/>
              </w:rPr>
              <w:t>6,270</w:t>
            </w:r>
          </w:p>
        </w:tc>
        <w:tc>
          <w:tcPr>
            <w:tcW w:type="dxa" w:w="1930"/>
            <w:vAlign w:val="center"/>
          </w:tcPr>
          <w:p>
            <w:pPr>
              <w:spacing w:after="0"/>
            </w:pPr>
            <w:r>
              <w:rPr>
                <w:sz w:val="18"/>
              </w:rPr>
              <w:t>6,270</w:t>
            </w:r>
          </w:p>
        </w:tc>
        <w:tc>
          <w:tcPr>
            <w:tcW w:type="dxa" w:w="1930"/>
            <w:vAlign w:val="center"/>
          </w:tcPr>
          <w:p>
            <w:pPr>
              <w:spacing w:after="0"/>
            </w:pPr>
            <w:r>
              <w:rPr>
                <w:sz w:val="18"/>
              </w:rPr>
              <w:t>0</w:t>
            </w:r>
          </w:p>
        </w:tc>
        <w:tc>
          <w:tcPr>
            <w:tcW w:type="dxa" w:w="1930"/>
            <w:vAlign w:val="center"/>
          </w:tcPr>
          <w:p>
            <w:pPr>
              <w:spacing w:after="0"/>
            </w:pPr>
            <w:r>
              <w:rPr>
                <w:sz w:val="18"/>
              </w:rPr>
              <w:t>0</w:t>
            </w:r>
          </w:p>
        </w:tc>
      </w:tr>
      <w:tr>
        <w:trPr>
          <w:cantSplit/>
        </w:trPr>
        <w:tc>
          <w:tcPr>
            <w:tcW w:type="dxa" w:w="1930"/>
            <w:vAlign w:val="center"/>
          </w:tcPr>
          <w:p>
            <w:pPr>
              <w:spacing w:after="0"/>
            </w:pPr>
            <w:r>
              <w:rPr>
                <w:sz w:val="18"/>
              </w:rPr>
              <w:t>MutS</w:t>
            </w:r>
          </w:p>
        </w:tc>
        <w:tc>
          <w:tcPr>
            <w:tcW w:type="dxa" w:w="1930"/>
            <w:vAlign w:val="center"/>
          </w:tcPr>
          <w:p>
            <w:pPr>
              <w:spacing w:after="0"/>
            </w:pPr>
            <w:r>
              <w:rPr>
                <w:sz w:val="18"/>
              </w:rPr>
              <w:t>17,742</w:t>
            </w:r>
          </w:p>
        </w:tc>
        <w:tc>
          <w:tcPr>
            <w:tcW w:type="dxa" w:w="1930"/>
            <w:vAlign w:val="center"/>
          </w:tcPr>
          <w:p>
            <w:pPr>
              <w:spacing w:after="0"/>
            </w:pPr>
            <w:r>
              <w:rPr>
                <w:sz w:val="18"/>
              </w:rPr>
              <w:t>17,742</w:t>
            </w:r>
          </w:p>
        </w:tc>
        <w:tc>
          <w:tcPr>
            <w:tcW w:type="dxa" w:w="1930"/>
            <w:vAlign w:val="center"/>
          </w:tcPr>
          <w:p>
            <w:pPr>
              <w:spacing w:after="0"/>
            </w:pPr>
            <w:r>
              <w:rPr>
                <w:sz w:val="18"/>
              </w:rPr>
              <w:t>0</w:t>
            </w:r>
          </w:p>
        </w:tc>
        <w:tc>
          <w:tcPr>
            <w:tcW w:type="dxa" w:w="1930"/>
            <w:vAlign w:val="center"/>
          </w:tcPr>
          <w:p>
            <w:pPr>
              <w:spacing w:after="0"/>
            </w:pPr>
            <w:r>
              <w:rPr>
                <w:sz w:val="18"/>
              </w:rPr>
              <w:t>0</w:t>
            </w:r>
          </w:p>
        </w:tc>
      </w:tr>
      <w:tr>
        <w:trPr>
          <w:cantSplit/>
        </w:trPr>
        <w:tc>
          <w:tcPr>
            <w:tcW w:type="dxa" w:w="1930"/>
            <w:vAlign w:val="center"/>
          </w:tcPr>
          <w:p>
            <w:pPr>
              <w:spacing w:after="0"/>
            </w:pPr>
            <w:r>
              <w:rPr>
                <w:sz w:val="18"/>
              </w:rPr>
              <w:t>MutL</w:t>
            </w:r>
          </w:p>
        </w:tc>
        <w:tc>
          <w:tcPr>
            <w:tcW w:type="dxa" w:w="1930"/>
            <w:vAlign w:val="center"/>
          </w:tcPr>
          <w:p>
            <w:pPr>
              <w:spacing w:after="0"/>
            </w:pPr>
            <w:r>
              <w:rPr>
                <w:sz w:val="18"/>
              </w:rPr>
              <w:t>17,608</w:t>
            </w:r>
          </w:p>
        </w:tc>
        <w:tc>
          <w:tcPr>
            <w:tcW w:type="dxa" w:w="1930"/>
            <w:vAlign w:val="center"/>
          </w:tcPr>
          <w:p>
            <w:pPr>
              <w:spacing w:after="0"/>
            </w:pPr>
            <w:r>
              <w:rPr>
                <w:sz w:val="18"/>
              </w:rPr>
              <w:t>17,608</w:t>
            </w:r>
          </w:p>
        </w:tc>
        <w:tc>
          <w:tcPr>
            <w:tcW w:type="dxa" w:w="1930"/>
            <w:vAlign w:val="center"/>
          </w:tcPr>
          <w:p>
            <w:pPr>
              <w:spacing w:after="0"/>
            </w:pPr>
            <w:r>
              <w:rPr>
                <w:sz w:val="18"/>
              </w:rPr>
              <w:t>0</w:t>
            </w:r>
          </w:p>
        </w:tc>
        <w:tc>
          <w:tcPr>
            <w:tcW w:type="dxa" w:w="1930"/>
            <w:vAlign w:val="center"/>
          </w:tcPr>
          <w:p>
            <w:pPr>
              <w:spacing w:after="0"/>
            </w:pPr>
            <w:r>
              <w:rPr>
                <w:sz w:val="18"/>
              </w:rPr>
              <w:t>0</w:t>
            </w:r>
          </w:p>
        </w:tc>
      </w:tr>
    </w:tbl>
    <w:p/>
    <w:p>
      <w:r>
        <w:t>For NucS, the initial batch retrieval contained 5,976 of 6,270 expected unique accessions. The remaining 294 were recovered through exact-accession retries and NCBI EFetch fallback before profile classification. As an independent revision-stage integrity check, the frozen 6,270-accession list was downloaded again by exact accession and yielded 6,270 FASTA records, zero missing expected accessions and zero unexpected accessions. Annotation-positive loci with no protein accession were retained as unresolved and were not counted as failed retrievals.</w:t>
      </w:r>
    </w:p>
    <w:p>
      <w:pPr>
        <w:pStyle w:val="Heading1"/>
      </w:pPr>
      <w:r>
        <w:t>S4. Full NucS candidate-level architecture decomposition</w:t>
      </w:r>
    </w:p>
    <w:p>
      <w:pPr>
        <w:pStyle w:val="Caption"/>
        <w:jc w:val="center"/>
      </w:pPr>
      <w:r>
        <w:t>Supplementary Table S3. Pfam states among all 6,270 unique NucS candidate proteins</w:t>
      </w:r>
    </w:p>
    <w:tbl>
      <w:tblPr>
        <w:tblStyle w:val="TableGrid"/>
        <w:tblW w:type="auto" w:w="0"/>
        <w:jc w:val="center"/>
        <w:tblLook w:firstColumn="1" w:firstRow="1" w:lastColumn="0" w:lastRow="0" w:noHBand="0" w:noVBand="1" w:val="04A0"/>
      </w:tblPr>
      <w:tblGrid>
        <w:gridCol w:w="3216"/>
        <w:gridCol w:w="3216"/>
        <w:gridCol w:w="3216"/>
      </w:tblGrid>
      <w:tr>
        <w:trPr>
          <w:cantSplit/>
        </w:trPr>
        <w:tc>
          <w:tcPr>
            <w:tcW w:type="dxa" w:w="3216"/>
            <w:vAlign w:val="center"/>
            <w:shd w:fill="D9EAF7"/>
          </w:tcPr>
          <w:p>
            <w:pPr>
              <w:spacing w:after="0"/>
            </w:pPr>
            <w:r>
              <w:rPr>
                <w:b/>
                <w:sz w:val="18"/>
              </w:rPr>
              <w:t>Protein-level state</w:t>
            </w:r>
          </w:p>
        </w:tc>
        <w:tc>
          <w:tcPr>
            <w:tcW w:type="dxa" w:w="3216"/>
            <w:vAlign w:val="center"/>
            <w:shd w:fill="D9EAF7"/>
          </w:tcPr>
          <w:p>
            <w:pPr>
              <w:spacing w:after="0"/>
            </w:pPr>
            <w:r>
              <w:rPr>
                <w:b/>
                <w:sz w:val="18"/>
              </w:rPr>
              <w:t>Unique proteins</w:t>
            </w:r>
          </w:p>
        </w:tc>
        <w:tc>
          <w:tcPr>
            <w:tcW w:type="dxa" w:w="3216"/>
            <w:vAlign w:val="center"/>
            <w:shd w:fill="D9EAF7"/>
          </w:tcPr>
          <w:p>
            <w:pPr>
              <w:spacing w:after="0"/>
            </w:pPr>
            <w:r>
              <w:rPr>
                <w:b/>
                <w:sz w:val="18"/>
              </w:rPr>
              <w:t>Percent</w:t>
            </w:r>
          </w:p>
        </w:tc>
      </w:tr>
      <w:tr>
        <w:trPr>
          <w:cantSplit/>
        </w:trPr>
        <w:tc>
          <w:tcPr>
            <w:tcW w:type="dxa" w:w="3216"/>
            <w:vAlign w:val="center"/>
          </w:tcPr>
          <w:p>
            <w:pPr>
              <w:spacing w:after="0"/>
            </w:pPr>
            <w:r>
              <w:rPr>
                <w:sz w:val="18"/>
              </w:rPr>
              <w:t>Both PF21003 + PF01939</w:t>
            </w:r>
          </w:p>
        </w:tc>
        <w:tc>
          <w:tcPr>
            <w:tcW w:type="dxa" w:w="3216"/>
            <w:vAlign w:val="center"/>
          </w:tcPr>
          <w:p>
            <w:pPr>
              <w:spacing w:after="0"/>
            </w:pPr>
            <w:r>
              <w:rPr>
                <w:sz w:val="18"/>
              </w:rPr>
              <w:t>5,189</w:t>
            </w:r>
          </w:p>
        </w:tc>
        <w:tc>
          <w:tcPr>
            <w:tcW w:type="dxa" w:w="3216"/>
            <w:vAlign w:val="center"/>
          </w:tcPr>
          <w:p>
            <w:pPr>
              <w:spacing w:after="0"/>
            </w:pPr>
            <w:r>
              <w:rPr>
                <w:sz w:val="18"/>
              </w:rPr>
              <w:t>82.76%</w:t>
            </w:r>
          </w:p>
        </w:tc>
      </w:tr>
      <w:tr>
        <w:trPr>
          <w:cantSplit/>
        </w:trPr>
        <w:tc>
          <w:tcPr>
            <w:tcW w:type="dxa" w:w="3216"/>
            <w:vAlign w:val="center"/>
          </w:tcPr>
          <w:p>
            <w:pPr>
              <w:spacing w:after="0"/>
            </w:pPr>
            <w:r>
              <w:rPr>
                <w:sz w:val="18"/>
              </w:rPr>
              <w:t>PF21003 / NucS_N only</w:t>
            </w:r>
          </w:p>
        </w:tc>
        <w:tc>
          <w:tcPr>
            <w:tcW w:type="dxa" w:w="3216"/>
            <w:vAlign w:val="center"/>
          </w:tcPr>
          <w:p>
            <w:pPr>
              <w:spacing w:after="0"/>
            </w:pPr>
            <w:r>
              <w:rPr>
                <w:sz w:val="18"/>
              </w:rPr>
              <w:t>111</w:t>
            </w:r>
          </w:p>
        </w:tc>
        <w:tc>
          <w:tcPr>
            <w:tcW w:type="dxa" w:w="3216"/>
            <w:vAlign w:val="center"/>
          </w:tcPr>
          <w:p>
            <w:pPr>
              <w:spacing w:after="0"/>
            </w:pPr>
            <w:r>
              <w:rPr>
                <w:sz w:val="18"/>
              </w:rPr>
              <w:t>1.77%</w:t>
            </w:r>
          </w:p>
        </w:tc>
      </w:tr>
      <w:tr>
        <w:trPr>
          <w:cantSplit/>
        </w:trPr>
        <w:tc>
          <w:tcPr>
            <w:tcW w:type="dxa" w:w="3216"/>
            <w:vAlign w:val="center"/>
          </w:tcPr>
          <w:p>
            <w:pPr>
              <w:spacing w:after="0"/>
            </w:pPr>
            <w:r>
              <w:rPr>
                <w:sz w:val="18"/>
              </w:rPr>
              <w:t>PF01939 / NucS_C only</w:t>
            </w:r>
          </w:p>
        </w:tc>
        <w:tc>
          <w:tcPr>
            <w:tcW w:type="dxa" w:w="3216"/>
            <w:vAlign w:val="center"/>
          </w:tcPr>
          <w:p>
            <w:pPr>
              <w:spacing w:after="0"/>
            </w:pPr>
            <w:r>
              <w:rPr>
                <w:sz w:val="18"/>
              </w:rPr>
              <w:t>901</w:t>
            </w:r>
          </w:p>
        </w:tc>
        <w:tc>
          <w:tcPr>
            <w:tcW w:type="dxa" w:w="3216"/>
            <w:vAlign w:val="center"/>
          </w:tcPr>
          <w:p>
            <w:pPr>
              <w:spacing w:after="0"/>
            </w:pPr>
            <w:r>
              <w:rPr>
                <w:sz w:val="18"/>
              </w:rPr>
              <w:t>14.37%</w:t>
            </w:r>
          </w:p>
        </w:tc>
      </w:tr>
      <w:tr>
        <w:trPr>
          <w:cantSplit/>
        </w:trPr>
        <w:tc>
          <w:tcPr>
            <w:tcW w:type="dxa" w:w="3216"/>
            <w:vAlign w:val="center"/>
          </w:tcPr>
          <w:p>
            <w:pPr>
              <w:spacing w:after="0"/>
            </w:pPr>
            <w:r>
              <w:rPr>
                <w:sz w:val="18"/>
              </w:rPr>
              <w:t>Neither profile</w:t>
            </w:r>
          </w:p>
        </w:tc>
        <w:tc>
          <w:tcPr>
            <w:tcW w:type="dxa" w:w="3216"/>
            <w:vAlign w:val="center"/>
          </w:tcPr>
          <w:p>
            <w:pPr>
              <w:spacing w:after="0"/>
            </w:pPr>
            <w:r>
              <w:rPr>
                <w:sz w:val="18"/>
              </w:rPr>
              <w:t>69</w:t>
            </w:r>
          </w:p>
        </w:tc>
        <w:tc>
          <w:tcPr>
            <w:tcW w:type="dxa" w:w="3216"/>
            <w:vAlign w:val="center"/>
          </w:tcPr>
          <w:p>
            <w:pPr>
              <w:spacing w:after="0"/>
            </w:pPr>
            <w:r>
              <w:rPr>
                <w:sz w:val="18"/>
              </w:rPr>
              <w:t>1.10%</w:t>
            </w:r>
          </w:p>
        </w:tc>
      </w:tr>
    </w:tbl>
    <w:p/>
    <w:p>
      <w:r>
        <w:t>The same RefSeq WP protein accession can occur in more than one reference assembly; therefore unique-protein counts should not be expected to equal genome-level counts. The genome-level two-domain NucS count remains 5,367.</w:t>
      </w:r>
    </w:p>
    <w:p>
      <w:pPr>
        <w:pStyle w:val="Heading1"/>
      </w:pPr>
      <w:r>
        <w:t>S5. Generic "NucS domain-containing" tier</w:t>
      </w:r>
    </w:p>
    <w:p>
      <w:pPr>
        <w:pStyle w:val="Caption"/>
        <w:jc w:val="center"/>
      </w:pPr>
      <w:r>
        <w:t>Supplementary Table S4. Generic annotation tier at candidate-instance and unique-protein levels</w:t>
      </w:r>
    </w:p>
    <w:tbl>
      <w:tblPr>
        <w:tblStyle w:val="TableGrid"/>
        <w:tblW w:type="auto" w:w="0"/>
        <w:jc w:val="center"/>
        <w:tblLook w:firstColumn="1" w:firstRow="1" w:lastColumn="0" w:lastRow="0" w:noHBand="0" w:noVBand="1" w:val="04A0"/>
      </w:tblPr>
      <w:tblGrid>
        <w:gridCol w:w="1608"/>
        <w:gridCol w:w="1608"/>
        <w:gridCol w:w="1608"/>
        <w:gridCol w:w="1608"/>
        <w:gridCol w:w="1608"/>
        <w:gridCol w:w="1608"/>
      </w:tblGrid>
      <w:tr>
        <w:trPr>
          <w:cantSplit/>
        </w:trPr>
        <w:tc>
          <w:tcPr>
            <w:tcW w:type="dxa" w:w="1608"/>
            <w:vAlign w:val="center"/>
            <w:shd w:fill="D9EAF7"/>
          </w:tcPr>
          <w:p>
            <w:pPr>
              <w:spacing w:after="0"/>
            </w:pPr>
            <w:r>
              <w:rPr>
                <w:b/>
                <w:sz w:val="18"/>
              </w:rPr>
              <w:t>Unit / state</w:t>
            </w:r>
          </w:p>
        </w:tc>
        <w:tc>
          <w:tcPr>
            <w:tcW w:type="dxa" w:w="1608"/>
            <w:vAlign w:val="center"/>
            <w:shd w:fill="D9EAF7"/>
          </w:tcPr>
          <w:p>
            <w:pPr>
              <w:spacing w:after="0"/>
            </w:pPr>
            <w:r>
              <w:rPr>
                <w:b/>
                <w:sz w:val="18"/>
              </w:rPr>
              <w:t>Both</w:t>
            </w:r>
          </w:p>
        </w:tc>
        <w:tc>
          <w:tcPr>
            <w:tcW w:type="dxa" w:w="1608"/>
            <w:vAlign w:val="center"/>
            <w:shd w:fill="D9EAF7"/>
          </w:tcPr>
          <w:p>
            <w:pPr>
              <w:spacing w:after="0"/>
            </w:pPr>
            <w:r>
              <w:rPr>
                <w:b/>
                <w:sz w:val="18"/>
              </w:rPr>
              <w:t>NucS_N only</w:t>
            </w:r>
          </w:p>
        </w:tc>
        <w:tc>
          <w:tcPr>
            <w:tcW w:type="dxa" w:w="1608"/>
            <w:vAlign w:val="center"/>
            <w:shd w:fill="D9EAF7"/>
          </w:tcPr>
          <w:p>
            <w:pPr>
              <w:spacing w:after="0"/>
            </w:pPr>
            <w:r>
              <w:rPr>
                <w:b/>
                <w:sz w:val="18"/>
              </w:rPr>
              <w:t>NucS_C only</w:t>
            </w:r>
          </w:p>
        </w:tc>
        <w:tc>
          <w:tcPr>
            <w:tcW w:type="dxa" w:w="1608"/>
            <w:vAlign w:val="center"/>
            <w:shd w:fill="D9EAF7"/>
          </w:tcPr>
          <w:p>
            <w:pPr>
              <w:spacing w:after="0"/>
            </w:pPr>
            <w:r>
              <w:rPr>
                <w:b/>
                <w:sz w:val="18"/>
              </w:rPr>
              <w:t>Neither</w:t>
            </w:r>
          </w:p>
        </w:tc>
        <w:tc>
          <w:tcPr>
            <w:tcW w:type="dxa" w:w="1608"/>
            <w:vAlign w:val="center"/>
            <w:shd w:fill="D9EAF7"/>
          </w:tcPr>
          <w:p>
            <w:pPr>
              <w:spacing w:after="0"/>
            </w:pPr>
            <w:r>
              <w:rPr>
                <w:b/>
                <w:sz w:val="18"/>
              </w:rPr>
              <w:t>Total</w:t>
            </w:r>
          </w:p>
        </w:tc>
      </w:tr>
      <w:tr>
        <w:trPr>
          <w:cantSplit/>
        </w:trPr>
        <w:tc>
          <w:tcPr>
            <w:tcW w:type="dxa" w:w="1608"/>
            <w:vAlign w:val="center"/>
          </w:tcPr>
          <w:p>
            <w:pPr>
              <w:spacing w:after="0"/>
            </w:pPr>
            <w:r>
              <w:rPr>
                <w:sz w:val="18"/>
              </w:rPr>
              <w:t>Candidate instances</w:t>
            </w:r>
          </w:p>
        </w:tc>
        <w:tc>
          <w:tcPr>
            <w:tcW w:type="dxa" w:w="1608"/>
            <w:vAlign w:val="center"/>
          </w:tcPr>
          <w:p>
            <w:pPr>
              <w:spacing w:after="0"/>
            </w:pPr>
            <w:r>
              <w:rPr>
                <w:sz w:val="18"/>
              </w:rPr>
              <w:t>5</w:t>
            </w:r>
          </w:p>
        </w:tc>
        <w:tc>
          <w:tcPr>
            <w:tcW w:type="dxa" w:w="1608"/>
            <w:vAlign w:val="center"/>
          </w:tcPr>
          <w:p>
            <w:pPr>
              <w:spacing w:after="0"/>
            </w:pPr>
            <w:r>
              <w:rPr>
                <w:sz w:val="18"/>
              </w:rPr>
              <w:t>8</w:t>
            </w:r>
          </w:p>
        </w:tc>
        <w:tc>
          <w:tcPr>
            <w:tcW w:type="dxa" w:w="1608"/>
            <w:vAlign w:val="center"/>
          </w:tcPr>
          <w:p>
            <w:pPr>
              <w:spacing w:after="0"/>
            </w:pPr>
            <w:r>
              <w:rPr>
                <w:sz w:val="18"/>
              </w:rPr>
              <w:t>690</w:t>
            </w:r>
          </w:p>
        </w:tc>
        <w:tc>
          <w:tcPr>
            <w:tcW w:type="dxa" w:w="1608"/>
            <w:vAlign w:val="center"/>
          </w:tcPr>
          <w:p>
            <w:pPr>
              <w:spacing w:after="0"/>
            </w:pPr>
            <w:r>
              <w:rPr>
                <w:sz w:val="18"/>
              </w:rPr>
              <w:t>19</w:t>
            </w:r>
          </w:p>
        </w:tc>
        <w:tc>
          <w:tcPr>
            <w:tcW w:type="dxa" w:w="1608"/>
            <w:vAlign w:val="center"/>
          </w:tcPr>
          <w:p>
            <w:pPr>
              <w:spacing w:after="0"/>
            </w:pPr>
            <w:r>
              <w:rPr>
                <w:sz w:val="18"/>
              </w:rPr>
              <w:t>722</w:t>
            </w:r>
          </w:p>
        </w:tc>
      </w:tr>
      <w:tr>
        <w:trPr>
          <w:cantSplit/>
        </w:trPr>
        <w:tc>
          <w:tcPr>
            <w:tcW w:type="dxa" w:w="1608"/>
            <w:vAlign w:val="center"/>
          </w:tcPr>
          <w:p>
            <w:pPr>
              <w:spacing w:after="0"/>
            </w:pPr>
            <w:r>
              <w:rPr>
                <w:sz w:val="18"/>
              </w:rPr>
              <w:t>Unique protein accessions</w:t>
            </w:r>
          </w:p>
        </w:tc>
        <w:tc>
          <w:tcPr>
            <w:tcW w:type="dxa" w:w="1608"/>
            <w:vAlign w:val="center"/>
          </w:tcPr>
          <w:p>
            <w:pPr>
              <w:spacing w:after="0"/>
            </w:pPr>
            <w:r>
              <w:rPr>
                <w:sz w:val="18"/>
              </w:rPr>
              <w:t>5</w:t>
            </w:r>
          </w:p>
        </w:tc>
        <w:tc>
          <w:tcPr>
            <w:tcW w:type="dxa" w:w="1608"/>
            <w:vAlign w:val="center"/>
          </w:tcPr>
          <w:p>
            <w:pPr>
              <w:spacing w:after="0"/>
            </w:pPr>
            <w:r>
              <w:rPr>
                <w:sz w:val="18"/>
              </w:rPr>
              <w:t>8</w:t>
            </w:r>
          </w:p>
        </w:tc>
        <w:tc>
          <w:tcPr>
            <w:tcW w:type="dxa" w:w="1608"/>
            <w:vAlign w:val="center"/>
          </w:tcPr>
          <w:p>
            <w:pPr>
              <w:spacing w:after="0"/>
            </w:pPr>
            <w:r>
              <w:rPr>
                <w:sz w:val="18"/>
              </w:rPr>
              <w:t>685</w:t>
            </w:r>
          </w:p>
        </w:tc>
        <w:tc>
          <w:tcPr>
            <w:tcW w:type="dxa" w:w="1608"/>
            <w:vAlign w:val="center"/>
          </w:tcPr>
          <w:p>
            <w:pPr>
              <w:spacing w:after="0"/>
            </w:pPr>
            <w:r>
              <w:rPr>
                <w:sz w:val="18"/>
              </w:rPr>
              <w:t>19</w:t>
            </w:r>
          </w:p>
        </w:tc>
        <w:tc>
          <w:tcPr>
            <w:tcW w:type="dxa" w:w="1608"/>
            <w:vAlign w:val="center"/>
          </w:tcPr>
          <w:p>
            <w:pPr>
              <w:spacing w:after="0"/>
            </w:pPr>
            <w:r>
              <w:rPr>
                <w:sz w:val="18"/>
              </w:rPr>
              <w:t>717</w:t>
            </w:r>
          </w:p>
        </w:tc>
      </w:tr>
    </w:tbl>
    <w:p/>
    <w:p>
      <w:pPr>
        <w:pStyle w:val="Caption"/>
        <w:jc w:val="center"/>
      </w:pPr>
      <w:r>
        <w:t>Supplementary Table S5. Generic annotation tier at genome level</w:t>
      </w:r>
    </w:p>
    <w:tbl>
      <w:tblPr>
        <w:tblStyle w:val="TableGrid"/>
        <w:tblW w:type="auto" w:w="0"/>
        <w:jc w:val="center"/>
        <w:tblLook w:firstColumn="1" w:firstRow="1" w:lastColumn="0" w:lastRow="0" w:noHBand="0" w:noVBand="1" w:val="04A0"/>
      </w:tblPr>
      <w:tblGrid>
        <w:gridCol w:w="3216"/>
        <w:gridCol w:w="3216"/>
        <w:gridCol w:w="3216"/>
      </w:tblGrid>
      <w:tr>
        <w:trPr>
          <w:cantSplit/>
        </w:trPr>
        <w:tc>
          <w:tcPr>
            <w:tcW w:type="dxa" w:w="3216"/>
            <w:vAlign w:val="center"/>
            <w:shd w:fill="D9EAF7"/>
          </w:tcPr>
          <w:p>
            <w:pPr>
              <w:spacing w:after="0"/>
            </w:pPr>
            <w:r>
              <w:rPr>
                <w:b/>
                <w:sz w:val="18"/>
              </w:rPr>
              <w:t>Genome-level state</w:t>
            </w:r>
          </w:p>
        </w:tc>
        <w:tc>
          <w:tcPr>
            <w:tcW w:type="dxa" w:w="3216"/>
            <w:vAlign w:val="center"/>
            <w:shd w:fill="D9EAF7"/>
          </w:tcPr>
          <w:p>
            <w:pPr>
              <w:spacing w:after="0"/>
            </w:pPr>
            <w:r>
              <w:rPr>
                <w:b/>
                <w:sz w:val="18"/>
              </w:rPr>
              <w:t>Genomes</w:t>
            </w:r>
          </w:p>
        </w:tc>
        <w:tc>
          <w:tcPr>
            <w:tcW w:type="dxa" w:w="3216"/>
            <w:vAlign w:val="center"/>
            <w:shd w:fill="D9EAF7"/>
          </w:tcPr>
          <w:p>
            <w:pPr>
              <w:spacing w:after="0"/>
            </w:pPr>
            <w:r>
              <w:rPr>
                <w:b/>
                <w:sz w:val="18"/>
              </w:rPr>
              <w:t>Percent of 680 testable</w:t>
            </w:r>
          </w:p>
        </w:tc>
      </w:tr>
      <w:tr>
        <w:trPr>
          <w:cantSplit/>
        </w:trPr>
        <w:tc>
          <w:tcPr>
            <w:tcW w:type="dxa" w:w="3216"/>
            <w:vAlign w:val="center"/>
          </w:tcPr>
          <w:p>
            <w:pPr>
              <w:spacing w:after="0"/>
            </w:pPr>
            <w:r>
              <w:rPr>
                <w:sz w:val="18"/>
              </w:rPr>
              <w:t>Both profiles on the same protein</w:t>
            </w:r>
          </w:p>
        </w:tc>
        <w:tc>
          <w:tcPr>
            <w:tcW w:type="dxa" w:w="3216"/>
            <w:vAlign w:val="center"/>
          </w:tcPr>
          <w:p>
            <w:pPr>
              <w:spacing w:after="0"/>
            </w:pPr>
            <w:r>
              <w:rPr>
                <w:sz w:val="18"/>
              </w:rPr>
              <w:t>5</w:t>
            </w:r>
          </w:p>
        </w:tc>
        <w:tc>
          <w:tcPr>
            <w:tcW w:type="dxa" w:w="3216"/>
            <w:vAlign w:val="center"/>
          </w:tcPr>
          <w:p>
            <w:pPr>
              <w:spacing w:after="0"/>
            </w:pPr>
            <w:r>
              <w:rPr>
                <w:sz w:val="18"/>
              </w:rPr>
              <w:t>0.74%</w:t>
            </w:r>
          </w:p>
        </w:tc>
      </w:tr>
      <w:tr>
        <w:trPr>
          <w:cantSplit/>
        </w:trPr>
        <w:tc>
          <w:tcPr>
            <w:tcW w:type="dxa" w:w="3216"/>
            <w:vAlign w:val="center"/>
          </w:tcPr>
          <w:p>
            <w:pPr>
              <w:spacing w:after="0"/>
            </w:pPr>
            <w:r>
              <w:rPr>
                <w:sz w:val="18"/>
              </w:rPr>
              <w:t>Both profile types present but split across proteins</w:t>
            </w:r>
          </w:p>
        </w:tc>
        <w:tc>
          <w:tcPr>
            <w:tcW w:type="dxa" w:w="3216"/>
            <w:vAlign w:val="center"/>
          </w:tcPr>
          <w:p>
            <w:pPr>
              <w:spacing w:after="0"/>
            </w:pPr>
            <w:r>
              <w:rPr>
                <w:sz w:val="18"/>
              </w:rPr>
              <w:t>1</w:t>
            </w:r>
          </w:p>
        </w:tc>
        <w:tc>
          <w:tcPr>
            <w:tcW w:type="dxa" w:w="3216"/>
            <w:vAlign w:val="center"/>
          </w:tcPr>
          <w:p>
            <w:pPr>
              <w:spacing w:after="0"/>
            </w:pPr>
            <w:r>
              <w:rPr>
                <w:sz w:val="18"/>
              </w:rPr>
              <w:t>0.15%</w:t>
            </w:r>
          </w:p>
        </w:tc>
      </w:tr>
      <w:tr>
        <w:trPr>
          <w:cantSplit/>
        </w:trPr>
        <w:tc>
          <w:tcPr>
            <w:tcW w:type="dxa" w:w="3216"/>
            <w:vAlign w:val="center"/>
          </w:tcPr>
          <w:p>
            <w:pPr>
              <w:spacing w:after="0"/>
            </w:pPr>
            <w:r>
              <w:rPr>
                <w:sz w:val="18"/>
              </w:rPr>
              <w:t>NucS_N only</w:t>
            </w:r>
          </w:p>
        </w:tc>
        <w:tc>
          <w:tcPr>
            <w:tcW w:type="dxa" w:w="3216"/>
            <w:vAlign w:val="center"/>
          </w:tcPr>
          <w:p>
            <w:pPr>
              <w:spacing w:after="0"/>
            </w:pPr>
            <w:r>
              <w:rPr>
                <w:sz w:val="18"/>
              </w:rPr>
              <w:t>7</w:t>
            </w:r>
          </w:p>
        </w:tc>
        <w:tc>
          <w:tcPr>
            <w:tcW w:type="dxa" w:w="3216"/>
            <w:vAlign w:val="center"/>
          </w:tcPr>
          <w:p>
            <w:pPr>
              <w:spacing w:after="0"/>
            </w:pPr>
            <w:r>
              <w:rPr>
                <w:sz w:val="18"/>
              </w:rPr>
              <w:t>1.03%</w:t>
            </w:r>
          </w:p>
        </w:tc>
      </w:tr>
      <w:tr>
        <w:trPr>
          <w:cantSplit/>
        </w:trPr>
        <w:tc>
          <w:tcPr>
            <w:tcW w:type="dxa" w:w="3216"/>
            <w:vAlign w:val="center"/>
          </w:tcPr>
          <w:p>
            <w:pPr>
              <w:spacing w:after="0"/>
            </w:pPr>
            <w:r>
              <w:rPr>
                <w:sz w:val="18"/>
              </w:rPr>
              <w:t>NucS_C only</w:t>
            </w:r>
          </w:p>
        </w:tc>
        <w:tc>
          <w:tcPr>
            <w:tcW w:type="dxa" w:w="3216"/>
            <w:vAlign w:val="center"/>
          </w:tcPr>
          <w:p>
            <w:pPr>
              <w:spacing w:after="0"/>
            </w:pPr>
            <w:r>
              <w:rPr>
                <w:sz w:val="18"/>
              </w:rPr>
              <w:t>650</w:t>
            </w:r>
          </w:p>
        </w:tc>
        <w:tc>
          <w:tcPr>
            <w:tcW w:type="dxa" w:w="3216"/>
            <w:vAlign w:val="center"/>
          </w:tcPr>
          <w:p>
            <w:pPr>
              <w:spacing w:after="0"/>
            </w:pPr>
            <w:r>
              <w:rPr>
                <w:sz w:val="18"/>
              </w:rPr>
              <w:t>95.59%</w:t>
            </w:r>
          </w:p>
        </w:tc>
      </w:tr>
      <w:tr>
        <w:trPr>
          <w:cantSplit/>
        </w:trPr>
        <w:tc>
          <w:tcPr>
            <w:tcW w:type="dxa" w:w="3216"/>
            <w:vAlign w:val="center"/>
          </w:tcPr>
          <w:p>
            <w:pPr>
              <w:spacing w:after="0"/>
            </w:pPr>
            <w:r>
              <w:rPr>
                <w:sz w:val="18"/>
              </w:rPr>
              <w:t>Neither profile</w:t>
            </w:r>
          </w:p>
        </w:tc>
        <w:tc>
          <w:tcPr>
            <w:tcW w:type="dxa" w:w="3216"/>
            <w:vAlign w:val="center"/>
          </w:tcPr>
          <w:p>
            <w:pPr>
              <w:spacing w:after="0"/>
            </w:pPr>
            <w:r>
              <w:rPr>
                <w:sz w:val="18"/>
              </w:rPr>
              <w:t>17</w:t>
            </w:r>
          </w:p>
        </w:tc>
        <w:tc>
          <w:tcPr>
            <w:tcW w:type="dxa" w:w="3216"/>
            <w:vAlign w:val="center"/>
          </w:tcPr>
          <w:p>
            <w:pPr>
              <w:spacing w:after="0"/>
            </w:pPr>
            <w:r>
              <w:rPr>
                <w:sz w:val="18"/>
              </w:rPr>
              <w:t>2.50%</w:t>
            </w:r>
          </w:p>
        </w:tc>
      </w:tr>
    </w:tbl>
    <w:p/>
    <w:p>
      <w:r>
        <w:t>The generic annotation tier comprised 682 genomes. Of these, 680 were testable and two were unresolved because the annotation-positive locus lacked a retrievable protein accession. In the 680 testable genomes, 663 (97.50%) contained at least one NucS-associated profile. Thus, the broad annotation usually reflected genuine domain-level homology, but only five of 682 genomes contained a same-protein candidate satisfying the complete two-domain NucS criterion.</w:t>
      </w:r>
    </w:p>
    <w:p>
      <w:pPr>
        <w:pStyle w:val="Heading1"/>
      </w:pPr>
      <w:r>
        <w:t>S6. Domain-coordinate quality control</w:t>
      </w:r>
    </w:p>
    <w:p>
      <w:r>
        <w:t>Retained HMMER domtblout files from the targeted validation panel were inspected to clarify the expected relative positions of the required profiles. This coordinate panel was used for architecture quality control only and was not used to infer global frequencies.</w:t>
      </w:r>
    </w:p>
    <w:p>
      <w:pPr>
        <w:pStyle w:val="Caption"/>
        <w:jc w:val="center"/>
      </w:pPr>
      <w:r>
        <w:t>Supplementary Table S6. Coordinate-QC summary</w:t>
      </w:r>
    </w:p>
    <w:tbl>
      <w:tblPr>
        <w:tblStyle w:val="TableGrid"/>
        <w:tblW w:type="auto" w:w="0"/>
        <w:jc w:val="center"/>
        <w:tblLook w:firstColumn="1" w:firstRow="1" w:lastColumn="0" w:lastRow="0" w:noHBand="0" w:noVBand="1" w:val="04A0"/>
      </w:tblPr>
      <w:tblGrid>
        <w:gridCol w:w="3216"/>
        <w:gridCol w:w="3216"/>
        <w:gridCol w:w="3216"/>
      </w:tblGrid>
      <w:tr>
        <w:trPr>
          <w:cantSplit/>
        </w:trPr>
        <w:tc>
          <w:tcPr>
            <w:tcW w:type="dxa" w:w="3216"/>
            <w:vAlign w:val="center"/>
            <w:shd w:fill="D9EAF7"/>
          </w:tcPr>
          <w:p>
            <w:pPr>
              <w:spacing w:after="0"/>
            </w:pPr>
            <w:r>
              <w:rPr>
                <w:b/>
                <w:sz w:val="18"/>
              </w:rPr>
              <w:t>Component</w:t>
            </w:r>
          </w:p>
        </w:tc>
        <w:tc>
          <w:tcPr>
            <w:tcW w:type="dxa" w:w="3216"/>
            <w:vAlign w:val="center"/>
            <w:shd w:fill="D9EAF7"/>
          </w:tcPr>
          <w:p>
            <w:pPr>
              <w:spacing w:after="0"/>
            </w:pPr>
            <w:r>
              <w:rPr>
                <w:b/>
                <w:sz w:val="18"/>
              </w:rPr>
              <w:t>Proteins evaluated</w:t>
            </w:r>
          </w:p>
        </w:tc>
        <w:tc>
          <w:tcPr>
            <w:tcW w:type="dxa" w:w="3216"/>
            <w:vAlign w:val="center"/>
            <w:shd w:fill="D9EAF7"/>
          </w:tcPr>
          <w:p>
            <w:pPr>
              <w:spacing w:after="0"/>
            </w:pPr>
            <w:r>
              <w:rPr>
                <w:b/>
                <w:sz w:val="18"/>
              </w:rPr>
              <w:t>Observed order / overlap</w:t>
            </w:r>
          </w:p>
        </w:tc>
      </w:tr>
      <w:tr>
        <w:trPr>
          <w:cantSplit/>
        </w:trPr>
        <w:tc>
          <w:tcPr>
            <w:tcW w:type="dxa" w:w="3216"/>
            <w:vAlign w:val="center"/>
          </w:tcPr>
          <w:p>
            <w:pPr>
              <w:spacing w:after="0"/>
            </w:pPr>
            <w:r>
              <w:rPr>
                <w:sz w:val="18"/>
              </w:rPr>
              <w:t>NucS</w:t>
            </w:r>
          </w:p>
        </w:tc>
        <w:tc>
          <w:tcPr>
            <w:tcW w:type="dxa" w:w="3216"/>
            <w:vAlign w:val="center"/>
          </w:tcPr>
          <w:p>
            <w:pPr>
              <w:spacing w:after="0"/>
            </w:pPr>
            <w:r>
              <w:rPr>
                <w:sz w:val="18"/>
              </w:rPr>
              <w:t>55 proteins with both PF21003 and PF01939</w:t>
            </w:r>
          </w:p>
        </w:tc>
        <w:tc>
          <w:tcPr>
            <w:tcW w:type="dxa" w:w="3216"/>
            <w:vAlign w:val="center"/>
          </w:tcPr>
          <w:p>
            <w:pPr>
              <w:spacing w:after="0"/>
            </w:pPr>
            <w:r>
              <w:rPr>
                <w:sz w:val="18"/>
              </w:rPr>
              <w:t>PF21003 upstream of PF01939 in 55/55; no overlap; gap 6-23 aa, median 8</w:t>
            </w:r>
          </w:p>
        </w:tc>
      </w:tr>
      <w:tr>
        <w:trPr>
          <w:cantSplit/>
        </w:trPr>
        <w:tc>
          <w:tcPr>
            <w:tcW w:type="dxa" w:w="3216"/>
            <w:vAlign w:val="center"/>
          </w:tcPr>
          <w:p>
            <w:pPr>
              <w:spacing w:after="0"/>
            </w:pPr>
            <w:r>
              <w:rPr>
                <w:sz w:val="18"/>
              </w:rPr>
              <w:t>Canonical MutS</w:t>
            </w:r>
          </w:p>
        </w:tc>
        <w:tc>
          <w:tcPr>
            <w:tcW w:type="dxa" w:w="3216"/>
            <w:vAlign w:val="center"/>
          </w:tcPr>
          <w:p>
            <w:pPr>
              <w:spacing w:after="0"/>
            </w:pPr>
            <w:r>
              <w:rPr>
                <w:sz w:val="18"/>
              </w:rPr>
              <w:t>51 proteins with all five profiles</w:t>
            </w:r>
          </w:p>
        </w:tc>
        <w:tc>
          <w:tcPr>
            <w:tcW w:type="dxa" w:w="3216"/>
            <w:vAlign w:val="center"/>
          </w:tcPr>
          <w:p>
            <w:pPr>
              <w:spacing w:after="0"/>
            </w:pPr>
            <w:r>
              <w:rPr>
                <w:sz w:val="18"/>
              </w:rPr>
              <w:t>Expected PF01624-PF05188-PF05192-PF05190-PF00488 order in 51/51; PF05192/PF05190 overlap 89-92 aa, median 90</w:t>
            </w:r>
          </w:p>
        </w:tc>
      </w:tr>
      <w:tr>
        <w:trPr>
          <w:cantSplit/>
        </w:trPr>
        <w:tc>
          <w:tcPr>
            <w:tcW w:type="dxa" w:w="3216"/>
            <w:vAlign w:val="center"/>
          </w:tcPr>
          <w:p>
            <w:pPr>
              <w:spacing w:after="0"/>
            </w:pPr>
            <w:r>
              <w:rPr>
                <w:sz w:val="18"/>
              </w:rPr>
              <w:t>MutL principal pair</w:t>
            </w:r>
          </w:p>
        </w:tc>
        <w:tc>
          <w:tcPr>
            <w:tcW w:type="dxa" w:w="3216"/>
            <w:vAlign w:val="center"/>
          </w:tcPr>
          <w:p>
            <w:pPr>
              <w:spacing w:after="0"/>
            </w:pPr>
            <w:r>
              <w:rPr>
                <w:sz w:val="18"/>
              </w:rPr>
              <w:t>51 proteins</w:t>
            </w:r>
          </w:p>
        </w:tc>
        <w:tc>
          <w:tcPr>
            <w:tcW w:type="dxa" w:w="3216"/>
            <w:vAlign w:val="center"/>
          </w:tcPr>
          <w:p>
            <w:pPr>
              <w:spacing w:after="0"/>
            </w:pPr>
            <w:r>
              <w:rPr>
                <w:sz w:val="18"/>
              </w:rPr>
              <w:t>PF01119 upstream of PF08676 in 51/51; no overlap; gap 30-159 aa, median 33</w:t>
            </w:r>
          </w:p>
        </w:tc>
      </w:tr>
      <w:tr>
        <w:trPr>
          <w:cantSplit/>
        </w:trPr>
        <w:tc>
          <w:tcPr>
            <w:tcW w:type="dxa" w:w="3216"/>
            <w:vAlign w:val="center"/>
          </w:tcPr>
          <w:p>
            <w:pPr>
              <w:spacing w:after="0"/>
            </w:pPr>
            <w:r>
              <w:rPr>
                <w:sz w:val="18"/>
              </w:rPr>
              <w:t>MutL supplementary PF13589</w:t>
            </w:r>
          </w:p>
        </w:tc>
        <w:tc>
          <w:tcPr>
            <w:tcW w:type="dxa" w:w="3216"/>
            <w:vAlign w:val="center"/>
          </w:tcPr>
          <w:p>
            <w:pPr>
              <w:spacing w:after="0"/>
            </w:pPr>
            <w:r>
              <w:rPr>
                <w:sz w:val="18"/>
              </w:rPr>
              <w:t>32/51 proteins</w:t>
            </w:r>
          </w:p>
        </w:tc>
        <w:tc>
          <w:tcPr>
            <w:tcW w:type="dxa" w:w="3216"/>
            <w:vAlign w:val="center"/>
          </w:tcPr>
          <w:p>
            <w:pPr>
              <w:spacing w:after="0"/>
            </w:pPr>
            <w:r>
              <w:rPr>
                <w:sz w:val="18"/>
              </w:rPr>
              <w:t>PF13589 upstream of PF01119 and non-overlapping; supplementary only</w:t>
            </w:r>
          </w:p>
        </w:tc>
      </w:tr>
    </w:tbl>
    <w:p/>
    <w:p>
      <w:pPr>
        <w:pStyle w:val="Heading1"/>
      </w:pPr>
      <w:r>
        <w:t>S7. Final MutS/SMR classifier correction</w:t>
      </w:r>
    </w:p>
    <w:p>
      <w:r>
        <w:t>Quality control identified an overly broad implementation in an earlier MutS classifier: a genome-level PF01713 (SMR) flag could penalize a canonical five-domain MutS candidate when the SMR domain was located on a different protein in the same genome. The final classifier therefore applied the SMR warning only when PF01713 occurred on the same protein that carried all five canonical MutS profiles.</w:t>
      </w:r>
    </w:p>
    <w:p>
      <w:r>
        <w:t>This correction changed the global MutS classification, but it did not change the central profile-supported overlap result: the final dataset still contained 470 genomes meeting the defined criteria for two-domain NucS, canonical MutS and MutL. The main manuscript reports only the corrected final classifier outputs.</w:t>
      </w:r>
    </w:p>
    <w:p>
      <w:pPr>
        <w:pStyle w:val="Heading1"/>
      </w:pPr>
      <w:r>
        <w:t>S8. Final profile-supported counts, concordance and Jaccard overlap</w:t>
      </w:r>
    </w:p>
    <w:p>
      <w:pPr>
        <w:pStyle w:val="Caption"/>
        <w:pageBreakBefore/>
        <w:jc w:val="center"/>
      </w:pPr>
      <w:r>
        <w:t>Supplementary Table S7. Final profile-supported counts</w:t>
      </w:r>
    </w:p>
    <w:tbl>
      <w:tblPr>
        <w:tblStyle w:val="TableGrid"/>
        <w:tblW w:type="auto" w:w="0"/>
        <w:jc w:val="center"/>
        <w:tblLook w:firstColumn="1" w:firstRow="1" w:lastColumn="0" w:lastRow="0" w:noHBand="0" w:noVBand="1" w:val="04A0"/>
      </w:tblPr>
      <w:tblGrid>
        <w:gridCol w:w="4824"/>
        <w:gridCol w:w="4824"/>
      </w:tblGrid>
      <w:tr>
        <w:trPr>
          <w:cantSplit/>
        </w:trPr>
        <w:tc>
          <w:tcPr>
            <w:tcW w:type="dxa" w:w="4824"/>
            <w:vAlign w:val="center"/>
            <w:shd w:fill="D9EAF7"/>
          </w:tcPr>
          <w:p>
            <w:pPr>
              <w:spacing w:after="0"/>
            </w:pPr>
            <w:r>
              <w:rPr>
                <w:b/>
                <w:sz w:val="18"/>
              </w:rPr>
              <w:t>Result</w:t>
            </w:r>
          </w:p>
        </w:tc>
        <w:tc>
          <w:tcPr>
            <w:tcW w:type="dxa" w:w="4824"/>
            <w:vAlign w:val="center"/>
            <w:shd w:fill="D9EAF7"/>
          </w:tcPr>
          <w:p>
            <w:pPr>
              <w:spacing w:after="0"/>
            </w:pPr>
            <w:r>
              <w:rPr>
                <w:b/>
                <w:sz w:val="18"/>
              </w:rPr>
              <w:t>Genomes</w:t>
            </w:r>
          </w:p>
        </w:tc>
      </w:tr>
      <w:tr>
        <w:trPr>
          <w:cantSplit/>
        </w:trPr>
        <w:tc>
          <w:tcPr>
            <w:tcW w:type="dxa" w:w="4824"/>
            <w:vAlign w:val="center"/>
          </w:tcPr>
          <w:p>
            <w:pPr>
              <w:spacing w:after="0"/>
            </w:pPr>
            <w:r>
              <w:rPr>
                <w:sz w:val="18"/>
              </w:rPr>
              <w:t>Strong canonical MutS</w:t>
            </w:r>
          </w:p>
        </w:tc>
        <w:tc>
          <w:tcPr>
            <w:tcW w:type="dxa" w:w="4824"/>
            <w:vAlign w:val="center"/>
          </w:tcPr>
          <w:p>
            <w:pPr>
              <w:spacing w:after="0"/>
            </w:pPr>
            <w:r>
              <w:rPr>
                <w:sz w:val="18"/>
              </w:rPr>
              <w:t>17,023</w:t>
            </w:r>
          </w:p>
        </w:tc>
      </w:tr>
      <w:tr>
        <w:trPr>
          <w:cantSplit/>
        </w:trPr>
        <w:tc>
          <w:tcPr>
            <w:tcW w:type="dxa" w:w="4824"/>
            <w:vAlign w:val="center"/>
          </w:tcPr>
          <w:p>
            <w:pPr>
              <w:spacing w:after="0"/>
            </w:pPr>
            <w:r>
              <w:rPr>
                <w:sz w:val="18"/>
              </w:rPr>
              <w:t>Strong MutL</w:t>
            </w:r>
          </w:p>
        </w:tc>
        <w:tc>
          <w:tcPr>
            <w:tcW w:type="dxa" w:w="4824"/>
            <w:vAlign w:val="center"/>
          </w:tcPr>
          <w:p>
            <w:pPr>
              <w:spacing w:after="0"/>
            </w:pPr>
            <w:r>
              <w:rPr>
                <w:sz w:val="18"/>
              </w:rPr>
              <w:t>17,136</w:t>
            </w:r>
          </w:p>
        </w:tc>
      </w:tr>
      <w:tr>
        <w:trPr>
          <w:cantSplit/>
        </w:trPr>
        <w:tc>
          <w:tcPr>
            <w:tcW w:type="dxa" w:w="4824"/>
            <w:vAlign w:val="center"/>
          </w:tcPr>
          <w:p>
            <w:pPr>
              <w:spacing w:after="0"/>
            </w:pPr>
            <w:r>
              <w:rPr>
                <w:sz w:val="18"/>
              </w:rPr>
              <w:t>Two-domain NucS</w:t>
            </w:r>
          </w:p>
        </w:tc>
        <w:tc>
          <w:tcPr>
            <w:tcW w:type="dxa" w:w="4824"/>
            <w:vAlign w:val="center"/>
          </w:tcPr>
          <w:p>
            <w:pPr>
              <w:spacing w:after="0"/>
            </w:pPr>
            <w:r>
              <w:rPr>
                <w:sz w:val="18"/>
              </w:rPr>
              <w:t>5,367</w:t>
            </w:r>
          </w:p>
        </w:tc>
      </w:tr>
      <w:tr>
        <w:trPr>
          <w:cantSplit/>
        </w:trPr>
        <w:tc>
          <w:tcPr>
            <w:tcW w:type="dxa" w:w="4824"/>
            <w:vAlign w:val="center"/>
          </w:tcPr>
          <w:p>
            <w:pPr>
              <w:spacing w:after="0"/>
            </w:pPr>
            <w:r>
              <w:rPr>
                <w:sz w:val="18"/>
              </w:rPr>
              <w:t>Strong MutS-MutL</w:t>
            </w:r>
          </w:p>
        </w:tc>
        <w:tc>
          <w:tcPr>
            <w:tcW w:type="dxa" w:w="4824"/>
            <w:vAlign w:val="center"/>
          </w:tcPr>
          <w:p>
            <w:pPr>
              <w:spacing w:after="0"/>
            </w:pPr>
            <w:r>
              <w:rPr>
                <w:sz w:val="18"/>
              </w:rPr>
              <w:t>16,636</w:t>
            </w:r>
          </w:p>
        </w:tc>
      </w:tr>
      <w:tr>
        <w:trPr>
          <w:cantSplit/>
        </w:trPr>
        <w:tc>
          <w:tcPr>
            <w:tcW w:type="dxa" w:w="4824"/>
            <w:vAlign w:val="center"/>
          </w:tcPr>
          <w:p>
            <w:pPr>
              <w:spacing w:after="0"/>
            </w:pPr>
            <w:r>
              <w:rPr>
                <w:sz w:val="18"/>
              </w:rPr>
              <w:t>NucS + canonical MutS + MutL</w:t>
            </w:r>
          </w:p>
        </w:tc>
        <w:tc>
          <w:tcPr>
            <w:tcW w:type="dxa" w:w="4824"/>
            <w:vAlign w:val="center"/>
          </w:tcPr>
          <w:p>
            <w:pPr>
              <w:spacing w:after="0"/>
            </w:pPr>
            <w:r>
              <w:rPr>
                <w:sz w:val="18"/>
              </w:rPr>
              <w:t>470</w:t>
            </w:r>
          </w:p>
        </w:tc>
      </w:tr>
      <w:tr>
        <w:trPr>
          <w:cantSplit/>
        </w:trPr>
        <w:tc>
          <w:tcPr>
            <w:tcW w:type="dxa" w:w="4824"/>
            <w:vAlign w:val="center"/>
          </w:tcPr>
          <w:p>
            <w:pPr>
              <w:spacing w:after="0"/>
            </w:pPr>
            <w:r>
              <w:rPr>
                <w:sz w:val="18"/>
              </w:rPr>
              <w:t>Strong MutS-MutL; NucS not profile-positive</w:t>
            </w:r>
          </w:p>
        </w:tc>
        <w:tc>
          <w:tcPr>
            <w:tcW w:type="dxa" w:w="4824"/>
            <w:vAlign w:val="center"/>
          </w:tcPr>
          <w:p>
            <w:pPr>
              <w:spacing w:after="0"/>
            </w:pPr>
            <w:r>
              <w:rPr>
                <w:sz w:val="18"/>
              </w:rPr>
              <w:t>16,166</w:t>
            </w:r>
          </w:p>
        </w:tc>
      </w:tr>
      <w:tr>
        <w:trPr>
          <w:cantSplit/>
        </w:trPr>
        <w:tc>
          <w:tcPr>
            <w:tcW w:type="dxa" w:w="4824"/>
            <w:vAlign w:val="center"/>
          </w:tcPr>
          <w:p>
            <w:pPr>
              <w:spacing w:after="0"/>
            </w:pPr>
            <w:r>
              <w:rPr>
                <w:sz w:val="18"/>
              </w:rPr>
              <w:t>NucS profile-positive; MutS-MutL not both strong</w:t>
            </w:r>
          </w:p>
        </w:tc>
        <w:tc>
          <w:tcPr>
            <w:tcW w:type="dxa" w:w="4824"/>
            <w:vAlign w:val="center"/>
          </w:tcPr>
          <w:p>
            <w:pPr>
              <w:spacing w:after="0"/>
            </w:pPr>
            <w:r>
              <w:rPr>
                <w:sz w:val="18"/>
              </w:rPr>
              <w:t>4,895</w:t>
            </w:r>
          </w:p>
        </w:tc>
      </w:tr>
      <w:tr>
        <w:trPr>
          <w:cantSplit/>
        </w:trPr>
        <w:tc>
          <w:tcPr>
            <w:tcW w:type="dxa" w:w="4824"/>
            <w:vAlign w:val="center"/>
          </w:tcPr>
          <w:p>
            <w:pPr>
              <w:spacing w:after="0"/>
            </w:pPr>
            <w:r>
              <w:rPr>
                <w:sz w:val="18"/>
              </w:rPr>
              <w:t>Mixed profile state</w:t>
            </w:r>
          </w:p>
        </w:tc>
        <w:tc>
          <w:tcPr>
            <w:tcW w:type="dxa" w:w="4824"/>
            <w:vAlign w:val="center"/>
          </w:tcPr>
          <w:p>
            <w:pPr>
              <w:spacing w:after="0"/>
            </w:pPr>
            <w:r>
              <w:rPr>
                <w:sz w:val="18"/>
              </w:rPr>
              <w:t>887</w:t>
            </w:r>
          </w:p>
        </w:tc>
      </w:tr>
      <w:tr>
        <w:trPr>
          <w:cantSplit/>
        </w:trPr>
        <w:tc>
          <w:tcPr>
            <w:tcW w:type="dxa" w:w="4824"/>
            <w:vAlign w:val="center"/>
          </w:tcPr>
          <w:p>
            <w:pPr>
              <w:spacing w:after="0"/>
            </w:pPr>
            <w:r>
              <w:rPr>
                <w:sz w:val="18"/>
              </w:rPr>
              <w:t>No strong profile-positive system</w:t>
            </w:r>
          </w:p>
        </w:tc>
        <w:tc>
          <w:tcPr>
            <w:tcW w:type="dxa" w:w="4824"/>
            <w:vAlign w:val="center"/>
          </w:tcPr>
          <w:p>
            <w:pPr>
              <w:spacing w:after="0"/>
            </w:pPr>
            <w:r>
              <w:rPr>
                <w:sz w:val="18"/>
              </w:rPr>
              <w:t>1,017</w:t>
            </w:r>
          </w:p>
        </w:tc>
      </w:tr>
    </w:tbl>
    <w:p/>
    <w:p>
      <w:r>
        <w:t>Canonical MutS annotations were present in 17,590 genomes, of which 17,023 met the strong five-profile criterion (96.78%). MutL annotations were present in 17,641 genomes, of which 17,136 met the PF01119/PF08676 strong criterion (97.14%).</w:t>
      </w:r>
    </w:p>
    <w:p>
      <w:r>
        <w:t>For the system-overlap calculation, two-domain NucS was present in 5,367 genomes and strong MutS-MutL in 16,636. The intersection was 470 genomes and the union 21,533, giving a Jaccard index of 470/21,533 = 0.02182696 (2.18%). This metric describes overlap among validated-positive sets and is not an exhaustive biological mutual-exclusivity estimate.</w:t>
      </w:r>
    </w:p>
    <w:p>
      <w:pPr>
        <w:pStyle w:val="Heading1"/>
      </w:pPr>
      <w:r>
        <w:t>S9. Unresolved annotation bookkeeping</w:t>
      </w:r>
    </w:p>
    <w:p>
      <w:r>
        <w:t>Unresolved annotations were retained rather than converted into profile failures. For NucS, 22 genomes contained at least one annotation-positive locus without a retrievable protein accession in the final NucS evidence table. During final cleanup, locus-level quality-control flags also identified 235 MutS genomes and 257 MutL genomes with at least one unresolved annotated locus.</w:t>
      </w:r>
    </w:p>
    <w:p>
      <w:r>
        <w:t>These locus-level flags are not equivalent to the mutually exclusive final genome-state categories reported in the main Results. The final mutually exclusive MutS classification includes 200 annotation-positive genomes lacking a protein accession, and the corresponding MutL classification includes 163. The locus-level counts should therefore not be substituted for, added to, or subtracted from those final genome-state categories; they are retained as supplementary bookkeeping of unresolved annotated loci.</w:t>
      </w:r>
    </w:p>
    <w:p>
      <w:pPr>
        <w:pStyle w:val="Heading1"/>
      </w:pPr>
      <w:r>
        <w:t>S10. Taxonomic concentration and comparison with 2017</w:t>
      </w:r>
    </w:p>
    <w:p>
      <w:pPr>
        <w:pStyle w:val="Caption"/>
        <w:spacing w:before="0" w:after="40"/>
        <w:jc w:val="center"/>
      </w:pPr>
      <w:r>
        <w:rPr>
          <w:sz w:val="16"/>
        </w:rPr>
        <w:t>Supplementary Table S8. Composition of the 470 profile-supported coexistence genomes</w:t>
      </w:r>
    </w:p>
    <w:tbl>
      <w:tblPr>
        <w:tblStyle w:val="TableGrid"/>
        <w:tblW w:type="auto" w:w="0"/>
        <w:jc w:val="center"/>
        <w:tblLook w:firstColumn="1" w:firstRow="1" w:lastColumn="0" w:lastRow="0" w:noHBand="0" w:noVBand="1" w:val="04A0"/>
      </w:tblPr>
      <w:tblGrid>
        <w:gridCol w:w="3216"/>
        <w:gridCol w:w="3216"/>
        <w:gridCol w:w="3216"/>
      </w:tblGrid>
      <w:tr>
        <w:trPr>
          <w:cantSplit/>
        </w:trPr>
        <w:tc>
          <w:tcPr>
            <w:tcW w:type="dxa" w:w="3216"/>
            <w:vAlign w:val="center"/>
            <w:shd w:fill="D9EAF7"/>
          </w:tcPr>
          <w:p>
            <w:pPr>
              <w:spacing w:after="0" w:before="0" w:line="240" w:lineRule="auto"/>
            </w:pPr>
            <w:r>
              <w:rPr>
                <w:b/>
                <w:sz w:val="16"/>
              </w:rPr>
              <w:t>Taxonomic group</w:t>
            </w:r>
          </w:p>
        </w:tc>
        <w:tc>
          <w:tcPr>
            <w:tcW w:type="dxa" w:w="3216"/>
            <w:vAlign w:val="center"/>
            <w:shd w:fill="D9EAF7"/>
          </w:tcPr>
          <w:p>
            <w:pPr>
              <w:spacing w:after="0" w:before="0" w:line="240" w:lineRule="auto"/>
            </w:pPr>
            <w:r>
              <w:rPr>
                <w:b/>
                <w:sz w:val="16"/>
              </w:rPr>
              <w:t>Genomes</w:t>
            </w:r>
          </w:p>
        </w:tc>
        <w:tc>
          <w:tcPr>
            <w:tcW w:type="dxa" w:w="3216"/>
            <w:vAlign w:val="center"/>
            <w:shd w:fill="D9EAF7"/>
          </w:tcPr>
          <w:p>
            <w:pPr>
              <w:spacing w:after="0" w:before="0" w:line="240" w:lineRule="auto"/>
            </w:pPr>
            <w:r>
              <w:rPr>
                <w:b/>
                <w:sz w:val="16"/>
              </w:rPr>
              <w:t>Percent of coexistence set</w:t>
            </w:r>
          </w:p>
        </w:tc>
      </w:tr>
      <w:tr>
        <w:trPr>
          <w:cantSplit/>
        </w:trPr>
        <w:tc>
          <w:tcPr>
            <w:tcW w:type="dxa" w:w="3216"/>
            <w:vAlign w:val="center"/>
          </w:tcPr>
          <w:p>
            <w:pPr>
              <w:spacing w:after="0" w:before="0" w:line="240" w:lineRule="auto"/>
            </w:pPr>
            <w:r>
              <w:rPr>
                <w:sz w:val="16"/>
              </w:rPr>
              <w:t>Halobacteria</w:t>
            </w:r>
          </w:p>
        </w:tc>
        <w:tc>
          <w:tcPr>
            <w:tcW w:type="dxa" w:w="3216"/>
            <w:vAlign w:val="center"/>
          </w:tcPr>
          <w:p>
            <w:pPr>
              <w:spacing w:after="0" w:before="0" w:line="240" w:lineRule="auto"/>
            </w:pPr>
            <w:r>
              <w:rPr>
                <w:sz w:val="16"/>
              </w:rPr>
              <w:t>421</w:t>
            </w:r>
          </w:p>
        </w:tc>
        <w:tc>
          <w:tcPr>
            <w:tcW w:type="dxa" w:w="3216"/>
            <w:vAlign w:val="center"/>
          </w:tcPr>
          <w:p>
            <w:pPr>
              <w:spacing w:after="0" w:before="0" w:line="240" w:lineRule="auto"/>
            </w:pPr>
            <w:r>
              <w:rPr>
                <w:sz w:val="16"/>
              </w:rPr>
              <w:t>89.57%</w:t>
            </w:r>
          </w:p>
        </w:tc>
      </w:tr>
      <w:tr>
        <w:trPr>
          <w:cantSplit/>
        </w:trPr>
        <w:tc>
          <w:tcPr>
            <w:tcW w:type="dxa" w:w="3216"/>
            <w:vAlign w:val="center"/>
          </w:tcPr>
          <w:p>
            <w:pPr>
              <w:spacing w:after="0" w:before="0" w:line="240" w:lineRule="auto"/>
            </w:pPr>
            <w:r>
              <w:rPr>
                <w:sz w:val="16"/>
              </w:rPr>
              <w:t>Deinococcota (class Deinococci)</w:t>
            </w:r>
          </w:p>
        </w:tc>
        <w:tc>
          <w:tcPr>
            <w:tcW w:type="dxa" w:w="3216"/>
            <w:vAlign w:val="center"/>
          </w:tcPr>
          <w:p>
            <w:pPr>
              <w:spacing w:after="0" w:before="0" w:line="240" w:lineRule="auto"/>
            </w:pPr>
            <w:r>
              <w:rPr>
                <w:sz w:val="16"/>
              </w:rPr>
              <w:t>48</w:t>
            </w:r>
          </w:p>
        </w:tc>
        <w:tc>
          <w:tcPr>
            <w:tcW w:type="dxa" w:w="3216"/>
            <w:vAlign w:val="center"/>
          </w:tcPr>
          <w:p>
            <w:pPr>
              <w:spacing w:after="0" w:before="0" w:line="240" w:lineRule="auto"/>
            </w:pPr>
            <w:r>
              <w:rPr>
                <w:sz w:val="16"/>
              </w:rPr>
              <w:t>10.21%</w:t>
            </w:r>
          </w:p>
        </w:tc>
      </w:tr>
      <w:tr>
        <w:trPr>
          <w:cantSplit/>
        </w:trPr>
        <w:tc>
          <w:tcPr>
            <w:tcW w:type="dxa" w:w="3216"/>
            <w:vAlign w:val="center"/>
          </w:tcPr>
          <w:p>
            <w:pPr>
              <w:spacing w:after="0" w:before="0" w:line="240" w:lineRule="auto"/>
            </w:pPr>
            <w:r>
              <w:rPr>
                <w:sz w:val="16"/>
              </w:rPr>
              <w:t>Pseudomonadota candidate</w:t>
            </w:r>
          </w:p>
        </w:tc>
        <w:tc>
          <w:tcPr>
            <w:tcW w:type="dxa" w:w="3216"/>
            <w:vAlign w:val="center"/>
          </w:tcPr>
          <w:p>
            <w:pPr>
              <w:spacing w:after="0" w:before="0" w:line="240" w:lineRule="auto"/>
            </w:pPr>
            <w:r>
              <w:rPr>
                <w:sz w:val="16"/>
              </w:rPr>
              <w:t>1</w:t>
            </w:r>
          </w:p>
        </w:tc>
        <w:tc>
          <w:tcPr>
            <w:tcW w:type="dxa" w:w="3216"/>
            <w:vAlign w:val="center"/>
          </w:tcPr>
          <w:p>
            <w:pPr>
              <w:spacing w:after="0" w:before="0" w:line="240" w:lineRule="auto"/>
            </w:pPr>
            <w:r>
              <w:rPr>
                <w:sz w:val="16"/>
              </w:rPr>
              <w:t>0.21%</w:t>
            </w:r>
          </w:p>
        </w:tc>
      </w:tr>
    </w:tbl>
    <w:p/>
    <w:p>
      <w:r>
        <w:t>The 470 assemblies corresponded to 470 distinct current NCBI species names, 85 genera and 13 families. Within the August 2026 reference collection, 421/459 Halobacteria references (91.72%) and 48/137 Deinococcota/class Deinococci references (35.04%) met all three profile criteria. These are descriptive fractions of the reference collection.</w:t>
      </w:r>
    </w:p>
    <w:p>
      <w:r>
        <w:t>The single Pseudomonadota case was assigned to Lysobacter korlensis assembly GCF_042434515.1. The NCBI assembly-quality report contained a CheckM contamination estimate of 76.26%. The assembly was therefore retained as an unresolved assembly-level candidate and not treated as evidence of an established additional coexistence lineage.</w:t>
      </w:r>
    </w:p>
    <w:p>
      <w:r>
        <w:t>The 2017 study screened 3,942 reference proteomes overall, including 2,709 Bacteria and 132 Archaea, and reported 28 coexistence organisms (21 Halobacteria and seven Deinococcus-Thermus). The present prokaryotic collection is approximately 8.25 times larger than the 2,841 prokaryotic proteomes in the 2017 screen. The dominant lineage restriction is therefore treated as a confirmed historical pattern; the added contribution of the present survey is the expanded current catalogue and the architecture/annotation audit.</w:t>
      </w:r>
    </w:p>
    <w:p>
      <w:pPr>
        <w:pStyle w:val="Heading1"/>
      </w:pPr>
      <w:r>
        <w:t>S11. Arithmetic and consistency checks</w:t>
      </w:r>
    </w:p>
    <w:p>
      <w:pPr>
        <w:pStyle w:val="Caption"/>
        <w:jc w:val="center"/>
      </w:pPr>
      <w:r>
        <w:t>Supplementary Table S9. Internal count reconciliation</w:t>
      </w:r>
    </w:p>
    <w:tbl>
      <w:tblPr>
        <w:tblStyle w:val="TableGrid"/>
        <w:tblW w:type="auto" w:w="0"/>
        <w:jc w:val="center"/>
        <w:tblLook w:firstColumn="1" w:firstRow="1" w:lastColumn="0" w:lastRow="0" w:noHBand="0" w:noVBand="1" w:val="04A0"/>
      </w:tblPr>
      <w:tblGrid>
        <w:gridCol w:w="3216"/>
        <w:gridCol w:w="3216"/>
        <w:gridCol w:w="3216"/>
      </w:tblGrid>
      <w:tr>
        <w:trPr>
          <w:cantSplit/>
        </w:trPr>
        <w:tc>
          <w:tcPr>
            <w:tcW w:type="dxa" w:w="3216"/>
            <w:vAlign w:val="center"/>
            <w:shd w:fill="D9EAF7"/>
          </w:tcPr>
          <w:p>
            <w:pPr>
              <w:spacing w:after="0"/>
            </w:pPr>
            <w:r>
              <w:rPr>
                <w:b/>
                <w:sz w:val="18"/>
              </w:rPr>
              <w:t>Partition</w:t>
            </w:r>
          </w:p>
        </w:tc>
        <w:tc>
          <w:tcPr>
            <w:tcW w:type="dxa" w:w="3216"/>
            <w:vAlign w:val="center"/>
            <w:shd w:fill="D9EAF7"/>
          </w:tcPr>
          <w:p>
            <w:pPr>
              <w:spacing w:after="0"/>
            </w:pPr>
            <w:r>
              <w:rPr>
                <w:b/>
                <w:sz w:val="18"/>
              </w:rPr>
              <w:t>Component counts</w:t>
            </w:r>
          </w:p>
        </w:tc>
        <w:tc>
          <w:tcPr>
            <w:tcW w:type="dxa" w:w="3216"/>
            <w:vAlign w:val="center"/>
            <w:shd w:fill="D9EAF7"/>
          </w:tcPr>
          <w:p>
            <w:pPr>
              <w:spacing w:after="0"/>
            </w:pPr>
            <w:r>
              <w:rPr>
                <w:b/>
                <w:sz w:val="18"/>
              </w:rPr>
              <w:t>Sum</w:t>
            </w:r>
          </w:p>
        </w:tc>
      </w:tr>
      <w:tr>
        <w:trPr>
          <w:cantSplit/>
        </w:trPr>
        <w:tc>
          <w:tcPr>
            <w:tcW w:type="dxa" w:w="3216"/>
            <w:vAlign w:val="center"/>
          </w:tcPr>
          <w:p>
            <w:pPr>
              <w:spacing w:after="0"/>
            </w:pPr>
            <w:r>
              <w:rPr>
                <w:sz w:val="18"/>
              </w:rPr>
              <w:t>Annotation-screen states</w:t>
            </w:r>
          </w:p>
        </w:tc>
        <w:tc>
          <w:tcPr>
            <w:tcW w:type="dxa" w:w="3216"/>
            <w:vAlign w:val="center"/>
          </w:tcPr>
          <w:p>
            <w:pPr>
              <w:spacing w:after="0"/>
            </w:pPr>
            <w:r>
              <w:rPr>
                <w:sz w:val="18"/>
              </w:rPr>
              <w:t>16,388 + 4,839 + 1,145 + 898 + 165</w:t>
            </w:r>
          </w:p>
        </w:tc>
        <w:tc>
          <w:tcPr>
            <w:tcW w:type="dxa" w:w="3216"/>
            <w:vAlign w:val="center"/>
          </w:tcPr>
          <w:p>
            <w:pPr>
              <w:spacing w:after="0"/>
            </w:pPr>
            <w:r>
              <w:rPr>
                <w:sz w:val="18"/>
              </w:rPr>
              <w:t>23,435</w:t>
            </w:r>
          </w:p>
        </w:tc>
      </w:tr>
      <w:tr>
        <w:trPr>
          <w:cantSplit/>
        </w:trPr>
        <w:tc>
          <w:tcPr>
            <w:tcW w:type="dxa" w:w="3216"/>
            <w:vAlign w:val="center"/>
          </w:tcPr>
          <w:p>
            <w:pPr>
              <w:spacing w:after="0"/>
            </w:pPr>
            <w:r>
              <w:rPr>
                <w:sz w:val="18"/>
              </w:rPr>
              <w:t>NucS evidence states</w:t>
            </w:r>
          </w:p>
        </w:tc>
        <w:tc>
          <w:tcPr>
            <w:tcW w:type="dxa" w:w="3216"/>
            <w:vAlign w:val="center"/>
          </w:tcPr>
          <w:p>
            <w:pPr>
              <w:spacing w:after="0"/>
            </w:pPr>
            <w:r>
              <w:rPr>
                <w:sz w:val="18"/>
              </w:rPr>
              <w:t>5,367 + 680 + 22 + 17,366</w:t>
            </w:r>
          </w:p>
        </w:tc>
        <w:tc>
          <w:tcPr>
            <w:tcW w:type="dxa" w:w="3216"/>
            <w:vAlign w:val="center"/>
          </w:tcPr>
          <w:p>
            <w:pPr>
              <w:spacing w:after="0"/>
            </w:pPr>
            <w:r>
              <w:rPr>
                <w:sz w:val="18"/>
              </w:rPr>
              <w:t>23,435</w:t>
            </w:r>
          </w:p>
        </w:tc>
      </w:tr>
      <w:tr>
        <w:trPr>
          <w:cantSplit/>
        </w:trPr>
        <w:tc>
          <w:tcPr>
            <w:tcW w:type="dxa" w:w="3216"/>
            <w:vAlign w:val="center"/>
          </w:tcPr>
          <w:p>
            <w:pPr>
              <w:spacing w:after="0"/>
            </w:pPr>
            <w:r>
              <w:rPr>
                <w:sz w:val="18"/>
              </w:rPr>
              <w:t>Final combined profile states</w:t>
            </w:r>
          </w:p>
        </w:tc>
        <w:tc>
          <w:tcPr>
            <w:tcW w:type="dxa" w:w="3216"/>
            <w:vAlign w:val="center"/>
          </w:tcPr>
          <w:p>
            <w:pPr>
              <w:spacing w:after="0"/>
            </w:pPr>
            <w:r>
              <w:rPr>
                <w:sz w:val="18"/>
              </w:rPr>
              <w:t>16,166 + 4,895 + 887 + 1,017 + 470</w:t>
            </w:r>
          </w:p>
        </w:tc>
        <w:tc>
          <w:tcPr>
            <w:tcW w:type="dxa" w:w="3216"/>
            <w:vAlign w:val="center"/>
          </w:tcPr>
          <w:p>
            <w:pPr>
              <w:spacing w:after="0"/>
            </w:pPr>
            <w:r>
              <w:rPr>
                <w:sz w:val="18"/>
              </w:rPr>
              <w:t>23,435</w:t>
            </w:r>
          </w:p>
        </w:tc>
      </w:tr>
      <w:tr>
        <w:trPr>
          <w:cantSplit/>
        </w:trPr>
        <w:tc>
          <w:tcPr>
            <w:tcW w:type="dxa" w:w="3216"/>
            <w:vAlign w:val="center"/>
          </w:tcPr>
          <w:p>
            <w:pPr>
              <w:spacing w:after="0"/>
            </w:pPr>
            <w:r>
              <w:rPr>
                <w:sz w:val="18"/>
              </w:rPr>
              <w:t>Coexistence taxonomic composition</w:t>
            </w:r>
          </w:p>
        </w:tc>
        <w:tc>
          <w:tcPr>
            <w:tcW w:type="dxa" w:w="3216"/>
            <w:vAlign w:val="center"/>
          </w:tcPr>
          <w:p>
            <w:pPr>
              <w:spacing w:after="0"/>
            </w:pPr>
            <w:r>
              <w:rPr>
                <w:sz w:val="18"/>
              </w:rPr>
              <w:t>421 + 48 + 1</w:t>
            </w:r>
          </w:p>
        </w:tc>
        <w:tc>
          <w:tcPr>
            <w:tcW w:type="dxa" w:w="3216"/>
            <w:vAlign w:val="center"/>
          </w:tcPr>
          <w:p>
            <w:pPr>
              <w:spacing w:after="0"/>
            </w:pPr>
            <w:r>
              <w:rPr>
                <w:sz w:val="18"/>
              </w:rPr>
              <w:t>470</w:t>
            </w:r>
          </w:p>
        </w:tc>
      </w:tr>
      <w:tr>
        <w:trPr>
          <w:cantSplit/>
        </w:trPr>
        <w:tc>
          <w:tcPr>
            <w:tcW w:type="dxa" w:w="3216"/>
            <w:vAlign w:val="center"/>
          </w:tcPr>
          <w:p>
            <w:pPr>
              <w:spacing w:after="0"/>
            </w:pPr>
            <w:r>
              <w:rPr>
                <w:sz w:val="18"/>
              </w:rPr>
              <w:t>Generic-tier testable genome states</w:t>
            </w:r>
          </w:p>
        </w:tc>
        <w:tc>
          <w:tcPr>
            <w:tcW w:type="dxa" w:w="3216"/>
            <w:vAlign w:val="center"/>
          </w:tcPr>
          <w:p>
            <w:pPr>
              <w:spacing w:after="0"/>
            </w:pPr>
            <w:r>
              <w:rPr>
                <w:sz w:val="18"/>
              </w:rPr>
              <w:t>5 + 1 + 7 + 650 + 17</w:t>
            </w:r>
          </w:p>
        </w:tc>
        <w:tc>
          <w:tcPr>
            <w:tcW w:type="dxa" w:w="3216"/>
            <w:vAlign w:val="center"/>
          </w:tcPr>
          <w:p>
            <w:pPr>
              <w:spacing w:after="0"/>
            </w:pPr>
            <w:r>
              <w:rPr>
                <w:sz w:val="18"/>
              </w:rPr>
              <w:t>680</w:t>
            </w:r>
          </w:p>
        </w:tc>
      </w:tr>
      <w:tr>
        <w:trPr>
          <w:cantSplit/>
        </w:trPr>
        <w:tc>
          <w:tcPr>
            <w:tcW w:type="dxa" w:w="3216"/>
            <w:vAlign w:val="center"/>
          </w:tcPr>
          <w:p>
            <w:pPr>
              <w:spacing w:after="0"/>
            </w:pPr>
            <w:r>
              <w:rPr>
                <w:sz w:val="18"/>
              </w:rPr>
              <w:t>Full unique NucS protein states</w:t>
            </w:r>
          </w:p>
        </w:tc>
        <w:tc>
          <w:tcPr>
            <w:tcW w:type="dxa" w:w="3216"/>
            <w:vAlign w:val="center"/>
          </w:tcPr>
          <w:p>
            <w:pPr>
              <w:spacing w:after="0"/>
            </w:pPr>
            <w:r>
              <w:rPr>
                <w:sz w:val="18"/>
              </w:rPr>
              <w:t>5,189 + 111 + 901 + 69</w:t>
            </w:r>
          </w:p>
        </w:tc>
        <w:tc>
          <w:tcPr>
            <w:tcW w:type="dxa" w:w="3216"/>
            <w:vAlign w:val="center"/>
          </w:tcPr>
          <w:p>
            <w:pPr>
              <w:spacing w:after="0"/>
            </w:pPr>
            <w:r>
              <w:rPr>
                <w:sz w:val="18"/>
              </w:rPr>
              <w:t>6,270</w:t>
            </w:r>
          </w:p>
        </w:tc>
      </w:tr>
    </w:tbl>
    <w:p/>
    <w:p>
      <w:r>
        <w:t>These reconciliations were rechecked during revision. Percentages in the manuscript are descriptive percentages of the reference collection or the explicitly stated analysis subset, not unbiased estimates of organismal prevalence.</w:t>
      </w:r>
    </w:p>
    <w:p>
      <w:pPr>
        <w:pStyle w:val="Heading1"/>
      </w:pPr>
      <w:r>
        <w:t>S12. Analyses deliberately outside the scope of the study</w:t>
      </w:r>
    </w:p>
    <w:p>
      <w:r>
        <w:t>The finalized study was intentionally limited to annotation-guided candidate discovery followed by positive protein-profile validation. It did not include an exhaustive translated-genome absence survey, a species phylogeny, a NucS gene or protein phylogeny, ancestral-state reconstruction, lineage-specific gain/loss inference, or horizontal-gene-transfer reconstruction. These analyses would be required for stronger evolutionary claims and were not used to support the revised manuscript.</w:t>
      </w:r>
    </w:p>
    <w:p>
      <w:r>
        <w:t>Accordingly, annotation-negative or profile-negative states are treated as screening classifications. Additional protein-level and translated-genome searches would be required to distinguish true biological absence from annotation failure, assembly fragmentation, pseudogenization, incomplete gene models or highly divergent homologues.</w:t>
      </w:r>
    </w:p>
    <w:p>
      <w:pPr>
        <w:pStyle w:val="Heading1"/>
      </w:pPr>
      <w:r>
        <w:t>S13. Analysis files and Zenodo versioning</w:t>
      </w:r>
    </w:p>
    <w:p>
      <w:pPr/>
      <w:r>
        <w:t>The initial submission-stage archive remains Zenodo version 1 (DOI https://doi.org/10.5281/zenodo.21950397). It contains the original study-analysis deposit associated with the first submission, including the frozen genome-state matrix and other original reproducibility files. Those original files are not duplicated in Zenodo version 2.</w:t>
      </w:r>
    </w:p>
    <w:p>
      <w:pPr/>
      <w:r>
        <w:t>Zenodo version 2 (DOI https://doi.org/10.5281/zenodo.22710220; published 11 September 2026) contains only the peer-review revision-stage files listed below:</w:t>
      </w:r>
    </w:p>
    <w:p>
      <w:pPr/>
      <w:r>
        <w:t>NucS_6270_ids.txt - frozen list of the 6,270 unique NucS candidate protein accessions used for the revision-stage full-candidate analysis.</w:t>
      </w:r>
    </w:p>
    <w:p>
      <w:pPr/>
      <w:r>
        <w:t>NucS_6270_full.faa - complete FASTA for the 6,270 unique NucS candidate proteins.</w:t>
      </w:r>
    </w:p>
    <w:p>
      <w:pPr/>
      <w:r>
        <w:t>NucS_6270_protein_domain_classification.tsv and NucS_6270_protein_domain_summary.tsv - full 6,270-protein PF21003/PF01939 classification and summary.</w:t>
      </w:r>
    </w:p>
    <w:p>
      <w:pPr/>
      <w:r>
        <w:t>NucS_domain_only_candidates.tsv - candidate table for the generic "NucS domain-containing" annotation tier.</w:t>
      </w:r>
    </w:p>
    <w:p>
      <w:pPr/>
      <w:r>
        <w:t>domain_only_candidate_profile_classification.tsv, domain_only_unique_protein_summary.tsv and domain_only_genome_summary.tsv - candidate-, unique-protein- and genome-level decomposition of the generic annotation tier.</w:t>
      </w:r>
    </w:p>
    <w:p>
      <w:pPr/>
      <w:r>
        <w:t>PF21003.hmm and PF01939.hmm - exact NucS_N and NucS_C profile models used in the revision-stage rerun.</w:t>
      </w:r>
    </w:p>
    <w:p>
      <w:pPr/>
      <w:r>
        <w:t>PF21003_nucs_ALL6270.domtbl, PF01939_nucs_ALL6270.domtbl, PF21003_nucs_ALL6270.txt and PF01939_nucs_ALL6270.txt - full-candidate HMMER outputs for the 6,270-protein rerun.</w:t>
      </w:r>
    </w:p>
    <w:p>
      <w:pPr/>
      <w:r>
        <w:t>classify_nucs_6270.py and analyse_domain_only_tier.py - revision-stage scripts used to classify the full candidate set and generic annotation tier.</w:t>
      </w:r>
    </w:p>
    <w:p>
      <w:pPr/>
      <w:r>
        <w:t>README_REVISION_2026.txt - description and summary of the revision-stage archive.</w:t>
      </w:r>
    </w:p>
    <w:p>
      <w:pPr/>
      <w:r>
        <w:t>targeted_coordinate_QC_domtbl.zip - retained targeted HMMER domtbl outputs for NucS, MutS and MutL used for domain-coordinate quality control.</w:t>
      </w:r>
    </w:p>
    <w:p>
      <w:pPr/>
      <w:r>
        <w:t>Zenodo version 2 supplements rather than replaces version 1. The version 2 record is publicly citable through https://doi.org/10.5281/zenodo.22710220; at the time of this revision, its files are marked as restricted in Zenodo. Only final and directly supporting outputs are designated as reproducible analysis files; superseded intermediates are not presented as final results.</w:t>
      </w:r>
    </w:p>
    <w:sectPr>
      <w:footerReference w:type="default" r:id="rId9"/>
      <w:pgSz w:w="12240" w:h="15840"/>
      <w:pgMar w:top="1152" w:right="1152"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after="120"/>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line="276" w:lineRule="auto"/>
      <w:outlineLvl w:val="0"/>
    </w:pPr>
    <w:rPr>
      <w:rFonts w:asciiTheme="majorHAnsi" w:eastAsiaTheme="majorEastAsia" w:hAnsiTheme="majorHAnsi" w:cstheme="majorBidi" w:ascii="Arial" w:hAnsi="Arial"/>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200" w:after="80" w:line="276" w:lineRule="auto"/>
      <w:outlineLvl w:val="1"/>
    </w:pPr>
    <w:rPr>
      <w:rFonts w:asciiTheme="majorHAnsi" w:eastAsiaTheme="majorEastAsia" w:hAnsiTheme="majorHAnsi" w:cstheme="majorBidi" w:ascii="Arial" w:hAnsi="Arial"/>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00" w:line="276" w:lineRule="auto"/>
      <w:contextualSpacing/>
    </w:pPr>
    <w:rPr>
      <w:rFonts w:asciiTheme="majorHAnsi" w:eastAsiaTheme="majorEastAsia" w:hAnsiTheme="majorHAnsi" w:cstheme="majorBidi" w:ascii="Arial" w:hAnsi="Arial"/>
      <w:color w:val="17365D" w:themeColor="text2" w:themeShade="B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file 1: Supplementary methods, quality control and analysis-state documentation</dc:title>
  <dc:subject/>
  <dc:creator/>
  <cp:keywords/>
  <dc:description/>
  <cp:lastModifiedBy/>
  <cp:revision>1</cp:revision>
  <dcterms:created xsi:type="dcterms:W3CDTF">2013-12-23T23:15:00Z</dcterms:created>
  <dcterms:modified xsi:type="dcterms:W3CDTF">2013-12-23T23:15:00Z</dcterms:modified>
  <cp:category/>
</cp:coreProperties>
</file>