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A6" w:rsidRDefault="00C31BA6">
      <w:pPr>
        <w:spacing w:after="0" w:line="48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Supplementary Information</w:t>
      </w:r>
    </w:p>
    <w:p w:rsidR="00C31BA6" w:rsidRDefault="00C31BA6">
      <w:pPr>
        <w:pStyle w:val="a0"/>
        <w:spacing w:before="0" w:after="0" w:line="480" w:lineRule="auto"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 xml:space="preserve">esearch has shown that GBC is 2 to 4 times more common in women than </w:t>
      </w:r>
      <w:r w:rsidRPr="00D3086D">
        <w:rPr>
          <w:rFonts w:ascii="Times New Roman" w:hAnsi="Times New Roman" w:cs="Times New Roman"/>
        </w:rPr>
        <w:t>in m</w:t>
      </w:r>
      <w:r w:rsidRPr="00D3086D">
        <w:rPr>
          <w:rFonts w:ascii="Times New Roman" w:hAnsi="Times New Roman" w:cs="Times New Roman"/>
          <w:color w:val="auto"/>
        </w:rPr>
        <w:t xml:space="preserve">en </w:t>
      </w:r>
      <w:r w:rsidRPr="00D3086D">
        <w:rPr>
          <w:rFonts w:ascii="Times New Roman" w:hAnsi="Times New Roman" w:cs="Times New Roman"/>
          <w:noProof/>
          <w:color w:val="auto"/>
        </w:rPr>
        <w:t>(1)</w:t>
      </w:r>
      <w:r w:rsidRPr="00D3086D">
        <w:rPr>
          <w:rFonts w:ascii="Times New Roman" w:hAnsi="Times New Roman" w:cs="Times New Roman"/>
          <w:color w:val="auto"/>
        </w:rPr>
        <w:t>.</w:t>
      </w:r>
      <w:r w:rsidRPr="00D3086D">
        <w:rPr>
          <w:rFonts w:ascii="Times New Roman" w:hAnsi="Times New Roman" w:cs="Times New Roman" w:hint="eastAsia"/>
          <w:color w:val="auto"/>
        </w:rPr>
        <w:t xml:space="preserve"> T</w:t>
      </w:r>
      <w:r>
        <w:rPr>
          <w:rFonts w:ascii="Times New Roman" w:hAnsi="Times New Roman" w:cs="Times New Roman" w:hint="eastAsia"/>
        </w:rPr>
        <w:t>o further clarify the significance of preoperative serum CEA, CA125, CA19-9 and SII in the diagnosis of GBC, we analyzed the expression of preoperative serum CEA, CA125, CA19-9 and SII in GBC patients of either sex. The results showed that the expression of preoperative serum CA125 in female GBC patients was significantly higher than that in male patients (</w:t>
      </w:r>
      <w:r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 w:hint="eastAsia"/>
        </w:rPr>
        <w:t xml:space="preserve"> &lt; 0.05). However, there was no significant differences in serum CEA, CA19-9, and SII levels between male and female GBC patients (</w:t>
      </w:r>
      <w:r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 w:hint="eastAsia"/>
        </w:rPr>
        <w:t xml:space="preserve"> &gt; 0.05).</w:t>
      </w:r>
    </w:p>
    <w:p w:rsidR="00C31BA6" w:rsidRDefault="00700F10">
      <w:pPr>
        <w:spacing w:after="0" w:line="480" w:lineRule="auto"/>
        <w:jc w:val="both"/>
        <w:rPr>
          <w:rFonts w:cs="Times New Roman"/>
        </w:rPr>
      </w:pPr>
      <w:r w:rsidRPr="00700F10">
        <w:rPr>
          <w:rFonts w:cs="Times New Roman"/>
          <w:noProof/>
        </w:rPr>
        <w:drawing>
          <wp:inline distT="0" distB="0" distL="0" distR="0">
            <wp:extent cx="5274310" cy="1863130"/>
            <wp:effectExtent l="0" t="0" r="2540" b="3810"/>
            <wp:docPr id="2" name="图片 2" descr="F:\A-ZXX\修稿\课题设计（XY-2023-0324-2～3）-王银红-待投稿\旧稿修改(XY-2023-0324-2～3）-阙耀文-邓金-已完成-2024.4.18\24 BMC IMMUNOLOGY 2.9\BMC修稿（1修）（XY-2023-0324-2～3）-阙耀文-邓金-已完成\BMC修稿（1修）Revised figure（XY-2023-0324-2～3）-已处理(旧稿修改)\supplementa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-ZXX\修稿\课题设计（XY-2023-0324-2～3）-王银红-待投稿\旧稿修改(XY-2023-0324-2～3）-阙耀文-邓金-已完成-2024.4.18\24 BMC IMMUNOLOGY 2.9\BMC修稿（1修）（XY-2023-0324-2～3）-阙耀文-邓金-已完成\BMC修稿（1修）Revised figure（XY-2023-0324-2～3）-已处理(旧稿修改)\supplemental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BA6" w:rsidRDefault="00C31BA6">
      <w:pPr>
        <w:pStyle w:val="a0"/>
        <w:spacing w:before="0"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1</w:t>
      </w:r>
      <w:r>
        <w:rPr>
          <w:rFonts w:ascii="Times New Roman" w:hAnsi="Times New Roman" w:cs="Times New Roman"/>
        </w:rPr>
        <w:t xml:space="preserve"> The expression of i</w:t>
      </w:r>
      <w:r>
        <w:rPr>
          <w:rFonts w:ascii="Times New Roman" w:hAnsi="Times New Roman" w:cs="Times New Roman" w:hint="eastAsia"/>
        </w:rPr>
        <w:t>ndexes</w:t>
      </w:r>
      <w:r>
        <w:rPr>
          <w:rFonts w:ascii="Times New Roman" w:hAnsi="Times New Roman" w:cs="Times New Roman"/>
        </w:rPr>
        <w:t xml:space="preserve"> in GBC patients of </w:t>
      </w:r>
      <w:r>
        <w:rPr>
          <w:rFonts w:ascii="Times New Roman" w:hAnsi="Times New Roman" w:cs="Times New Roman" w:hint="eastAsia"/>
        </w:rPr>
        <w:t>either sex</w:t>
      </w:r>
      <w:r>
        <w:rPr>
          <w:rFonts w:ascii="Times New Roman" w:hAnsi="Times New Roman" w:cs="Times New Roman"/>
        </w:rPr>
        <w:t xml:space="preserve">. A: CEA expression in GBC patients of </w:t>
      </w:r>
      <w:r>
        <w:rPr>
          <w:rFonts w:ascii="Times New Roman" w:hAnsi="Times New Roman" w:cs="Times New Roman" w:hint="eastAsia"/>
        </w:rPr>
        <w:t>either sex</w:t>
      </w:r>
      <w:r>
        <w:rPr>
          <w:rFonts w:ascii="Times New Roman" w:hAnsi="Times New Roman" w:cs="Times New Roman"/>
        </w:rPr>
        <w:t xml:space="preserve">; B: CA125 expression in GBC patients of </w:t>
      </w:r>
      <w:r>
        <w:rPr>
          <w:rFonts w:ascii="Times New Roman" w:hAnsi="Times New Roman" w:cs="Times New Roman" w:hint="eastAsia"/>
        </w:rPr>
        <w:t>either sex</w:t>
      </w:r>
      <w:r>
        <w:rPr>
          <w:rFonts w:ascii="Times New Roman" w:hAnsi="Times New Roman" w:cs="Times New Roman"/>
        </w:rPr>
        <w:t xml:space="preserve">; C: CA19-9 expression in GBC patients of </w:t>
      </w:r>
      <w:r>
        <w:rPr>
          <w:rFonts w:ascii="Times New Roman" w:hAnsi="Times New Roman" w:cs="Times New Roman" w:hint="eastAsia"/>
        </w:rPr>
        <w:t>either sex</w:t>
      </w:r>
      <w:r>
        <w:rPr>
          <w:rFonts w:ascii="Times New Roman" w:hAnsi="Times New Roman" w:cs="Times New Roman"/>
        </w:rPr>
        <w:t xml:space="preserve">; D: SII expression in GBC patients of </w:t>
      </w:r>
      <w:r>
        <w:rPr>
          <w:rFonts w:ascii="Times New Roman" w:hAnsi="Times New Roman" w:cs="Times New Roman" w:hint="eastAsia"/>
        </w:rPr>
        <w:t>either sex</w:t>
      </w:r>
      <w:r>
        <w:rPr>
          <w:rFonts w:ascii="Times New Roman" w:hAnsi="Times New Roman" w:cs="Times New Roman"/>
        </w:rPr>
        <w:t xml:space="preserve">. The data were expressed as mean ± standard deviation, and the comparison between the two groups was analyzed by an unpaired 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 xml:space="preserve">-test. The measurement data of non-normal distribution were presented as median (minimum, maximum), and the Mann-Whitney U test was used for comparison between groups. 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0.05, ns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&gt; 0.05.</w:t>
      </w:r>
    </w:p>
    <w:p w:rsidR="00C31BA6" w:rsidRPr="001169B5" w:rsidRDefault="001169B5" w:rsidP="001169B5">
      <w:pPr>
        <w:rPr>
          <w:rFonts w:cs="Times New Roman" w:hint="eastAsia"/>
          <w:b/>
          <w:bCs/>
          <w:sz w:val="32"/>
        </w:rPr>
      </w:pPr>
      <w:bookmarkStart w:id="0" w:name="_GoBack"/>
      <w:bookmarkEnd w:id="0"/>
      <w:r>
        <w:rPr>
          <w:rFonts w:cs="Times New Roman" w:hint="eastAsia"/>
          <w:b/>
          <w:bCs/>
          <w:sz w:val="32"/>
        </w:rPr>
        <w:t>R</w:t>
      </w:r>
      <w:r>
        <w:rPr>
          <w:rFonts w:cs="Times New Roman"/>
          <w:b/>
          <w:bCs/>
          <w:sz w:val="32"/>
        </w:rPr>
        <w:t>eferences</w:t>
      </w:r>
    </w:p>
    <w:p w:rsidR="00C31BA6" w:rsidRDefault="00C31BA6" w:rsidP="00D3086D">
      <w:pPr>
        <w:pStyle w:val="EndNoteBibliography"/>
        <w:spacing w:line="480" w:lineRule="auto"/>
        <w:rPr>
          <w:rFonts w:ascii="Times New Roman" w:hAnsi="Times New Roman" w:cs="Times New Roman" w:hint="eastAsia"/>
          <w:noProof w:val="0"/>
        </w:rPr>
      </w:pPr>
      <w:r w:rsidRPr="001169B5">
        <w:rPr>
          <w:rFonts w:ascii="Times New Roman" w:hAnsi="Times New Roman" w:cs="Times New Roman"/>
          <w:noProof w:val="0"/>
        </w:rPr>
        <w:t>1.</w:t>
      </w:r>
      <w:r w:rsidRPr="001169B5">
        <w:rPr>
          <w:rFonts w:ascii="Times New Roman" w:hAnsi="Times New Roman" w:cs="Times New Roman"/>
          <w:noProof w:val="0"/>
        </w:rPr>
        <w:tab/>
        <w:t>Ajmera V, Cepin S, Tesfai K, Hofflich H, Cadman K, Lopez S, et al. A prospective study on the prevalence of NAFLD, advanced fibrosis, cirrhosis and hepatocellular carcinoma in people with type 2 diabetes. J Hepatol. 2023;78(3):471-8.</w:t>
      </w:r>
    </w:p>
    <w:p w:rsidR="008859A2" w:rsidRDefault="008859A2"/>
    <w:sectPr w:rsidR="008859A2" w:rsidSect="00A60F90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31BA6"/>
    <w:rsid w:val="001169B5"/>
    <w:rsid w:val="00357973"/>
    <w:rsid w:val="00700F10"/>
    <w:rsid w:val="008859A2"/>
    <w:rsid w:val="00A60F90"/>
    <w:rsid w:val="00C31BA6"/>
    <w:rsid w:val="00D3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C87D"/>
  <w15:chartTrackingRefBased/>
  <w15:docId w15:val="{3B20F371-595A-4367-A66A-1FDD1DF7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31BA6"/>
    <w:pPr>
      <w:adjustRightInd w:val="0"/>
      <w:snapToGrid w:val="0"/>
      <w:spacing w:after="200"/>
    </w:pPr>
    <w:rPr>
      <w:rFonts w:ascii="Times New Roman" w:eastAsia="宋体" w:hAnsi="Times New Roman"/>
      <w:color w:val="000000"/>
      <w:kern w:val="0"/>
      <w:sz w:val="24"/>
      <w:szCs w:val="24"/>
    </w:rPr>
  </w:style>
  <w:style w:type="character" w:default="1" w:styleId="a1">
    <w:name w:val="Default Paragraph Font"/>
    <w:uiPriority w:val="1"/>
    <w:unhideWhenUsed/>
    <w:rsid w:val="00C31BA6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C31BA6"/>
  </w:style>
  <w:style w:type="paragraph" w:styleId="a0">
    <w:name w:val="toa heading"/>
    <w:basedOn w:val="a"/>
    <w:next w:val="a"/>
    <w:link w:val="a4"/>
    <w:qFormat/>
    <w:rsid w:val="00C31BA6"/>
    <w:pPr>
      <w:spacing w:before="120"/>
    </w:pPr>
    <w:rPr>
      <w:rFonts w:ascii="Arial" w:hAnsi="Arial"/>
    </w:rPr>
  </w:style>
  <w:style w:type="paragraph" w:styleId="a5">
    <w:name w:val="Balloon Text"/>
    <w:basedOn w:val="a"/>
    <w:link w:val="a6"/>
    <w:rsid w:val="00C31BA6"/>
    <w:pPr>
      <w:spacing w:after="0"/>
    </w:pPr>
    <w:rPr>
      <w:sz w:val="18"/>
      <w:szCs w:val="18"/>
    </w:rPr>
  </w:style>
  <w:style w:type="character" w:customStyle="1" w:styleId="a6">
    <w:name w:val="批注框文本 字符"/>
    <w:basedOn w:val="a1"/>
    <w:link w:val="a5"/>
    <w:rsid w:val="00C31BA6"/>
    <w:rPr>
      <w:rFonts w:ascii="Times New Roman" w:eastAsia="宋体" w:hAnsi="Times New Roman"/>
      <w:color w:val="000000"/>
      <w:kern w:val="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31BA6"/>
    <w:pPr>
      <w:spacing w:after="0"/>
      <w:jc w:val="center"/>
    </w:pPr>
    <w:rPr>
      <w:rFonts w:ascii="Arial" w:hAnsi="Arial" w:cs="Arial"/>
      <w:noProof/>
    </w:rPr>
  </w:style>
  <w:style w:type="character" w:customStyle="1" w:styleId="a4">
    <w:name w:val="引文目录标题 字符"/>
    <w:basedOn w:val="a1"/>
    <w:link w:val="a0"/>
    <w:rsid w:val="00C31BA6"/>
    <w:rPr>
      <w:rFonts w:ascii="Arial" w:eastAsia="宋体" w:hAnsi="Arial"/>
      <w:color w:val="000000"/>
      <w:kern w:val="0"/>
      <w:sz w:val="24"/>
      <w:szCs w:val="24"/>
    </w:rPr>
  </w:style>
  <w:style w:type="character" w:customStyle="1" w:styleId="EndNoteBibliographyTitle0">
    <w:name w:val="EndNote Bibliography Title 字符"/>
    <w:basedOn w:val="a4"/>
    <w:link w:val="EndNoteBibliographyTitle"/>
    <w:rsid w:val="00C31BA6"/>
    <w:rPr>
      <w:rFonts w:ascii="Arial" w:eastAsia="宋体" w:hAnsi="Arial" w:cs="Arial"/>
      <w:noProof/>
      <w:color w:val="000000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C31BA6"/>
    <w:pPr>
      <w:jc w:val="both"/>
    </w:pPr>
    <w:rPr>
      <w:rFonts w:ascii="Arial" w:hAnsi="Arial" w:cs="Arial"/>
      <w:noProof/>
    </w:rPr>
  </w:style>
  <w:style w:type="character" w:customStyle="1" w:styleId="EndNoteBibliography0">
    <w:name w:val="EndNote Bibliography 字符"/>
    <w:basedOn w:val="a4"/>
    <w:link w:val="EndNoteBibliography"/>
    <w:rsid w:val="00C31BA6"/>
    <w:rPr>
      <w:rFonts w:ascii="Arial" w:eastAsia="宋体" w:hAnsi="Arial" w:cs="Arial"/>
      <w:noProof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2024-12-18T07:20:00Z</dcterms:created>
  <dcterms:modified xsi:type="dcterms:W3CDTF">2024-12-18T07:23:00Z</dcterms:modified>
</cp:coreProperties>
</file>