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971967" w14:textId="5CDE0DB5" w:rsidR="00B730AC" w:rsidRDefault="00772F8A" w:rsidP="00B730AC">
      <w:pPr>
        <w:pStyle w:val="SupplementaryMaterial"/>
        <w:rPr>
          <w:b w:val="0"/>
        </w:rPr>
      </w:pPr>
      <w:r>
        <w:t>Additional file</w:t>
      </w:r>
    </w:p>
    <w:p w14:paraId="619DC257" w14:textId="24807758" w:rsidR="00E33358" w:rsidRDefault="00F4383E" w:rsidP="00E33358">
      <w:pPr>
        <w:keepNext/>
      </w:pPr>
      <w:r>
        <w:rPr>
          <w:noProof/>
        </w:rPr>
        <w:drawing>
          <wp:inline distT="0" distB="0" distL="0" distR="0" wp14:anchorId="41134D0C" wp14:editId="3B00B083">
            <wp:extent cx="5846445" cy="6108700"/>
            <wp:effectExtent l="0" t="0" r="1905" b="635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445" cy="610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970FD2" w14:textId="6F3C3596" w:rsidR="00592099" w:rsidRPr="003F7950" w:rsidRDefault="00772F8A" w:rsidP="00E33358">
      <w:pPr>
        <w:pStyle w:val="Beschriftung"/>
        <w:rPr>
          <w:i w:val="0"/>
          <w:iCs w:val="0"/>
          <w:color w:val="000000" w:themeColor="text1"/>
          <w:sz w:val="20"/>
          <w:szCs w:val="20"/>
          <w:lang w:val="en-US"/>
        </w:rPr>
      </w:pPr>
      <w:r>
        <w:rPr>
          <w:b/>
          <w:bCs/>
          <w:i w:val="0"/>
          <w:iCs w:val="0"/>
          <w:color w:val="000000" w:themeColor="text1"/>
          <w:sz w:val="20"/>
          <w:szCs w:val="20"/>
          <w:lang w:val="en-US"/>
        </w:rPr>
        <w:t>Additional</w:t>
      </w:r>
      <w:bookmarkStart w:id="0" w:name="_GoBack"/>
      <w:bookmarkEnd w:id="0"/>
      <w:r w:rsidR="00E33358" w:rsidRPr="003F7950">
        <w:rPr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 figure </w:t>
      </w:r>
      <w:r w:rsidR="00E33358" w:rsidRPr="003F7950">
        <w:rPr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="00E33358" w:rsidRPr="003F7950">
        <w:rPr>
          <w:b/>
          <w:bCs/>
          <w:i w:val="0"/>
          <w:iCs w:val="0"/>
          <w:color w:val="000000" w:themeColor="text1"/>
          <w:sz w:val="20"/>
          <w:szCs w:val="20"/>
          <w:lang w:val="en-US"/>
        </w:rPr>
        <w:instrText xml:space="preserve"> SEQ Figure \* ARABIC </w:instrText>
      </w:r>
      <w:r w:rsidR="00E33358" w:rsidRPr="003F7950">
        <w:rPr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E33358" w:rsidRPr="003F7950">
        <w:rPr>
          <w:b/>
          <w:bCs/>
          <w:i w:val="0"/>
          <w:iCs w:val="0"/>
          <w:noProof/>
          <w:color w:val="000000" w:themeColor="text1"/>
          <w:sz w:val="20"/>
          <w:szCs w:val="20"/>
          <w:lang w:val="en-US"/>
        </w:rPr>
        <w:t>1</w:t>
      </w:r>
      <w:r w:rsidR="00E33358" w:rsidRPr="003F7950">
        <w:rPr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="00E33358" w:rsidRPr="003F7950">
        <w:rPr>
          <w:b/>
          <w:bCs/>
          <w:i w:val="0"/>
          <w:iCs w:val="0"/>
          <w:color w:val="000000" w:themeColor="text1"/>
          <w:sz w:val="20"/>
          <w:szCs w:val="20"/>
          <w:lang w:val="en-US"/>
        </w:rPr>
        <w:t>.</w:t>
      </w:r>
      <w:r w:rsidR="00E33358" w:rsidRPr="003F7950">
        <w:rPr>
          <w:i w:val="0"/>
          <w:iCs w:val="0"/>
          <w:color w:val="000000" w:themeColor="text1"/>
          <w:sz w:val="20"/>
          <w:szCs w:val="20"/>
          <w:lang w:val="en-US"/>
        </w:rPr>
        <w:t xml:space="preserve"> Gating strategy for ADCC and ADCP Assay.</w:t>
      </w:r>
      <w:r w:rsidR="002E3912" w:rsidRPr="003F7950">
        <w:rPr>
          <w:i w:val="0"/>
          <w:iCs w:val="0"/>
          <w:color w:val="000000" w:themeColor="text1"/>
          <w:sz w:val="20"/>
          <w:szCs w:val="20"/>
          <w:lang w:val="en-US"/>
        </w:rPr>
        <w:t xml:space="preserve"> (</w:t>
      </w:r>
      <w:r w:rsidR="002E3912" w:rsidRPr="003F7950">
        <w:rPr>
          <w:b/>
          <w:bCs/>
          <w:i w:val="0"/>
          <w:iCs w:val="0"/>
          <w:color w:val="000000" w:themeColor="text1"/>
          <w:sz w:val="20"/>
          <w:szCs w:val="20"/>
          <w:lang w:val="en-US"/>
        </w:rPr>
        <w:t>A</w:t>
      </w:r>
      <w:r w:rsidR="002E3912" w:rsidRPr="003F7950">
        <w:rPr>
          <w:i w:val="0"/>
          <w:iCs w:val="0"/>
          <w:color w:val="000000" w:themeColor="text1"/>
          <w:sz w:val="20"/>
          <w:szCs w:val="20"/>
          <w:lang w:val="en-US"/>
        </w:rPr>
        <w:t>) The time parameter allowed to monitor instrument stability</w:t>
      </w:r>
      <w:r w:rsidR="008134A0" w:rsidRPr="003F7950">
        <w:rPr>
          <w:i w:val="0"/>
          <w:iCs w:val="0"/>
          <w:color w:val="000000" w:themeColor="text1"/>
          <w:sz w:val="20"/>
          <w:szCs w:val="20"/>
          <w:lang w:val="en-US"/>
        </w:rPr>
        <w:t>.</w:t>
      </w:r>
      <w:r w:rsidR="002E3912" w:rsidRPr="003F7950">
        <w:rPr>
          <w:i w:val="0"/>
          <w:iCs w:val="0"/>
          <w:color w:val="000000" w:themeColor="text1"/>
          <w:sz w:val="20"/>
          <w:szCs w:val="20"/>
          <w:lang w:val="en-US"/>
        </w:rPr>
        <w:t xml:space="preserve"> (</w:t>
      </w:r>
      <w:r w:rsidR="002E3912" w:rsidRPr="003F7950">
        <w:rPr>
          <w:b/>
          <w:bCs/>
          <w:i w:val="0"/>
          <w:iCs w:val="0"/>
          <w:color w:val="000000" w:themeColor="text1"/>
          <w:sz w:val="20"/>
          <w:szCs w:val="20"/>
          <w:lang w:val="en-US"/>
        </w:rPr>
        <w:t>B</w:t>
      </w:r>
      <w:r w:rsidR="002E3912" w:rsidRPr="003F7950">
        <w:rPr>
          <w:i w:val="0"/>
          <w:iCs w:val="0"/>
          <w:color w:val="000000" w:themeColor="text1"/>
          <w:sz w:val="20"/>
          <w:szCs w:val="20"/>
          <w:lang w:val="en-US"/>
        </w:rPr>
        <w:t>) Cell singlets were selected via forwards scatter height (FSC-H) and forward scatter area (FSC-A</w:t>
      </w:r>
      <w:proofErr w:type="gramStart"/>
      <w:r w:rsidR="002E3912" w:rsidRPr="003F7950">
        <w:rPr>
          <w:i w:val="0"/>
          <w:iCs w:val="0"/>
          <w:color w:val="000000" w:themeColor="text1"/>
          <w:sz w:val="20"/>
          <w:szCs w:val="20"/>
          <w:lang w:val="en-US"/>
        </w:rPr>
        <w:t>).(</w:t>
      </w:r>
      <w:proofErr w:type="gramEnd"/>
      <w:r w:rsidR="002E3912" w:rsidRPr="003F7950">
        <w:rPr>
          <w:b/>
          <w:bCs/>
          <w:i w:val="0"/>
          <w:iCs w:val="0"/>
          <w:color w:val="000000" w:themeColor="text1"/>
          <w:sz w:val="20"/>
          <w:szCs w:val="20"/>
          <w:lang w:val="en-US"/>
        </w:rPr>
        <w:t>C</w:t>
      </w:r>
      <w:r w:rsidR="002E3912" w:rsidRPr="003F7950">
        <w:rPr>
          <w:i w:val="0"/>
          <w:iCs w:val="0"/>
          <w:color w:val="000000" w:themeColor="text1"/>
          <w:sz w:val="20"/>
          <w:szCs w:val="20"/>
          <w:lang w:val="en-US"/>
        </w:rPr>
        <w:t>) Cell</w:t>
      </w:r>
      <w:r w:rsidR="00927462" w:rsidRPr="003F7950">
        <w:rPr>
          <w:i w:val="0"/>
          <w:iCs w:val="0"/>
          <w:color w:val="000000" w:themeColor="text1"/>
          <w:sz w:val="20"/>
          <w:szCs w:val="20"/>
          <w:lang w:val="en-US"/>
        </w:rPr>
        <w:t>s</w:t>
      </w:r>
      <w:r w:rsidR="002E3912" w:rsidRPr="003F7950">
        <w:rPr>
          <w:i w:val="0"/>
          <w:iCs w:val="0"/>
          <w:color w:val="000000" w:themeColor="text1"/>
          <w:sz w:val="20"/>
          <w:szCs w:val="20"/>
          <w:lang w:val="en-US"/>
        </w:rPr>
        <w:t xml:space="preserve"> were visualized in the sideward scatter area (SSC-A) and the FSC-A. (</w:t>
      </w:r>
      <w:r w:rsidR="002E3912" w:rsidRPr="003F7950">
        <w:rPr>
          <w:b/>
          <w:bCs/>
          <w:i w:val="0"/>
          <w:iCs w:val="0"/>
          <w:color w:val="000000" w:themeColor="text1"/>
          <w:sz w:val="20"/>
          <w:szCs w:val="20"/>
          <w:lang w:val="en-US"/>
        </w:rPr>
        <w:t>D</w:t>
      </w:r>
      <w:r w:rsidR="002E3912" w:rsidRPr="003F7950">
        <w:rPr>
          <w:i w:val="0"/>
          <w:iCs w:val="0"/>
          <w:color w:val="000000" w:themeColor="text1"/>
          <w:sz w:val="20"/>
          <w:szCs w:val="20"/>
          <w:lang w:val="en-US"/>
        </w:rPr>
        <w:t>) Target cells were determined by CD45- and CFSE+ gate</w:t>
      </w:r>
      <w:r w:rsidR="00927462" w:rsidRPr="003F7950">
        <w:rPr>
          <w:i w:val="0"/>
          <w:iCs w:val="0"/>
          <w:color w:val="000000" w:themeColor="text1"/>
          <w:sz w:val="20"/>
          <w:szCs w:val="20"/>
          <w:lang w:val="en-US"/>
        </w:rPr>
        <w:t xml:space="preserve"> and </w:t>
      </w:r>
      <w:r w:rsidR="00AC61FD">
        <w:rPr>
          <w:i w:val="0"/>
          <w:iCs w:val="0"/>
          <w:color w:val="000000" w:themeColor="text1"/>
          <w:sz w:val="20"/>
          <w:szCs w:val="20"/>
          <w:lang w:val="en-US"/>
        </w:rPr>
        <w:t>l</w:t>
      </w:r>
      <w:r w:rsidR="00927462" w:rsidRPr="003F7950">
        <w:rPr>
          <w:i w:val="0"/>
          <w:iCs w:val="0"/>
          <w:color w:val="000000" w:themeColor="text1"/>
          <w:sz w:val="20"/>
          <w:szCs w:val="20"/>
          <w:lang w:val="en-US"/>
        </w:rPr>
        <w:t xml:space="preserve">eukocytes by the CD45+ and CFSE- gate. </w:t>
      </w:r>
      <w:r w:rsidR="00694129">
        <w:rPr>
          <w:i w:val="0"/>
          <w:iCs w:val="0"/>
          <w:color w:val="000000" w:themeColor="text1"/>
          <w:sz w:val="20"/>
          <w:szCs w:val="20"/>
          <w:lang w:val="en-US"/>
        </w:rPr>
        <w:t xml:space="preserve">The CD45+ CFSE+ gate with strong CFSE signal was excluded from further analysis. Cells with strong CD45+ and CFSE+ signal are likely to be leukocytes bound to tumor cells. For phagocytosis we assumed the CFSE signal decreased. </w:t>
      </w:r>
      <w:r w:rsidR="00927462" w:rsidRPr="003F7950">
        <w:rPr>
          <w:i w:val="0"/>
          <w:iCs w:val="0"/>
          <w:color w:val="000000" w:themeColor="text1"/>
          <w:sz w:val="20"/>
          <w:szCs w:val="20"/>
          <w:lang w:val="en-US"/>
        </w:rPr>
        <w:t>(</w:t>
      </w:r>
      <w:r w:rsidR="00927462" w:rsidRPr="003F7950">
        <w:rPr>
          <w:b/>
          <w:bCs/>
          <w:i w:val="0"/>
          <w:iCs w:val="0"/>
          <w:color w:val="000000" w:themeColor="text1"/>
          <w:sz w:val="20"/>
          <w:szCs w:val="20"/>
          <w:lang w:val="en-US"/>
        </w:rPr>
        <w:t>E</w:t>
      </w:r>
      <w:r w:rsidR="00927462" w:rsidRPr="003F7950">
        <w:rPr>
          <w:i w:val="0"/>
          <w:iCs w:val="0"/>
          <w:color w:val="000000" w:themeColor="text1"/>
          <w:sz w:val="20"/>
          <w:szCs w:val="20"/>
          <w:lang w:val="en-US"/>
        </w:rPr>
        <w:t>) Cytotoxicity was defined as dead target cells</w:t>
      </w:r>
      <w:r w:rsidR="008134A0" w:rsidRPr="003F7950">
        <w:rPr>
          <w:i w:val="0"/>
          <w:iCs w:val="0"/>
          <w:color w:val="000000" w:themeColor="text1"/>
          <w:sz w:val="20"/>
          <w:szCs w:val="20"/>
          <w:lang w:val="en-US"/>
        </w:rPr>
        <w:t xml:space="preserve"> determined as 7AAD+ cells in the target cell gate. Cytotoxicity was determined in two separate FACS tubes one containing ontruzant (10µg/ml) and one without treatment. (</w:t>
      </w:r>
      <w:r w:rsidR="008134A0" w:rsidRPr="003F7950">
        <w:rPr>
          <w:b/>
          <w:bCs/>
          <w:i w:val="0"/>
          <w:iCs w:val="0"/>
          <w:color w:val="000000" w:themeColor="text1"/>
          <w:sz w:val="20"/>
          <w:szCs w:val="20"/>
          <w:lang w:val="en-US"/>
        </w:rPr>
        <w:t>F</w:t>
      </w:r>
      <w:r w:rsidR="008134A0" w:rsidRPr="003F7950">
        <w:rPr>
          <w:i w:val="0"/>
          <w:iCs w:val="0"/>
          <w:color w:val="000000" w:themeColor="text1"/>
          <w:sz w:val="20"/>
          <w:szCs w:val="20"/>
          <w:lang w:val="en-US"/>
        </w:rPr>
        <w:t xml:space="preserve">) </w:t>
      </w:r>
      <w:r w:rsidR="00F4383E" w:rsidRPr="003F7950">
        <w:rPr>
          <w:i w:val="0"/>
          <w:iCs w:val="0"/>
          <w:color w:val="000000" w:themeColor="text1"/>
          <w:sz w:val="20"/>
          <w:szCs w:val="20"/>
          <w:lang w:val="en-US"/>
        </w:rPr>
        <w:t>V</w:t>
      </w:r>
      <w:r w:rsidR="008134A0" w:rsidRPr="003F7950">
        <w:rPr>
          <w:i w:val="0"/>
          <w:iCs w:val="0"/>
          <w:color w:val="000000" w:themeColor="text1"/>
          <w:sz w:val="20"/>
          <w:szCs w:val="20"/>
          <w:lang w:val="en-US"/>
        </w:rPr>
        <w:t>ital leukocytes were determined as</w:t>
      </w:r>
      <w:r w:rsidR="00F4383E" w:rsidRPr="003F7950">
        <w:rPr>
          <w:i w:val="0"/>
          <w:iCs w:val="0"/>
          <w:color w:val="000000" w:themeColor="text1"/>
          <w:sz w:val="20"/>
          <w:szCs w:val="20"/>
          <w:lang w:val="en-US"/>
        </w:rPr>
        <w:t xml:space="preserve"> 7AAD- in the leucocyte gate. (</w:t>
      </w:r>
      <w:r w:rsidR="00F4383E" w:rsidRPr="003F7950">
        <w:rPr>
          <w:b/>
          <w:bCs/>
          <w:i w:val="0"/>
          <w:iCs w:val="0"/>
          <w:color w:val="000000" w:themeColor="text1"/>
          <w:sz w:val="20"/>
          <w:szCs w:val="20"/>
          <w:lang w:val="en-US"/>
        </w:rPr>
        <w:t>G</w:t>
      </w:r>
      <w:r w:rsidR="00F4383E" w:rsidRPr="003F7950">
        <w:rPr>
          <w:i w:val="0"/>
          <w:iCs w:val="0"/>
          <w:color w:val="000000" w:themeColor="text1"/>
          <w:sz w:val="20"/>
          <w:szCs w:val="20"/>
          <w:lang w:val="en-US"/>
        </w:rPr>
        <w:t xml:space="preserve">) </w:t>
      </w:r>
      <w:r w:rsidR="00EE01E2" w:rsidRPr="003F7950">
        <w:rPr>
          <w:i w:val="0"/>
          <w:iCs w:val="0"/>
          <w:color w:val="000000" w:themeColor="text1"/>
          <w:sz w:val="20"/>
          <w:szCs w:val="20"/>
          <w:lang w:val="en-US"/>
        </w:rPr>
        <w:t>Phagocytosis was defined as CFSE+ and CD45+ cells in the vital PBMC fraction.</w:t>
      </w:r>
      <w:r w:rsidR="00694129">
        <w:rPr>
          <w:i w:val="0"/>
          <w:iCs w:val="0"/>
          <w:color w:val="000000" w:themeColor="text1"/>
          <w:sz w:val="20"/>
          <w:szCs w:val="20"/>
          <w:lang w:val="en-US"/>
        </w:rPr>
        <w:t xml:space="preserve"> The vital PBMCs gate was chosen </w:t>
      </w:r>
      <w:r w:rsidR="00AC61FD">
        <w:rPr>
          <w:i w:val="0"/>
          <w:iCs w:val="0"/>
          <w:color w:val="000000" w:themeColor="text1"/>
          <w:sz w:val="20"/>
          <w:szCs w:val="20"/>
          <w:lang w:val="en-US"/>
        </w:rPr>
        <w:t>since</w:t>
      </w:r>
      <w:r w:rsidR="00694129">
        <w:rPr>
          <w:i w:val="0"/>
          <w:iCs w:val="0"/>
          <w:color w:val="000000" w:themeColor="text1"/>
          <w:sz w:val="20"/>
          <w:szCs w:val="20"/>
          <w:lang w:val="en-US"/>
        </w:rPr>
        <w:t xml:space="preserve"> dead PBMCs are assumed to be irrelevant for phagocytosis. A gap between CD45+ and CFSE- and the CD45+ and CFSE+ gate was left to exclude CD45+ cells with weak CFSE signal</w:t>
      </w:r>
      <w:r w:rsidR="00AC61FD">
        <w:rPr>
          <w:i w:val="0"/>
          <w:iCs w:val="0"/>
          <w:color w:val="000000" w:themeColor="text1"/>
          <w:sz w:val="20"/>
          <w:szCs w:val="20"/>
          <w:lang w:val="en-US"/>
        </w:rPr>
        <w:t xml:space="preserve"> due to other reasons</w:t>
      </w:r>
      <w:r w:rsidR="00694129">
        <w:rPr>
          <w:i w:val="0"/>
          <w:iCs w:val="0"/>
          <w:color w:val="000000" w:themeColor="text1"/>
          <w:sz w:val="20"/>
          <w:szCs w:val="20"/>
          <w:lang w:val="en-US"/>
        </w:rPr>
        <w:t>.</w:t>
      </w:r>
      <w:r w:rsidR="00EE01E2" w:rsidRPr="003F7950">
        <w:rPr>
          <w:i w:val="0"/>
          <w:iCs w:val="0"/>
          <w:color w:val="000000" w:themeColor="text1"/>
          <w:sz w:val="20"/>
          <w:szCs w:val="20"/>
          <w:lang w:val="en-US"/>
        </w:rPr>
        <w:t xml:space="preserve"> Phagocytosis was evaluated in </w:t>
      </w:r>
      <w:r w:rsidR="003F7950" w:rsidRPr="003F7950">
        <w:rPr>
          <w:i w:val="0"/>
          <w:iCs w:val="0"/>
          <w:color w:val="000000" w:themeColor="text1"/>
          <w:sz w:val="20"/>
          <w:szCs w:val="20"/>
          <w:lang w:val="en-US"/>
        </w:rPr>
        <w:t xml:space="preserve">two separate FACS tubes one with </w:t>
      </w:r>
      <w:r w:rsidR="00BC3318">
        <w:rPr>
          <w:i w:val="0"/>
          <w:iCs w:val="0"/>
          <w:color w:val="000000" w:themeColor="text1"/>
          <w:sz w:val="20"/>
          <w:szCs w:val="20"/>
          <w:lang w:val="en-US"/>
        </w:rPr>
        <w:t>o</w:t>
      </w:r>
      <w:r w:rsidR="003F7950" w:rsidRPr="003F7950">
        <w:rPr>
          <w:i w:val="0"/>
          <w:iCs w:val="0"/>
          <w:color w:val="000000" w:themeColor="text1"/>
          <w:sz w:val="20"/>
          <w:szCs w:val="20"/>
          <w:lang w:val="en-US"/>
        </w:rPr>
        <w:t>ntruzant and one without treatment.</w:t>
      </w:r>
      <w:r w:rsidR="00EE01E2" w:rsidRPr="003F7950">
        <w:rPr>
          <w:i w:val="0"/>
          <w:iCs w:val="0"/>
          <w:color w:val="000000" w:themeColor="text1"/>
          <w:sz w:val="20"/>
          <w:szCs w:val="20"/>
          <w:lang w:val="en-US"/>
        </w:rPr>
        <w:t xml:space="preserve"> </w:t>
      </w:r>
    </w:p>
    <w:sectPr w:rsidR="00592099" w:rsidRPr="003F795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0AC"/>
    <w:rsid w:val="000225C6"/>
    <w:rsid w:val="002E3912"/>
    <w:rsid w:val="003F7950"/>
    <w:rsid w:val="00406E2E"/>
    <w:rsid w:val="00592099"/>
    <w:rsid w:val="00694129"/>
    <w:rsid w:val="00772F8A"/>
    <w:rsid w:val="008134A0"/>
    <w:rsid w:val="00927462"/>
    <w:rsid w:val="009F2653"/>
    <w:rsid w:val="00AC61FD"/>
    <w:rsid w:val="00B730AC"/>
    <w:rsid w:val="00B865BF"/>
    <w:rsid w:val="00BC3318"/>
    <w:rsid w:val="00E33358"/>
    <w:rsid w:val="00EE01E2"/>
    <w:rsid w:val="00F4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30C20"/>
  <w15:chartTrackingRefBased/>
  <w15:docId w15:val="{A6AE2145-37E9-4B20-A0D1-D621917B7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upplementaryMaterial">
    <w:name w:val="Supplementary Material"/>
    <w:basedOn w:val="Titel"/>
    <w:next w:val="Titel"/>
    <w:qFormat/>
    <w:rsid w:val="00B730AC"/>
    <w:pPr>
      <w:suppressLineNumbers/>
      <w:suppressAutoHyphens/>
      <w:spacing w:before="240" w:after="120"/>
      <w:contextualSpacing w:val="0"/>
      <w:jc w:val="center"/>
    </w:pPr>
    <w:rPr>
      <w:rFonts w:ascii="Times New Roman" w:eastAsiaTheme="minorHAnsi" w:hAnsi="Times New Roman" w:cs="Times New Roman"/>
      <w:b/>
      <w:i/>
      <w:spacing w:val="0"/>
      <w:kern w:val="0"/>
      <w:sz w:val="32"/>
      <w:szCs w:val="32"/>
      <w:lang w:val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B730A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730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schriftung">
    <w:name w:val="caption"/>
    <w:basedOn w:val="Standard"/>
    <w:next w:val="Standard"/>
    <w:uiPriority w:val="35"/>
    <w:unhideWhenUsed/>
    <w:qFormat/>
    <w:rsid w:val="00E3335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83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Erlangen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Lehle, Sarah</dc:creator>
  <cp:keywords/>
  <dc:description/>
  <cp:lastModifiedBy>Lehle, Sarah</cp:lastModifiedBy>
  <cp:revision>7</cp:revision>
  <dcterms:created xsi:type="dcterms:W3CDTF">2025-01-07T09:40:00Z</dcterms:created>
  <dcterms:modified xsi:type="dcterms:W3CDTF">2025-01-16T20:57:00Z</dcterms:modified>
</cp:coreProperties>
</file>