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3263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color w:val="000000"/>
          <w:sz w:val="28"/>
          <w:szCs w:val="28"/>
          <w:lang w:val="en-US" w:eastAsia="zh-CN" w:bidi="ar"/>
        </w:rPr>
        <w:t xml:space="preserve">Supplementary </w:t>
      </w:r>
      <w:r>
        <w:rPr>
          <w:rFonts w:hint="eastAsia" w:ascii="Times New Roman" w:hAnsi="Times New Roman" w:cs="Times New Roman"/>
          <w:b/>
          <w:bCs/>
          <w:color w:val="000000"/>
          <w:sz w:val="28"/>
          <w:szCs w:val="28"/>
          <w:lang w:val="en-US" w:eastAsia="zh-CN" w:bidi="ar"/>
        </w:rPr>
        <w:t>Data 1</w:t>
      </w:r>
    </w:p>
    <w:p w14:paraId="3565CFB9">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Reagents</w:t>
      </w:r>
      <w:r>
        <w:rPr>
          <w:rFonts w:hint="eastAsia" w:ascii="Times New Roman" w:hAnsi="Times New Roman" w:cs="Times New Roman"/>
          <w:b/>
          <w:bCs/>
          <w:sz w:val="24"/>
          <w:lang w:val="en-US" w:eastAsia="zh-CN"/>
        </w:rPr>
        <w:t xml:space="preserve"> and cells</w:t>
      </w:r>
    </w:p>
    <w:p w14:paraId="17741546">
      <w:pPr>
        <w:spacing w:line="360" w:lineRule="auto"/>
        <w:ind w:firstLine="480" w:firstLineChars="200"/>
        <w:jc w:val="left"/>
        <w:rPr>
          <w:rFonts w:ascii="Times New Roman" w:hAnsi="Times New Roman" w:cs="Times New Roman"/>
          <w:sz w:val="24"/>
        </w:rPr>
      </w:pPr>
      <w:r>
        <w:rPr>
          <w:rFonts w:hint="eastAsia" w:ascii="Times New Roman" w:hAnsi="Times New Roman" w:cs="Times New Roman"/>
          <w:color w:val="auto"/>
          <w:sz w:val="24"/>
          <w:szCs w:val="24"/>
          <w:highlight w:val="none"/>
          <w:lang w:val="en-US" w:eastAsia="zh-CN"/>
        </w:rPr>
        <w:t xml:space="preserve">C3G (HPLC </w:t>
      </w:r>
      <w:r>
        <w:rPr>
          <w:rFonts w:hint="default" w:ascii="Times New Roman" w:hAnsi="Times New Roman" w:eastAsia="微软雅黑" w:cs="Times New Roman"/>
          <w:color w:val="auto"/>
          <w:sz w:val="24"/>
          <w:szCs w:val="24"/>
          <w:highlight w:val="none"/>
          <w:lang w:val="en-US" w:eastAsia="zh-CN"/>
        </w:rPr>
        <w:t>≥</w:t>
      </w:r>
      <w:r>
        <w:rPr>
          <w:rFonts w:hint="eastAsia" w:ascii="Times New Roman" w:hAnsi="Times New Roman" w:eastAsia="微软雅黑" w:cs="Times New Roman"/>
          <w:color w:val="auto"/>
          <w:sz w:val="24"/>
          <w:szCs w:val="24"/>
          <w:highlight w:val="none"/>
          <w:lang w:val="en-US" w:eastAsia="zh-CN"/>
        </w:rPr>
        <w:t xml:space="preserve"> </w:t>
      </w:r>
      <w:r>
        <w:rPr>
          <w:rFonts w:hint="eastAsia" w:ascii="Times New Roman" w:hAnsi="Times New Roman" w:cs="Times New Roman"/>
          <w:color w:val="auto"/>
          <w:sz w:val="24"/>
          <w:szCs w:val="24"/>
          <w:highlight w:val="none"/>
          <w:lang w:val="en-US" w:eastAsia="zh-CN"/>
        </w:rPr>
        <w:t xml:space="preserve">98.0%) was obtained from Standard Technology (Shanghai, China) and </w:t>
      </w:r>
      <w:r>
        <w:rPr>
          <w:rFonts w:hint="eastAsia" w:ascii="Times New Roman" w:hAnsi="Times New Roman" w:cs="Times New Roman"/>
          <w:b w:val="0"/>
          <w:color w:val="auto"/>
          <w:kern w:val="2"/>
          <w:sz w:val="24"/>
          <w:szCs w:val="24"/>
          <w:highlight w:val="none"/>
          <w:lang w:val="en-US" w:eastAsia="zh-CN" w:bidi="ar-SA"/>
        </w:rPr>
        <w:t xml:space="preserve">dissolved in PBS (Procell, Wuhan, China). </w:t>
      </w:r>
      <w:r>
        <w:rPr>
          <w:rFonts w:hint="eastAsia" w:ascii="Times New Roman" w:hAnsi="Times New Roman" w:cs="Times New Roman"/>
          <w:color w:val="auto"/>
          <w:sz w:val="24"/>
          <w:szCs w:val="24"/>
          <w:highlight w:val="none"/>
          <w:lang w:val="en-US" w:eastAsia="zh-CN"/>
        </w:rPr>
        <w:t xml:space="preserve">The human myeloma cell lines MM.1S and RPMI-8226 were sourced from ATCC (Manassas, VA, USA), and the murine myeloma cell line SP2/0 was acquired from the Cell Bank, Chinese Academy of Sciences. The cells were </w:t>
      </w:r>
      <w:r>
        <w:rPr>
          <w:rFonts w:ascii="Times New Roman" w:hAnsi="Times New Roman" w:cs="Times New Roman"/>
          <w:sz w:val="24"/>
          <w:highlight w:val="none"/>
        </w:rPr>
        <w:t>cultured in RPMI</w:t>
      </w:r>
      <w:r>
        <w:rPr>
          <w:rFonts w:hint="eastAsia" w:ascii="Times New Roman" w:hAnsi="Times New Roman" w:cs="Times New Roman"/>
          <w:sz w:val="24"/>
          <w:highlight w:val="none"/>
          <w:lang w:val="en-US" w:eastAsia="zh-CN"/>
        </w:rPr>
        <w:t>-</w:t>
      </w:r>
      <w:r>
        <w:rPr>
          <w:rFonts w:ascii="Times New Roman" w:hAnsi="Times New Roman" w:cs="Times New Roman"/>
          <w:sz w:val="24"/>
          <w:highlight w:val="none"/>
        </w:rPr>
        <w:t xml:space="preserve">1640 medium </w:t>
      </w:r>
      <w:r>
        <w:rPr>
          <w:rFonts w:hint="eastAsia" w:ascii="Times New Roman" w:hAnsi="Times New Roman" w:cs="Times New Roman"/>
          <w:sz w:val="24"/>
          <w:highlight w:val="none"/>
        </w:rPr>
        <w:t>containing</w:t>
      </w:r>
      <w:r>
        <w:rPr>
          <w:rFonts w:ascii="Times New Roman" w:hAnsi="Times New Roman" w:cs="Times New Roman"/>
          <w:sz w:val="24"/>
          <w:highlight w:val="none"/>
        </w:rPr>
        <w:t xml:space="preserve"> 10% FBS at 37°C in 5% CO</w:t>
      </w:r>
      <w:r>
        <w:rPr>
          <w:rFonts w:ascii="Times New Roman" w:hAnsi="Times New Roman" w:cs="Times New Roman"/>
          <w:sz w:val="24"/>
          <w:highlight w:val="none"/>
          <w:vertAlign w:val="subscript"/>
        </w:rPr>
        <w:t>2</w:t>
      </w:r>
      <w:r>
        <w:rPr>
          <w:rFonts w:ascii="Times New Roman" w:hAnsi="Times New Roman" w:cs="Times New Roman"/>
          <w:sz w:val="24"/>
          <w:highlight w:val="none"/>
        </w:rPr>
        <w:t>.</w:t>
      </w:r>
    </w:p>
    <w:p w14:paraId="7723328D">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 xml:space="preserve">Construction and treatment of </w:t>
      </w:r>
      <w:r>
        <w:rPr>
          <w:rFonts w:hint="eastAsia" w:ascii="Times New Roman" w:hAnsi="Times New Roman" w:cs="Times New Roman"/>
          <w:b/>
          <w:bCs/>
          <w:sz w:val="24"/>
          <w:lang w:val="en-US" w:eastAsia="zh-CN"/>
        </w:rPr>
        <w:t>MM</w:t>
      </w:r>
      <w:r>
        <w:rPr>
          <w:rFonts w:hint="default" w:ascii="Times New Roman" w:hAnsi="Times New Roman" w:cs="Times New Roman"/>
          <w:b/>
          <w:bCs/>
          <w:sz w:val="24"/>
          <w:lang w:val="en-US" w:eastAsia="zh-CN"/>
        </w:rPr>
        <w:t>-bearing mouse model</w:t>
      </w:r>
    </w:p>
    <w:p w14:paraId="1946E266">
      <w:pPr>
        <w:spacing w:line="360" w:lineRule="auto"/>
        <w:ind w:firstLine="480"/>
        <w:rPr>
          <w:rFonts w:hint="eastAsia"/>
          <w:lang w:val="en-US" w:eastAsia="zh-CN"/>
        </w:rPr>
      </w:pPr>
      <w:r>
        <w:rPr>
          <w:rFonts w:hint="eastAsia" w:ascii="Times New Roman" w:hAnsi="Times New Roman" w:cs="Times New Roman"/>
          <w:color w:val="000000" w:themeColor="text1"/>
          <w:sz w:val="24"/>
          <w14:textFill>
            <w14:solidFill>
              <w14:schemeClr w14:val="tx1"/>
            </w14:solidFill>
          </w14:textFill>
        </w:rPr>
        <w:t>Female BALB/c mice, aged 6 to 8 weeks, were purchased from Vital River Laboratory Animal Technology (Beijing</w:t>
      </w:r>
      <w:r>
        <w:rPr>
          <w:rFonts w:hint="eastAsia" w:ascii="Times New Roman" w:hAnsi="Times New Roman" w:cs="Times New Roman"/>
          <w:color w:val="000000" w:themeColor="text1"/>
          <w:sz w:val="24"/>
          <w:lang w:val="en-US" w:eastAsia="zh-CN"/>
          <w14:textFill>
            <w14:solidFill>
              <w14:schemeClr w14:val="tx1"/>
            </w14:solidFill>
          </w14:textFill>
        </w:rPr>
        <w:t>, China</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lang w:val="en-US" w:eastAsia="zh-CN"/>
          <w14:textFill>
            <w14:solidFill>
              <w14:schemeClr w14:val="tx1"/>
            </w14:solidFill>
          </w14:textFill>
        </w:rPr>
        <w:t>T</w:t>
      </w:r>
      <w:r>
        <w:rPr>
          <w:rFonts w:hint="eastAsia" w:ascii="Times New Roman" w:hAnsi="Times New Roman" w:cs="Times New Roman"/>
          <w:color w:val="000000" w:themeColor="text1"/>
          <w:sz w:val="24"/>
          <w14:textFill>
            <w14:solidFill>
              <w14:schemeClr w14:val="tx1"/>
            </w14:solidFill>
          </w14:textFill>
        </w:rPr>
        <w:t>he study protocol was approved by the Animal Ethics Committee of the Affiliated Hospital of Qingdao University (</w:t>
      </w:r>
      <w:r>
        <w:rPr>
          <w:rFonts w:hint="eastAsia" w:ascii="Times New Roman" w:hAnsi="Times New Roman" w:cs="Times New Roman"/>
          <w:color w:val="000000" w:themeColor="text1"/>
          <w:sz w:val="24"/>
          <w:lang w:val="en-US" w:eastAsia="zh-CN"/>
          <w14:textFill>
            <w14:solidFill>
              <w14:schemeClr w14:val="tx1"/>
            </w14:solidFill>
          </w14:textFill>
        </w:rPr>
        <w:t xml:space="preserve">NO. </w:t>
      </w:r>
      <w:r>
        <w:rPr>
          <w:rFonts w:hint="eastAsia" w:ascii="Times New Roman" w:hAnsi="Times New Roman" w:cs="Times New Roman"/>
          <w:color w:val="000000" w:themeColor="text1"/>
          <w:sz w:val="24"/>
          <w14:textFill>
            <w14:solidFill>
              <w14:schemeClr w14:val="tx1"/>
            </w14:solidFill>
          </w14:textFill>
        </w:rPr>
        <w:t>AHQ-MAL20230331CHX).</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T</w:t>
      </w:r>
      <w:r>
        <w:rPr>
          <w:rFonts w:ascii="Times New Roman" w:hAnsi="Times New Roman" w:cs="Times New Roman"/>
          <w:color w:val="000000" w:themeColor="text1"/>
          <w:sz w:val="24"/>
          <w14:textFill>
            <w14:solidFill>
              <w14:schemeClr w14:val="tx1"/>
            </w14:solidFill>
          </w14:textFill>
        </w:rPr>
        <w:t>he mice</w:t>
      </w:r>
      <w:r>
        <w:rPr>
          <w:rFonts w:hint="eastAsia" w:ascii="Times New Roman" w:hAnsi="Times New Roman" w:cs="Times New Roman"/>
          <w:color w:val="000000" w:themeColor="text1"/>
          <w:sz w:val="24"/>
          <w14:textFill>
            <w14:solidFill>
              <w14:schemeClr w14:val="tx1"/>
            </w14:solidFill>
          </w14:textFill>
        </w:rPr>
        <w:t xml:space="preserve"> were r</w:t>
      </w:r>
      <w:r>
        <w:rPr>
          <w:rFonts w:ascii="Times New Roman" w:hAnsi="Times New Roman" w:cs="Times New Roman"/>
          <w:color w:val="000000" w:themeColor="text1"/>
          <w:sz w:val="24"/>
          <w14:textFill>
            <w14:solidFill>
              <w14:schemeClr w14:val="tx1"/>
            </w14:solidFill>
          </w14:textFill>
        </w:rPr>
        <w:t>andomly divide</w:t>
      </w:r>
      <w:r>
        <w:rPr>
          <w:rFonts w:hint="eastAsia" w:ascii="Times New Roman" w:hAnsi="Times New Roman" w:cs="Times New Roman"/>
          <w:color w:val="000000" w:themeColor="text1"/>
          <w:sz w:val="24"/>
          <w14:textFill>
            <w14:solidFill>
              <w14:schemeClr w14:val="tx1"/>
            </w14:solidFill>
          </w14:textFill>
        </w:rPr>
        <w:t>d</w:t>
      </w:r>
      <w:r>
        <w:rPr>
          <w:rFonts w:ascii="Times New Roman" w:hAnsi="Times New Roman" w:cs="Times New Roman"/>
          <w:color w:val="000000" w:themeColor="text1"/>
          <w:sz w:val="24"/>
          <w14:textFill>
            <w14:solidFill>
              <w14:schemeClr w14:val="tx1"/>
            </w14:solidFill>
          </w14:textFill>
        </w:rPr>
        <w:t xml:space="preserve"> into a </w:t>
      </w:r>
      <w:r>
        <w:rPr>
          <w:rFonts w:hint="eastAsia" w:ascii="Times New Roman" w:hAnsi="Times New Roman" w:cs="Times New Roman"/>
          <w:color w:val="000000" w:themeColor="text1"/>
          <w:sz w:val="24"/>
          <w:lang w:val="en-US" w:eastAsia="zh-CN"/>
          <w14:textFill>
            <w14:solidFill>
              <w14:schemeClr w14:val="tx1"/>
            </w14:solidFill>
          </w14:textFill>
        </w:rPr>
        <w:t xml:space="preserve">healthy </w:t>
      </w:r>
      <w:r>
        <w:rPr>
          <w:rFonts w:ascii="Times New Roman" w:hAnsi="Times New Roman" w:cs="Times New Roman"/>
          <w:color w:val="000000" w:themeColor="text1"/>
          <w:sz w:val="24"/>
          <w14:textFill>
            <w14:solidFill>
              <w14:schemeClr w14:val="tx1"/>
            </w14:solidFill>
          </w14:textFill>
        </w:rPr>
        <w:t>control group (n=10) and a MM tumor bearing group (n=10). After injecting 2 ×10 ^ 5 SP2/0 cells into the right axilla of tumor bearing mice, they were randomly divided into MM group (n=5) and MM+C3G group (n=5). The control group mice were also randomly divided into HC group and HC+</w:t>
      </w:r>
      <w:r>
        <w:rPr>
          <w:rFonts w:hint="eastAsia" w:ascii="Times New Roman" w:hAnsi="Times New Roman" w:cs="Times New Roman"/>
          <w:color w:val="000000" w:themeColor="text1"/>
          <w:sz w:val="24"/>
          <w:lang w:val="en-US" w:eastAsia="zh-CN"/>
          <w14:textFill>
            <w14:solidFill>
              <w14:schemeClr w14:val="tx1"/>
            </w14:solidFill>
          </w14:textFill>
        </w:rPr>
        <w:t>C3G</w:t>
      </w:r>
      <w:r>
        <w:rPr>
          <w:rFonts w:ascii="Times New Roman" w:hAnsi="Times New Roman" w:cs="Times New Roman"/>
          <w:color w:val="000000" w:themeColor="text1"/>
          <w:sz w:val="24"/>
          <w14:textFill>
            <w14:solidFill>
              <w14:schemeClr w14:val="tx1"/>
            </w14:solidFill>
          </w14:textFill>
        </w:rPr>
        <w:t xml:space="preserve"> group. On the third day after tumor inoculation, mice in the MM</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and MM+C3G group were injected with PBS or 25 mg/kg C3G via tail vein injection, once every other day, for a total of 6 injections; At the same time, the HC group and HC+C3G group were also given the same PBS or C3G intervention as controls. At the end of the experiment, mice were euthanized using excessive anesthesia with isoflurane, and peripheral blood and subcutaneous tumor specimens were collected.</w:t>
      </w:r>
    </w:p>
    <w:p w14:paraId="226803C4">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eastAsia" w:ascii="Times New Roman" w:hAnsi="Times New Roman" w:cs="Times New Roman"/>
          <w:b/>
          <w:bCs/>
          <w:sz w:val="24"/>
          <w:lang w:val="en-US" w:eastAsia="zh-CN"/>
        </w:rPr>
        <w:t>Isolation of Naive CD4</w:t>
      </w:r>
      <w:r>
        <w:rPr>
          <w:rFonts w:hint="eastAsia" w:ascii="Times New Roman" w:hAnsi="Times New Roman" w:cs="Times New Roman"/>
          <w:b/>
          <w:bCs/>
          <w:sz w:val="24"/>
          <w:vertAlign w:val="superscript"/>
          <w:lang w:val="en-US" w:eastAsia="zh-CN"/>
        </w:rPr>
        <w:t>+</w:t>
      </w:r>
      <w:r>
        <w:rPr>
          <w:rFonts w:hint="eastAsia" w:ascii="Times New Roman" w:hAnsi="Times New Roman" w:cs="Times New Roman"/>
          <w:b/>
          <w:bCs/>
          <w:sz w:val="24"/>
          <w:lang w:val="en-US" w:eastAsia="zh-CN"/>
        </w:rPr>
        <w:t xml:space="preserve"> T cells from human peripheral blood</w:t>
      </w:r>
    </w:p>
    <w:p w14:paraId="39EB6F76">
      <w:pPr>
        <w:spacing w:line="360" w:lineRule="auto"/>
        <w:ind w:firstLine="420" w:firstLineChars="0"/>
        <w:rPr>
          <w:rFonts w:hint="eastAsia"/>
          <w:lang w:val="en-US" w:eastAsia="zh-CN"/>
        </w:rPr>
      </w:pPr>
      <w:r>
        <w:rPr>
          <w:rFonts w:hint="eastAsia" w:ascii="Times New Roman" w:hAnsi="Times New Roman" w:eastAsiaTheme="minorEastAsia"/>
          <w:b w:val="0"/>
          <w:bCs w:val="0"/>
          <w:color w:val="000000" w:themeColor="text1"/>
          <w:kern w:val="2"/>
          <w:sz w:val="24"/>
          <w:szCs w:val="24"/>
          <w14:textFill>
            <w14:solidFill>
              <w14:schemeClr w14:val="tx1"/>
            </w14:solidFill>
          </w14:textFill>
        </w:rPr>
        <w:t xml:space="preserve">Peripheral blood samples were collected from 100 </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healthy volunteers (HV</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s</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14:textFill>
            <w14:solidFill>
              <w14:schemeClr w14:val="tx1"/>
            </w14:solidFill>
          </w14:textFill>
        </w:rPr>
        <w:t xml:space="preserve"> who visited the Health Examination Center of the Affiliated Hospital of Qingdao University</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with approval from the Ethics Committee (NO. QYFYWZLL29142). All participants provided informed consent. Peripheral blood mononuclear cells (PBMCs) from </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HV</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s were separated using the Ficoll density gradient centrifugation method (TBD, Tianjin, China). Naive CD4</w:t>
      </w:r>
      <w:r>
        <w:rPr>
          <w:rFonts w:hint="eastAsia" w:ascii="Times New Roman" w:hAnsi="Times New Roman" w:eastAsiaTheme="minorEastAsia"/>
          <w:b w:val="0"/>
          <w:bCs w:val="0"/>
          <w:color w:val="000000" w:themeColor="text1"/>
          <w:kern w:val="2"/>
          <w:sz w:val="24"/>
          <w:szCs w:val="24"/>
          <w:vertAlign w:val="superscript"/>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T cells were isolated from</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 xml:space="preserve"> </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PBMCs of HV</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s</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using the Naive CD4</w:t>
      </w:r>
      <w:r>
        <w:rPr>
          <w:rFonts w:hint="eastAsia" w:ascii="Times New Roman" w:hAnsi="Times New Roman" w:eastAsiaTheme="minorEastAsia"/>
          <w:b w:val="0"/>
          <w:bCs w:val="0"/>
          <w:color w:val="000000" w:themeColor="text1"/>
          <w:kern w:val="2"/>
          <w:sz w:val="24"/>
          <w:szCs w:val="24"/>
          <w:vertAlign w:val="superscript"/>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T Cell Isolation Kit II</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 human</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 Miltenyi Biotec, Bergisch - Gladbach, Germany). After incubation of PBMCs with a biotin</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antibody cocktail and </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m</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icro</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b</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ead </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c</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ocktail, negative selection was performed using LS separation columns to obtain </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Naive</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CD4</w:t>
      </w:r>
      <w:r>
        <w:rPr>
          <w:rFonts w:hint="eastAsia" w:ascii="Times New Roman" w:hAnsi="Times New Roman" w:eastAsiaTheme="minorEastAsia"/>
          <w:b w:val="0"/>
          <w:bCs w:val="0"/>
          <w:color w:val="000000" w:themeColor="text1"/>
          <w:kern w:val="2"/>
          <w:sz w:val="24"/>
          <w:szCs w:val="24"/>
          <w:vertAlign w:val="superscript"/>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T cells. Subsequently, the sorted </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Naive</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CD4</w:t>
      </w:r>
      <w:r>
        <w:rPr>
          <w:rFonts w:hint="eastAsia" w:ascii="Times New Roman" w:hAnsi="Times New Roman" w:eastAsiaTheme="minorEastAsia"/>
          <w:b w:val="0"/>
          <w:bCs w:val="0"/>
          <w:color w:val="000000" w:themeColor="text1"/>
          <w:kern w:val="2"/>
          <w:sz w:val="24"/>
          <w:szCs w:val="24"/>
          <w:vertAlign w:val="superscript"/>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 xml:space="preserve"> T cells were cultured overnight in a 6</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well plate coated with anti</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human CD3 mAb and anti</w:t>
      </w:r>
      <w:r>
        <w:rPr>
          <w:rFonts w:hint="eastAsia" w:ascii="Times New Roman" w:hAnsi="Times New Roman"/>
          <w:b w:val="0"/>
          <w:bCs w:val="0"/>
          <w:color w:val="000000" w:themeColor="text1"/>
          <w:kern w:val="2"/>
          <w:sz w:val="24"/>
          <w:szCs w:val="24"/>
          <w:lang w:val="en-US" w:eastAsia="zh-CN"/>
          <w14:textFill>
            <w14:solidFill>
              <w14:schemeClr w14:val="tx1"/>
            </w14:solidFill>
          </w14:textFill>
        </w:rPr>
        <w:t>-</w:t>
      </w:r>
      <w:r>
        <w:rPr>
          <w:rFonts w:hint="eastAsia" w:ascii="Times New Roman" w:hAnsi="Times New Roman" w:eastAsiaTheme="minorEastAsia"/>
          <w:b w:val="0"/>
          <w:bCs w:val="0"/>
          <w:color w:val="000000" w:themeColor="text1"/>
          <w:kern w:val="2"/>
          <w:sz w:val="24"/>
          <w:szCs w:val="24"/>
          <w:lang w:val="en-US" w:eastAsia="zh-CN"/>
          <w14:textFill>
            <w14:solidFill>
              <w14:schemeClr w14:val="tx1"/>
            </w14:solidFill>
          </w14:textFill>
        </w:rPr>
        <w:t>human CD28 mAb (T&amp;L Biotechnology Ltd., Beijing, China) to activate them for subsequent experiments.</w:t>
      </w:r>
    </w:p>
    <w:p w14:paraId="35346CBD">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b/>
          <w:bCs/>
          <w:sz w:val="24"/>
          <w:lang w:val="en-US" w:eastAsia="zh-CN"/>
        </w:rPr>
      </w:pPr>
      <w:r>
        <w:rPr>
          <w:rFonts w:hint="eastAsia" w:ascii="Times New Roman" w:hAnsi="Times New Roman" w:cs="Times New Roman"/>
          <w:b/>
          <w:bCs/>
          <w:sz w:val="24"/>
          <w:lang w:val="en-US" w:eastAsia="zh-CN"/>
        </w:rPr>
        <w:t xml:space="preserve">Cell </w:t>
      </w:r>
      <w:r>
        <w:rPr>
          <w:rFonts w:hint="default" w:ascii="Times New Roman" w:hAnsi="Times New Roman" w:cs="Times New Roman"/>
          <w:b/>
          <w:bCs/>
          <w:sz w:val="24"/>
          <w:lang w:val="en-US" w:eastAsia="zh-CN"/>
        </w:rPr>
        <w:t>viability</w:t>
      </w:r>
      <w:r>
        <w:rPr>
          <w:rFonts w:hint="eastAsia" w:ascii="Times New Roman" w:hAnsi="Times New Roman" w:cs="Times New Roman"/>
          <w:b/>
          <w:bCs/>
          <w:sz w:val="24"/>
          <w:lang w:val="en-US" w:eastAsia="zh-CN"/>
        </w:rPr>
        <w:t xml:space="preserve"> assay</w:t>
      </w:r>
    </w:p>
    <w:p w14:paraId="32F4EC49">
      <w:pPr>
        <w:spacing w:line="360" w:lineRule="auto"/>
        <w:ind w:firstLine="420" w:firstLineChars="0"/>
        <w:rPr>
          <w:rFonts w:hint="eastAsia" w:ascii="Times New Roman" w:hAnsi="Times New Roman" w:cs="Times New Roman" w:eastAsiaTheme="minorEastAsia"/>
          <w:sz w:val="24"/>
          <w:lang w:val="en-US" w:eastAsia="zh-CN"/>
        </w:rPr>
      </w:pPr>
      <w:r>
        <w:rPr>
          <w:rFonts w:hint="default" w:ascii="Times New Roman" w:hAnsi="Times New Roman" w:cs="Times New Roman"/>
          <w:sz w:val="24"/>
        </w:rPr>
        <w:t xml:space="preserve">Cell Counting Kit-8 (CCK-8) reagent (MedChemExpress, Shanghai, China) was used to evaluate the viability of </w:t>
      </w:r>
      <w:r>
        <w:rPr>
          <w:rFonts w:hint="eastAsia" w:ascii="Times New Roman" w:hAnsi="Times New Roman" w:cs="Times New Roman"/>
          <w:sz w:val="24"/>
          <w:lang w:val="en-US" w:eastAsia="zh-CN"/>
        </w:rPr>
        <w:t>Naive CD4</w:t>
      </w:r>
      <w:r>
        <w:rPr>
          <w:rFonts w:hint="eastAsia" w:ascii="Times New Roman" w:hAnsi="Times New Roman" w:cs="Times New Roman"/>
          <w:sz w:val="24"/>
          <w:vertAlign w:val="superscript"/>
          <w:lang w:val="en-US" w:eastAsia="zh-CN"/>
        </w:rPr>
        <w:t>+</w:t>
      </w:r>
      <w:r>
        <w:rPr>
          <w:rFonts w:hint="eastAsia" w:ascii="Times New Roman" w:hAnsi="Times New Roman" w:cs="Times New Roman"/>
          <w:sz w:val="24"/>
          <w:lang w:val="en-US" w:eastAsia="zh-CN"/>
        </w:rPr>
        <w:t xml:space="preserve"> T cells.</w:t>
      </w:r>
      <w:r>
        <w:rPr>
          <w:rFonts w:hint="default" w:ascii="Times New Roman" w:hAnsi="Times New Roman" w:cs="Times New Roman"/>
          <w:sz w:val="24"/>
          <w:lang w:val="en-US" w:eastAsia="zh-CN"/>
        </w:rPr>
        <w:t xml:space="preserve"> </w:t>
      </w:r>
      <w:r>
        <w:rPr>
          <w:rFonts w:hint="default" w:ascii="Times New Roman" w:hAnsi="Times New Roman" w:cs="Times New Roman"/>
          <w:sz w:val="24"/>
        </w:rPr>
        <w:t>The cells were seeded into 96-well plates at a density of 1</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 10^4 cells/100 μ</w:t>
      </w:r>
      <w:r>
        <w:rPr>
          <w:rFonts w:hint="eastAsia" w:ascii="Times New Roman" w:hAnsi="Times New Roman" w:cs="Times New Roman"/>
          <w:sz w:val="24"/>
          <w:lang w:val="en-US" w:eastAsia="zh-CN"/>
        </w:rPr>
        <w:t>L</w:t>
      </w:r>
      <w:r>
        <w:rPr>
          <w:rFonts w:hint="default" w:ascii="Times New Roman" w:hAnsi="Times New Roman" w:cs="Times New Roman"/>
          <w:sz w:val="24"/>
        </w:rPr>
        <w:t xml:space="preserve"> per well.</w:t>
      </w:r>
      <w:r>
        <w:rPr>
          <w:rFonts w:hint="default" w:ascii="Times New Roman" w:hAnsi="Times New Roman" w:cs="Times New Roman"/>
          <w:sz w:val="24"/>
          <w:lang w:val="en-US" w:eastAsia="zh-CN"/>
        </w:rPr>
        <w:t xml:space="preserve"> </w:t>
      </w:r>
      <w:r>
        <w:rPr>
          <w:rFonts w:hint="default" w:ascii="Times New Roman" w:hAnsi="Times New Roman" w:cs="Times New Roman"/>
          <w:sz w:val="24"/>
        </w:rPr>
        <w:t>C3G at various concentration gradients was added to the cells</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 xml:space="preserve"> </w:t>
      </w:r>
      <w:r>
        <w:rPr>
          <w:rFonts w:hint="eastAsia" w:ascii="Times New Roman" w:hAnsi="Times New Roman" w:cs="Times New Roman"/>
          <w:sz w:val="24"/>
          <w:lang w:val="en-US" w:eastAsia="zh-CN"/>
        </w:rPr>
        <w:t>After 48h</w:t>
      </w:r>
      <w:r>
        <w:rPr>
          <w:rFonts w:hint="default" w:ascii="Times New Roman" w:hAnsi="Times New Roman" w:cs="Times New Roman"/>
          <w:sz w:val="24"/>
        </w:rPr>
        <w:t>, 10 μ</w:t>
      </w:r>
      <w:r>
        <w:rPr>
          <w:rFonts w:hint="eastAsia" w:ascii="Times New Roman" w:hAnsi="Times New Roman" w:cs="Times New Roman"/>
          <w:sz w:val="24"/>
          <w:lang w:val="en-US" w:eastAsia="zh-CN"/>
        </w:rPr>
        <w:t>L</w:t>
      </w:r>
      <w:r>
        <w:rPr>
          <w:rFonts w:hint="default" w:ascii="Times New Roman" w:hAnsi="Times New Roman" w:cs="Times New Roman"/>
          <w:sz w:val="24"/>
        </w:rPr>
        <w:t xml:space="preserve"> of CCK-8 was added to each well and incubated at 37</w:t>
      </w:r>
      <w:r>
        <w:rPr>
          <w:rFonts w:hint="default" w:ascii="Times New Roman" w:hAnsi="Times New Roman" w:cs="Times New Roman"/>
          <w:sz w:val="24"/>
          <w:lang w:val="en-US" w:eastAsia="zh-CN"/>
        </w:rPr>
        <w:t xml:space="preserve"> </w:t>
      </w:r>
      <w:r>
        <w:rPr>
          <w:rFonts w:hint="default" w:ascii="Times New Roman" w:hAnsi="Times New Roman" w:cs="Times New Roman"/>
          <w:color w:val="auto"/>
          <w:sz w:val="24"/>
          <w:szCs w:val="24"/>
          <w:lang w:val="en-US" w:eastAsia="zh-CN"/>
        </w:rPr>
        <w:t>℃</w:t>
      </w:r>
      <w:r>
        <w:rPr>
          <w:rFonts w:hint="default" w:ascii="Times New Roman" w:hAnsi="Times New Roman" w:cs="Times New Roman"/>
          <w:sz w:val="24"/>
        </w:rPr>
        <w:t xml:space="preserve"> for 4h in the dark.</w:t>
      </w:r>
      <w:r>
        <w:rPr>
          <w:rFonts w:hint="default" w:ascii="Times New Roman" w:hAnsi="Times New Roman" w:cs="Times New Roman"/>
          <w:sz w:val="24"/>
          <w:lang w:val="en-US" w:eastAsia="zh-CN"/>
        </w:rPr>
        <w:t xml:space="preserve"> </w:t>
      </w:r>
      <w:r>
        <w:rPr>
          <w:rFonts w:hint="default" w:ascii="Times New Roman" w:hAnsi="Times New Roman" w:cs="Times New Roman"/>
          <w:sz w:val="24"/>
        </w:rPr>
        <w:t>The absorbance at 450 nm was measured using a spectrophotometric plate reader</w:t>
      </w:r>
      <w:r>
        <w:rPr>
          <w:rFonts w:hint="eastAsia" w:ascii="Times New Roman" w:hAnsi="Times New Roman" w:cs="Times New Roman"/>
          <w:sz w:val="24"/>
          <w:lang w:val="en-US" w:eastAsia="zh-CN"/>
        </w:rPr>
        <w:t>. And the final concentration of C3G for subsequent experiments was selected based on the results.</w:t>
      </w:r>
    </w:p>
    <w:p w14:paraId="6C2D8EB8">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eastAsia" w:ascii="Times New Roman" w:hAnsi="Times New Roman" w:cs="Times New Roman"/>
          <w:b/>
          <w:bCs/>
          <w:sz w:val="24"/>
          <w:lang w:val="en-US" w:eastAsia="zh-CN"/>
        </w:rPr>
        <w:t>Culture of human Naive CD4</w:t>
      </w:r>
      <w:r>
        <w:rPr>
          <w:rFonts w:hint="eastAsia" w:ascii="Times New Roman" w:hAnsi="Times New Roman" w:cs="Times New Roman"/>
          <w:b/>
          <w:bCs/>
          <w:sz w:val="24"/>
          <w:vertAlign w:val="superscript"/>
          <w:lang w:val="en-US" w:eastAsia="zh-CN"/>
        </w:rPr>
        <w:t>+</w:t>
      </w:r>
      <w:r>
        <w:rPr>
          <w:rFonts w:hint="eastAsia" w:ascii="Times New Roman" w:hAnsi="Times New Roman" w:cs="Times New Roman"/>
          <w:b/>
          <w:bCs/>
          <w:sz w:val="24"/>
          <w:lang w:val="en-US" w:eastAsia="zh-CN"/>
        </w:rPr>
        <w:t xml:space="preserve"> T cells</w:t>
      </w:r>
    </w:p>
    <w:p w14:paraId="1D50E79B">
      <w:pPr>
        <w:spacing w:line="360" w:lineRule="auto"/>
        <w:ind w:firstLine="42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The density of activated CD4</w:t>
      </w:r>
      <w:r>
        <w:rPr>
          <w:rFonts w:hint="eastAsia" w:ascii="Times New Roman" w:hAnsi="Times New Roman" w:cs="Times New Roman"/>
          <w:sz w:val="24"/>
          <w:vertAlign w:val="superscript"/>
          <w:lang w:val="en-US" w:eastAsia="zh-CN"/>
        </w:rPr>
        <w:t>+</w:t>
      </w:r>
      <w:r>
        <w:rPr>
          <w:rFonts w:hint="eastAsia" w:ascii="Times New Roman" w:hAnsi="Times New Roman" w:cs="Times New Roman"/>
          <w:sz w:val="24"/>
          <w:lang w:val="en-US" w:eastAsia="zh-CN"/>
        </w:rPr>
        <w:t xml:space="preserve"> T cells was adjusted to 5 × 10^5 cells/mL, and then seeded into a 24-well plate. Recombinant human IL-2 was added to achieve a final concentration of 50 IU/mL. After treatment with different concentrations of C3G for 48 hours, the proportion of Tregs was detected by flow cytometry to determine the effect of C3G.</w:t>
      </w:r>
    </w:p>
    <w:p w14:paraId="417CE1B5">
      <w:pPr>
        <w:spacing w:line="360" w:lineRule="auto"/>
        <w:ind w:firstLine="420" w:firstLineChars="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 xml:space="preserve">The density </w:t>
      </w:r>
      <w:r>
        <w:rPr>
          <w:rFonts w:hint="default" w:ascii="Times New Roman" w:hAnsi="Times New Roman" w:cs="Times New Roman"/>
          <w:sz w:val="24"/>
          <w:highlight w:val="none"/>
          <w:lang w:val="en-US" w:eastAsia="zh-CN"/>
        </w:rPr>
        <w:t>of activated CD4</w:t>
      </w:r>
      <w:r>
        <w:rPr>
          <w:rFonts w:hint="default" w:ascii="Times New Roman" w:hAnsi="Times New Roman" w:cs="Times New Roman"/>
          <w:sz w:val="24"/>
          <w:highlight w:val="none"/>
          <w:vertAlign w:val="superscript"/>
          <w:lang w:val="en-US" w:eastAsia="zh-CN"/>
        </w:rPr>
        <w:t>+</w:t>
      </w:r>
      <w:r>
        <w:rPr>
          <w:rFonts w:hint="default" w:ascii="Times New Roman" w:hAnsi="Times New Roman" w:cs="Times New Roman"/>
          <w:sz w:val="24"/>
          <w:highlight w:val="none"/>
          <w:lang w:val="en-US" w:eastAsia="zh-CN"/>
        </w:rPr>
        <w:t xml:space="preserve"> T cells was adjusted to 5 × 10^5 cells/mL, and seeded in</w:t>
      </w:r>
      <w:r>
        <w:rPr>
          <w:rFonts w:hint="eastAsia" w:ascii="Times New Roman" w:hAnsi="Times New Roman" w:cs="Times New Roman"/>
          <w:sz w:val="24"/>
          <w:highlight w:val="none"/>
          <w:lang w:val="en-US" w:eastAsia="zh-CN"/>
        </w:rPr>
        <w:t xml:space="preserve"> </w:t>
      </w:r>
      <w:r>
        <w:rPr>
          <w:rFonts w:hint="default" w:ascii="Times New Roman" w:hAnsi="Times New Roman" w:cs="Times New Roman"/>
          <w:sz w:val="24"/>
          <w:highlight w:val="none"/>
          <w:lang w:val="en-US" w:eastAsia="zh-CN"/>
        </w:rPr>
        <w:t xml:space="preserve">a 12-well plate. MM.1S </w:t>
      </w:r>
      <w:r>
        <w:rPr>
          <w:rFonts w:hint="eastAsia" w:ascii="Times New Roman" w:hAnsi="Times New Roman" w:cs="Times New Roman"/>
          <w:sz w:val="24"/>
          <w:highlight w:val="none"/>
          <w:lang w:val="en-US" w:eastAsia="zh-CN"/>
        </w:rPr>
        <w:t xml:space="preserve">or RPMI-8226 </w:t>
      </w:r>
      <w:r>
        <w:rPr>
          <w:rFonts w:hint="default" w:ascii="Times New Roman" w:hAnsi="Times New Roman" w:cs="Times New Roman"/>
          <w:sz w:val="24"/>
          <w:highlight w:val="none"/>
          <w:lang w:val="en-US" w:eastAsia="zh-CN"/>
        </w:rPr>
        <w:t xml:space="preserve">cells at a density of 1 × 10^6 cells/mL or 1640 culture medium as a control were </w:t>
      </w:r>
      <w:r>
        <w:rPr>
          <w:rFonts w:hint="eastAsia" w:ascii="Times New Roman" w:hAnsi="Times New Roman" w:cs="Times New Roman"/>
          <w:sz w:val="24"/>
          <w:highlight w:val="none"/>
          <w:lang w:val="en-US" w:eastAsia="zh-CN"/>
        </w:rPr>
        <w:t xml:space="preserve">also </w:t>
      </w:r>
      <w:r>
        <w:rPr>
          <w:rFonts w:hint="default" w:ascii="Times New Roman" w:hAnsi="Times New Roman" w:cs="Times New Roman"/>
          <w:sz w:val="24"/>
          <w:highlight w:val="none"/>
          <w:lang w:val="en-US" w:eastAsia="zh-CN"/>
        </w:rPr>
        <w:t>added. Recombinant human IL-2 at a final concentration of 50 IU/mL was added, with or w</w:t>
      </w:r>
      <w:r>
        <w:rPr>
          <w:rFonts w:hint="default" w:ascii="Times New Roman" w:hAnsi="Times New Roman" w:cs="Times New Roman"/>
          <w:sz w:val="24"/>
          <w:lang w:val="en-US" w:eastAsia="zh-CN"/>
        </w:rPr>
        <w:t>ithout C3G treatment. After 48 hours of culture, cells were collected and detected by flow cytometry.</w:t>
      </w:r>
    </w:p>
    <w:p w14:paraId="25CE9D08">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b/>
          <w:bCs/>
          <w:sz w:val="24"/>
          <w:lang w:val="en-US" w:eastAsia="zh-CN"/>
        </w:rPr>
      </w:pPr>
      <w:r>
        <w:rPr>
          <w:rFonts w:hint="eastAsia" w:ascii="Times New Roman" w:hAnsi="Times New Roman" w:cs="Times New Roman"/>
          <w:b/>
          <w:bCs/>
          <w:sz w:val="24"/>
          <w:lang w:val="en-US" w:eastAsia="zh-CN"/>
        </w:rPr>
        <w:t>Detection of peripheral blood lymphocyte subsets in mice</w:t>
      </w:r>
    </w:p>
    <w:p w14:paraId="0D8D92D8">
      <w:pPr>
        <w:spacing w:line="360" w:lineRule="auto"/>
        <w:ind w:firstLine="420" w:firstLineChars="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Peripheral blood samples were collected from mice in appropriate volumes. After treatment with red blood cell lysis buffer to remove erythrocytes, the cells were resuspended in PBS. For the identification of CD3</w:t>
      </w:r>
      <w:r>
        <w:rPr>
          <w:rFonts w:hint="eastAsia" w:ascii="Times New Roman" w:hAnsi="Times New Roman" w:cs="Times New Roman"/>
          <w:sz w:val="24"/>
          <w:vertAlign w:val="superscript"/>
          <w:lang w:val="en-US" w:eastAsia="zh-CN"/>
        </w:rPr>
        <w:t>+</w:t>
      </w:r>
      <w:r>
        <w:rPr>
          <w:rFonts w:hint="default" w:ascii="Times New Roman" w:hAnsi="Times New Roman" w:cs="Times New Roman"/>
          <w:sz w:val="24"/>
          <w:lang w:val="en-US" w:eastAsia="zh-CN"/>
        </w:rPr>
        <w:t xml:space="preserve"> T cells and CD3</w:t>
      </w:r>
      <w:r>
        <w:rPr>
          <w:rFonts w:hint="default" w:ascii="Times New Roman" w:hAnsi="Times New Roman" w:cs="Times New Roman"/>
          <w:sz w:val="24"/>
          <w:vertAlign w:val="superscript"/>
          <w:lang w:val="en-US" w:eastAsia="zh-CN"/>
        </w:rPr>
        <w:t>−</w:t>
      </w:r>
      <w:r>
        <w:rPr>
          <w:rFonts w:hint="default" w:ascii="Times New Roman" w:hAnsi="Times New Roman" w:cs="Times New Roman"/>
          <w:sz w:val="24"/>
          <w:lang w:val="en-US" w:eastAsia="zh-CN"/>
        </w:rPr>
        <w:t>CD19</w:t>
      </w:r>
      <w:r>
        <w:rPr>
          <w:rFonts w:hint="default" w:ascii="Times New Roman" w:hAnsi="Times New Roman" w:cs="Times New Roman"/>
          <w:sz w:val="24"/>
          <w:vertAlign w:val="superscript"/>
          <w:lang w:val="en-US" w:eastAsia="zh-CN"/>
        </w:rPr>
        <w:t>+</w:t>
      </w:r>
      <w:r>
        <w:rPr>
          <w:rFonts w:hint="default" w:ascii="Times New Roman" w:hAnsi="Times New Roman" w:cs="Times New Roman"/>
          <w:sz w:val="24"/>
          <w:lang w:val="en-US" w:eastAsia="zh-CN"/>
        </w:rPr>
        <w:t xml:space="preserve"> B cells, cells were stained with PerCP-conjugated anti-CD45, APC-conjugated anti-CD3e, and PE-conjugated anti-CD19 antibodies. For the identification of CD3</w:t>
      </w:r>
      <w:r>
        <w:rPr>
          <w:rFonts w:hint="default" w:ascii="Times New Roman" w:hAnsi="Times New Roman" w:cs="Times New Roman"/>
          <w:sz w:val="24"/>
          <w:vertAlign w:val="superscript"/>
          <w:lang w:val="en-US" w:eastAsia="zh-CN"/>
        </w:rPr>
        <w:t>−</w:t>
      </w:r>
      <w:r>
        <w:rPr>
          <w:rFonts w:hint="default" w:ascii="Times New Roman" w:hAnsi="Times New Roman" w:cs="Times New Roman"/>
          <w:sz w:val="24"/>
          <w:lang w:val="en-US" w:eastAsia="zh-CN"/>
        </w:rPr>
        <w:t>CD49b</w:t>
      </w:r>
      <w:r>
        <w:rPr>
          <w:rFonts w:hint="default" w:ascii="Times New Roman" w:hAnsi="Times New Roman" w:cs="Times New Roman"/>
          <w:sz w:val="24"/>
          <w:vertAlign w:val="superscript"/>
          <w:lang w:val="en-US" w:eastAsia="zh-CN"/>
        </w:rPr>
        <w:t>+</w:t>
      </w:r>
      <w:r>
        <w:rPr>
          <w:rFonts w:hint="default" w:ascii="Times New Roman" w:hAnsi="Times New Roman" w:cs="Times New Roman"/>
          <w:sz w:val="24"/>
          <w:lang w:val="en-US" w:eastAsia="zh-CN"/>
        </w:rPr>
        <w:t xml:space="preserve"> NK cells, cells were stained with PerCP-conjugated anti-CD45, APC-conjugated anti-CD3e, and PE-conjugated anti-CD49b antibodies. Flow cytometry was then performed to determine the proportion of these immune cell subsets among lymphocytes.</w:t>
      </w:r>
    </w:p>
    <w:p w14:paraId="0E727E67">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b/>
          <w:bCs/>
          <w:sz w:val="24"/>
          <w:lang w:val="en-US" w:eastAsia="zh-CN"/>
        </w:rPr>
      </w:pPr>
      <w:r>
        <w:rPr>
          <w:rFonts w:hint="default" w:ascii="Times New Roman" w:hAnsi="Times New Roman" w:cs="Times New Roman"/>
          <w:b/>
          <w:bCs/>
          <w:sz w:val="24"/>
          <w:lang w:val="en-US" w:eastAsia="zh-CN"/>
        </w:rPr>
        <w:t>The detection of the proportion of Tregs among CD4</w:t>
      </w:r>
      <w:r>
        <w:rPr>
          <w:rFonts w:hint="default" w:ascii="Times New Roman" w:hAnsi="Times New Roman" w:cs="Times New Roman"/>
          <w:b/>
          <w:bCs/>
          <w:sz w:val="24"/>
          <w:vertAlign w:val="superscript"/>
          <w:lang w:val="en-US" w:eastAsia="zh-CN"/>
        </w:rPr>
        <w:t>+</w:t>
      </w:r>
      <w:r>
        <w:rPr>
          <w:rFonts w:hint="default" w:ascii="Times New Roman" w:hAnsi="Times New Roman" w:cs="Times New Roman"/>
          <w:b/>
          <w:bCs/>
          <w:sz w:val="24"/>
          <w:lang w:val="en-US" w:eastAsia="zh-CN"/>
        </w:rPr>
        <w:t xml:space="preserve"> T cells</w:t>
      </w:r>
    </w:p>
    <w:p w14:paraId="3AE59D17">
      <w:pPr>
        <w:spacing w:line="360" w:lineRule="auto"/>
        <w:ind w:firstLine="420"/>
        <w:rPr>
          <w:rFonts w:hint="eastAsia"/>
          <w:lang w:val="en-US" w:eastAsia="zh-CN"/>
        </w:rPr>
      </w:pPr>
      <w:r>
        <w:rPr>
          <w:rFonts w:ascii="Times New Roman" w:hAnsi="Times New Roman" w:cs="Times New Roman"/>
          <w:color w:val="000000" w:themeColor="text1"/>
          <w:sz w:val="24"/>
          <w:highlight w:val="none"/>
          <w14:textFill>
            <w14:solidFill>
              <w14:schemeClr w14:val="tx1"/>
            </w14:solidFill>
          </w14:textFill>
        </w:rPr>
        <w:t>The proportion</w:t>
      </w:r>
      <w:r>
        <w:rPr>
          <w:rFonts w:hint="eastAsia" w:ascii="Times New Roman" w:hAnsi="Times New Roman" w:cs="Times New Roman"/>
          <w:color w:val="000000" w:themeColor="text1"/>
          <w:sz w:val="24"/>
          <w:highlight w:val="none"/>
          <w:lang w:val="en-US" w:eastAsia="zh-CN"/>
          <w14:textFill>
            <w14:solidFill>
              <w14:schemeClr w14:val="tx1"/>
            </w14:solidFill>
          </w14:textFill>
        </w:rPr>
        <w:t>s</w:t>
      </w:r>
      <w:r>
        <w:rPr>
          <w:rFonts w:ascii="Times New Roman" w:hAnsi="Times New Roman" w:cs="Times New Roman"/>
          <w:color w:val="000000" w:themeColor="text1"/>
          <w:sz w:val="24"/>
          <w:highlight w:val="none"/>
          <w14:textFill>
            <w14:solidFill>
              <w14:schemeClr w14:val="tx1"/>
            </w14:solidFill>
          </w14:textFill>
        </w:rPr>
        <w:t xml:space="preserve"> of Tregs to CD4</w:t>
      </w:r>
      <w:r>
        <w:rPr>
          <w:rFonts w:ascii="Times New Roman" w:hAnsi="Times New Roman" w:cs="Times New Roman"/>
          <w:color w:val="000000" w:themeColor="text1"/>
          <w:sz w:val="24"/>
          <w:highlight w:val="none"/>
          <w:vertAlign w:val="superscript"/>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 xml:space="preserve"> T cells in peripheral blood samples</w:t>
      </w:r>
      <w:r>
        <w:rPr>
          <w:rFonts w:hint="eastAsia" w:ascii="Times New Roman" w:hAnsi="Times New Roman" w:cs="Times New Roman"/>
          <w:color w:val="000000" w:themeColor="text1"/>
          <w:sz w:val="24"/>
          <w:highlight w:val="none"/>
          <w:lang w:val="en-US" w:eastAsia="zh-CN"/>
          <w14:textFill>
            <w14:solidFill>
              <w14:schemeClr w14:val="tx1"/>
            </w14:solidFill>
          </w14:textFill>
        </w:rPr>
        <w:t xml:space="preserve"> from mice </w:t>
      </w:r>
      <w:r>
        <w:rPr>
          <w:rFonts w:ascii="Times New Roman" w:hAnsi="Times New Roman" w:cs="Times New Roman"/>
          <w:color w:val="000000" w:themeColor="text1"/>
          <w:sz w:val="24"/>
          <w:highlight w:val="none"/>
          <w14:textFill>
            <w14:solidFill>
              <w14:schemeClr w14:val="tx1"/>
            </w14:solidFill>
          </w14:textFill>
        </w:rPr>
        <w:t>or human cell culture samples</w:t>
      </w:r>
      <w:r>
        <w:rPr>
          <w:rFonts w:hint="eastAsia" w:ascii="Times New Roman" w:hAnsi="Times New Roman" w:cs="Times New Roman"/>
          <w:color w:val="000000" w:themeColor="text1"/>
          <w:sz w:val="24"/>
          <w:highlight w:val="none"/>
          <w:lang w:val="en-US" w:eastAsia="zh-CN"/>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was detected by mouse or human regulatory T cell staining kit</w:t>
      </w:r>
      <w:r>
        <w:rPr>
          <w:rFonts w:hint="eastAsia" w:ascii="Times New Roman" w:hAnsi="Times New Roman" w:cs="Times New Roman"/>
          <w:color w:val="000000" w:themeColor="text1"/>
          <w:sz w:val="24"/>
          <w:highlight w:val="none"/>
          <w:lang w:val="en-US" w:eastAsia="zh-CN"/>
          <w14:textFill>
            <w14:solidFill>
              <w14:schemeClr w14:val="tx1"/>
            </w14:solidFill>
          </w14:textFill>
        </w:rPr>
        <w:t xml:space="preserve"> (Multi Sciences, Hangzhou, China)</w:t>
      </w:r>
      <w:r>
        <w:rPr>
          <w:rFonts w:ascii="Times New Roman" w:hAnsi="Times New Roman" w:cs="Times New Roman"/>
          <w:color w:val="000000" w:themeColor="text1"/>
          <w:sz w:val="24"/>
          <w:highlight w:val="none"/>
          <w14:textFill>
            <w14:solidFill>
              <w14:schemeClr w14:val="tx1"/>
            </w14:solidFill>
          </w14:textFill>
        </w:rPr>
        <w:t>. FITC</w:t>
      </w:r>
      <w:r>
        <w:rPr>
          <w:rFonts w:hint="default" w:ascii="Times New Roman" w:hAnsi="Times New Roman" w:cs="Times New Roman"/>
          <w:sz w:val="24"/>
          <w:highlight w:val="none"/>
          <w:lang w:val="en-US" w:eastAsia="zh-CN"/>
        </w:rPr>
        <w:t>-conjugated</w:t>
      </w:r>
      <w:r>
        <w:rPr>
          <w:rFonts w:ascii="Times New Roman" w:hAnsi="Times New Roman" w:cs="Times New Roman"/>
          <w:color w:val="000000" w:themeColor="text1"/>
          <w:sz w:val="24"/>
          <w:highlight w:val="none"/>
          <w14:textFill>
            <w14:solidFill>
              <w14:schemeClr w14:val="tx1"/>
            </w14:solidFill>
          </w14:textFill>
        </w:rPr>
        <w:t xml:space="preserve"> anti-CD4 antibody and APC</w:t>
      </w:r>
      <w:r>
        <w:rPr>
          <w:rFonts w:hint="default" w:ascii="Times New Roman" w:hAnsi="Times New Roman" w:cs="Times New Roman"/>
          <w:sz w:val="24"/>
          <w:highlight w:val="none"/>
          <w:lang w:val="en-US" w:eastAsia="zh-CN"/>
        </w:rPr>
        <w:t>-conjugated</w:t>
      </w:r>
      <w:r>
        <w:rPr>
          <w:rFonts w:ascii="Times New Roman" w:hAnsi="Times New Roman" w:cs="Times New Roman"/>
          <w:color w:val="000000" w:themeColor="text1"/>
          <w:sz w:val="24"/>
          <w:highlight w:val="none"/>
          <w14:textFill>
            <w14:solidFill>
              <w14:schemeClr w14:val="tx1"/>
            </w14:solidFill>
          </w14:textFill>
        </w:rPr>
        <w:t xml:space="preserve"> anti-CD25 antibody were added to 70u</w:t>
      </w:r>
      <w:r>
        <w:rPr>
          <w:rFonts w:hint="eastAsia" w:ascii="Times New Roman" w:hAnsi="Times New Roman" w:cs="Times New Roman"/>
          <w:color w:val="000000" w:themeColor="text1"/>
          <w:sz w:val="24"/>
          <w:highlight w:val="none"/>
          <w14:textFill>
            <w14:solidFill>
              <w14:schemeClr w14:val="tx1"/>
            </w14:solidFill>
          </w14:textFill>
        </w:rPr>
        <w:t>L</w:t>
      </w:r>
      <w:r>
        <w:rPr>
          <w:rFonts w:ascii="Times New Roman" w:hAnsi="Times New Roman" w:cs="Times New Roman"/>
          <w:color w:val="000000" w:themeColor="text1"/>
          <w:sz w:val="24"/>
          <w:highlight w:val="none"/>
          <w14:textFill>
            <w14:solidFill>
              <w14:schemeClr w14:val="tx1"/>
            </w14:solidFill>
          </w14:textFill>
        </w:rPr>
        <w:t xml:space="preserve"> </w:t>
      </w:r>
      <w:r>
        <w:rPr>
          <w:rFonts w:hint="eastAsia" w:ascii="Times New Roman" w:hAnsi="Times New Roman" w:cs="Times New Roman"/>
          <w:color w:val="000000" w:themeColor="text1"/>
          <w:sz w:val="24"/>
          <w:highlight w:val="none"/>
          <w14:textFill>
            <w14:solidFill>
              <w14:schemeClr w14:val="tx1"/>
            </w14:solidFill>
          </w14:textFill>
        </w:rPr>
        <w:t xml:space="preserve">of </w:t>
      </w:r>
      <w:r>
        <w:rPr>
          <w:rFonts w:ascii="Times New Roman" w:hAnsi="Times New Roman" w:cs="Times New Roman"/>
          <w:color w:val="000000" w:themeColor="text1"/>
          <w:sz w:val="24"/>
          <w:highlight w:val="none"/>
          <w14:textFill>
            <w14:solidFill>
              <w14:schemeClr w14:val="tx1"/>
            </w14:solidFill>
          </w14:textFill>
        </w:rPr>
        <w:t xml:space="preserve">samples to be tested and incubated for 15min in the dark. </w:t>
      </w:r>
      <w:r>
        <w:rPr>
          <w:rFonts w:hint="eastAsia"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14:textFill>
            <w14:solidFill>
              <w14:schemeClr w14:val="tx1"/>
            </w14:solidFill>
          </w14:textFill>
        </w:rPr>
        <w:t>ouse peripheral blood samples</w:t>
      </w:r>
      <w:r>
        <w:rPr>
          <w:rFonts w:hint="eastAsia" w:ascii="Times New Roman" w:hAnsi="Times New Roman" w:cs="Times New Roman"/>
          <w:color w:val="000000" w:themeColor="text1"/>
          <w:sz w:val="24"/>
          <w:highlight w:val="non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were treated with lysing solution to lyse red blood cells. After the supernatant was removed </w:t>
      </w:r>
      <w:r>
        <w:rPr>
          <w:rFonts w:hint="eastAsia" w:ascii="Times New Roman" w:hAnsi="Times New Roman" w:cs="Times New Roman"/>
          <w:color w:val="000000" w:themeColor="text1"/>
          <w:sz w:val="24"/>
          <w:highlight w:val="none"/>
          <w14:textFill>
            <w14:solidFill>
              <w14:schemeClr w14:val="tx1"/>
            </w14:solidFill>
          </w14:textFill>
        </w:rPr>
        <w:t>via</w:t>
      </w:r>
      <w:r>
        <w:rPr>
          <w:rFonts w:ascii="Times New Roman" w:hAnsi="Times New Roman" w:cs="Times New Roman"/>
          <w:color w:val="000000" w:themeColor="text1"/>
          <w:sz w:val="24"/>
          <w:highlight w:val="none"/>
          <w14:textFill>
            <w14:solidFill>
              <w14:schemeClr w14:val="tx1"/>
            </w14:solidFill>
          </w14:textFill>
        </w:rPr>
        <w:t xml:space="preserve"> centrifugation, the remaining cell pellet was fixed and permeabilized</w:t>
      </w:r>
      <w:r>
        <w:rPr>
          <w:rFonts w:hint="eastAsia" w:ascii="Times New Roman" w:hAnsi="Times New Roman" w:cs="Times New Roman"/>
          <w:color w:val="000000" w:themeColor="text1"/>
          <w:sz w:val="24"/>
          <w:highlight w:val="none"/>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 xml:space="preserve"> PE-conjugated anti-FoxP3 antibody was added</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 xml:space="preserve"> and the cells were incubated in the dark at room temperature for 1 h. The proportion of Treg</w:t>
      </w:r>
      <w:r>
        <w:rPr>
          <w:rFonts w:hint="eastAsia" w:ascii="Times New Roman" w:hAnsi="Times New Roman" w:cs="Times New Roman"/>
          <w:color w:val="000000" w:themeColor="text1"/>
          <w:sz w:val="24"/>
          <w:highlight w:val="none"/>
          <w:lang w:val="en-US" w:eastAsia="zh-CN"/>
          <w14:textFill>
            <w14:solidFill>
              <w14:schemeClr w14:val="tx1"/>
            </w14:solidFill>
          </w14:textFill>
        </w:rPr>
        <w:t>s</w:t>
      </w:r>
      <w:r>
        <w:rPr>
          <w:rFonts w:ascii="Times New Roman" w:hAnsi="Times New Roman" w:cs="Times New Roman"/>
          <w:color w:val="000000" w:themeColor="text1"/>
          <w:sz w:val="24"/>
          <w:highlight w:val="none"/>
          <w14:textFill>
            <w14:solidFill>
              <w14:schemeClr w14:val="tx1"/>
            </w14:solidFill>
          </w14:textFill>
        </w:rPr>
        <w:t xml:space="preserve"> (CD4</w:t>
      </w:r>
      <w:r>
        <w:rPr>
          <w:rFonts w:ascii="Times New Roman" w:hAnsi="Times New Roman" w:cs="Times New Roman"/>
          <w:color w:val="000000" w:themeColor="text1"/>
          <w:sz w:val="24"/>
          <w:highlight w:val="none"/>
          <w:vertAlign w:val="superscript"/>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CD25</w:t>
      </w:r>
      <w:r>
        <w:rPr>
          <w:rFonts w:ascii="Times New Roman" w:hAnsi="Times New Roman" w:cs="Times New Roman"/>
          <w:color w:val="000000" w:themeColor="text1"/>
          <w:sz w:val="24"/>
          <w:highlight w:val="none"/>
          <w:vertAlign w:val="superscript"/>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FoxP3</w:t>
      </w:r>
      <w:r>
        <w:rPr>
          <w:rFonts w:ascii="Times New Roman" w:hAnsi="Times New Roman" w:cs="Times New Roman"/>
          <w:color w:val="000000" w:themeColor="text1"/>
          <w:sz w:val="24"/>
          <w:highlight w:val="none"/>
          <w:vertAlign w:val="superscript"/>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 xml:space="preserve">) in </w:t>
      </w:r>
      <w:r>
        <w:rPr>
          <w:rFonts w:hint="eastAsia" w:ascii="Times New Roman" w:hAnsi="Times New Roman" w:cs="Times New Roman"/>
          <w:color w:val="000000" w:themeColor="text1"/>
          <w:sz w:val="24"/>
          <w:highlight w:val="none"/>
          <w14:textFill>
            <w14:solidFill>
              <w14:schemeClr w14:val="tx1"/>
            </w14:solidFill>
          </w14:textFill>
        </w:rPr>
        <w:t>CD</w:t>
      </w:r>
      <w:r>
        <w:rPr>
          <w:rFonts w:ascii="Times New Roman" w:hAnsi="Times New Roman" w:cs="Times New Roman"/>
          <w:color w:val="000000" w:themeColor="text1"/>
          <w:sz w:val="24"/>
          <w:highlight w:val="none"/>
          <w14:textFill>
            <w14:solidFill>
              <w14:schemeClr w14:val="tx1"/>
            </w14:solidFill>
          </w14:textFill>
        </w:rPr>
        <w:t>4</w:t>
      </w:r>
      <w:r>
        <w:rPr>
          <w:rFonts w:ascii="Times New Roman" w:hAnsi="Times New Roman" w:cs="Times New Roman"/>
          <w:color w:val="000000" w:themeColor="text1"/>
          <w:sz w:val="24"/>
          <w:highlight w:val="none"/>
          <w:vertAlign w:val="superscript"/>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4"/>
          <w:highlight w:val="none"/>
          <w14:textFill>
            <w14:solidFill>
              <w14:schemeClr w14:val="tx1"/>
            </w14:solidFill>
          </w14:textFill>
        </w:rPr>
        <w:t>T</w:t>
      </w:r>
      <w:r>
        <w:rPr>
          <w:rFonts w:ascii="Times New Roman" w:hAnsi="Times New Roman" w:cs="Times New Roman"/>
          <w:color w:val="000000" w:themeColor="text1"/>
          <w:sz w:val="24"/>
          <w:highlight w:val="none"/>
          <w14:textFill>
            <w14:solidFill>
              <w14:schemeClr w14:val="tx1"/>
            </w14:solidFill>
          </w14:textFill>
        </w:rPr>
        <w:t xml:space="preserve"> cells was detected </w:t>
      </w:r>
      <w:r>
        <w:rPr>
          <w:rFonts w:hint="eastAsia" w:ascii="Times New Roman" w:hAnsi="Times New Roman" w:cs="Times New Roman"/>
          <w:color w:val="000000" w:themeColor="text1"/>
          <w:sz w:val="24"/>
          <w:highlight w:val="none"/>
          <w14:textFill>
            <w14:solidFill>
              <w14:schemeClr w14:val="tx1"/>
            </w14:solidFill>
          </w14:textFill>
        </w:rPr>
        <w:t>using</w:t>
      </w:r>
      <w:r>
        <w:rPr>
          <w:rFonts w:ascii="Times New Roman" w:hAnsi="Times New Roman" w:cs="Times New Roman"/>
          <w:color w:val="000000" w:themeColor="text1"/>
          <w:sz w:val="24"/>
          <w:highlight w:val="none"/>
          <w14:textFill>
            <w14:solidFill>
              <w14:schemeClr w14:val="tx1"/>
            </w14:solidFill>
          </w14:textFill>
        </w:rPr>
        <w:t xml:space="preserve"> flow cytometry.</w:t>
      </w:r>
    </w:p>
    <w:p w14:paraId="0398505C">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cs="Times New Roman"/>
          <w:b/>
          <w:bCs/>
          <w:sz w:val="24"/>
          <w:lang w:val="en-US" w:eastAsia="zh-CN"/>
        </w:rPr>
      </w:pPr>
      <w:r>
        <w:rPr>
          <w:rFonts w:hint="eastAsia" w:ascii="Times New Roman" w:hAnsi="Times New Roman" w:cs="Times New Roman"/>
          <w:b/>
          <w:bCs/>
          <w:sz w:val="24"/>
          <w:lang w:val="en-US" w:eastAsia="zh-CN"/>
        </w:rPr>
        <w:t>Proportion detection of the of Th1/Th2/Th17 cells in CD4</w:t>
      </w:r>
      <w:r>
        <w:rPr>
          <w:rFonts w:hint="eastAsia" w:ascii="Times New Roman" w:hAnsi="Times New Roman" w:cs="Times New Roman"/>
          <w:b/>
          <w:bCs/>
          <w:sz w:val="24"/>
          <w:vertAlign w:val="superscript"/>
          <w:lang w:val="en-US" w:eastAsia="zh-CN"/>
        </w:rPr>
        <w:t>+</w:t>
      </w:r>
      <w:r>
        <w:rPr>
          <w:rFonts w:hint="eastAsia" w:ascii="Times New Roman" w:hAnsi="Times New Roman" w:cs="Times New Roman"/>
          <w:b/>
          <w:bCs/>
          <w:sz w:val="24"/>
          <w:lang w:val="en-US" w:eastAsia="zh-CN"/>
        </w:rPr>
        <w:t xml:space="preserve"> T cells</w:t>
      </w:r>
    </w:p>
    <w:p w14:paraId="6067956E">
      <w:pPr>
        <w:spacing w:line="360" w:lineRule="auto"/>
        <w:ind w:firstLine="420"/>
        <w:rPr>
          <w:rFonts w:hint="default"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The proportion of Th1, Th2, and Th17 cells was detected using the Human Th1/Th2/Th17 Staining Kit (Multi Sciences, Hangzhou, China). </w:t>
      </w:r>
      <w:r>
        <w:rPr>
          <w:rFonts w:hint="eastAsia" w:ascii="Times New Roman" w:hAnsi="Times New Roman" w:cs="Times New Roman"/>
          <w:color w:val="000000" w:themeColor="text1"/>
          <w:sz w:val="24"/>
          <w14:textFill>
            <w14:solidFill>
              <w14:schemeClr w14:val="tx1"/>
            </w14:solidFill>
          </w14:textFill>
        </w:rPr>
        <w:t xml:space="preserve">PMA/Ionomycin </w:t>
      </w:r>
      <w:r>
        <w:rPr>
          <w:rFonts w:hint="default" w:ascii="Times New Roman" w:hAnsi="Times New Roman" w:cs="Times New Roman"/>
          <w:color w:val="000000" w:themeColor="text1"/>
          <w:sz w:val="24"/>
          <w14:textFill>
            <w14:solidFill>
              <w14:schemeClr w14:val="tx1"/>
            </w14:solidFill>
          </w14:textFill>
        </w:rPr>
        <w:t>Mixture and BFA/Monensin Mixture were added to the sample and incubated at 37℃ in the dark for 4-6h</w:t>
      </w:r>
      <w:r>
        <w:rPr>
          <w:rFonts w:hint="default" w:ascii="Times New Roman" w:hAnsi="Times New Roman"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 xml:space="preserve"> Subsequently, cells were fixed and permeabilized. PE-conjugated Anti-Human IL-17A, FITC-conjugated Anti-Human IFN-γ, and APC-conjugated Anti-Human IL-4 antibodies were added to the cell suspension. After mixing, the cells were incubated in the dark at room temperature for 15 min. The proportions of Th17, Th1, and Th2 cells were then analyzed by flow cytometry.</w:t>
      </w:r>
    </w:p>
    <w:p w14:paraId="2ABE22AD">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highlight w:val="none"/>
          <w:lang w:val="en-US" w:eastAsia="zh-CN"/>
        </w:rPr>
      </w:pPr>
      <w:r>
        <w:rPr>
          <w:rFonts w:hint="eastAsia" w:ascii="Times New Roman" w:hAnsi="Times New Roman" w:cs="Times New Roman"/>
          <w:b/>
          <w:bCs/>
          <w:sz w:val="24"/>
          <w:highlight w:val="none"/>
          <w:lang w:val="en-US" w:eastAsia="zh-CN"/>
        </w:rPr>
        <w:t>Immunofluorescence staining</w:t>
      </w:r>
    </w:p>
    <w:p w14:paraId="7BB6BD7A">
      <w:pPr>
        <w:keepNext w:val="0"/>
        <w:keepLines w:val="0"/>
        <w:widowControl/>
        <w:suppressLineNumbers w:val="0"/>
        <w:spacing w:line="360" w:lineRule="auto"/>
        <w:ind w:firstLine="420" w:firstLineChars="0"/>
        <w:jc w:val="left"/>
        <w:rPr>
          <w:rFonts w:hint="eastAsia" w:ascii="Times New Roman" w:hAnsi="Times New Roman" w:eastAsia="宋体" w:cs="Times New Roman"/>
          <w:b/>
          <w:bCs/>
          <w:sz w:val="24"/>
          <w:highlight w:val="red"/>
          <w:lang w:val="en-US" w:eastAsia="zh-CN"/>
        </w:rPr>
      </w:pP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Tumor tissues</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were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fixed, dehydrated, and paraffin-embedded. After dewaxing</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antigen retrieval, and blocking,</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s</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ections were incubated overnight at 4</w:t>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with anti-FoxP3 </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mouse antibody (GB155746, 1:</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1500</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Servicebio</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Wuhan, China)</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and </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a</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nti-CD4 </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r</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abbit</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antibod</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y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GB15064, 1:200,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Servicebio), washed, and then incubated for 50 min at room temperature with FITC-conjugated goat anti-</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mouse</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IgG</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(GB22301, 1:100,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Servicebio</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and Cy3-conjugated goat anti-</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rabbit</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IgG (</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GB21303, 1:400,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Servicebio). After DAPI counterstaining, images were acquired on a Case Viewer system (Servicebio). For each tumor, CD4⁺FoxP3⁺ Tregs were enumerated in at least five non-overlapping fields</w:t>
      </w:r>
      <w:r>
        <w:rPr>
          <w:rFonts w:hint="eastAsia"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cs="Times New Roman" w:eastAsiaTheme="minorEastAsia"/>
          <w:b w:val="0"/>
          <w:bCs w:val="0"/>
          <w:color w:val="000000" w:themeColor="text1"/>
          <w:kern w:val="2"/>
          <w:sz w:val="24"/>
          <w:szCs w:val="24"/>
          <w:highlight w:val="none"/>
          <w:lang w:val="en-US" w:eastAsia="zh-CN" w:bidi="ar-SA"/>
          <w14:textFill>
            <w14:solidFill>
              <w14:schemeClr w14:val="tx1"/>
            </w14:solidFill>
          </w14:textFill>
        </w:rPr>
        <w:t>(40×) and expressed as a percentage of total CD4⁺ T cells.</w:t>
      </w:r>
    </w:p>
    <w:p w14:paraId="2DECA0F3">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eastAsia" w:ascii="Times New Roman" w:hAnsi="Times New Roman" w:cs="Times New Roman"/>
          <w:b/>
          <w:bCs/>
          <w:sz w:val="24"/>
          <w:lang w:val="en-US" w:eastAsia="zh-CN"/>
        </w:rPr>
        <w:t>Network pharmacology analysis</w:t>
      </w:r>
    </w:p>
    <w:p w14:paraId="35313146">
      <w:pPr>
        <w:pStyle w:val="6"/>
        <w:numPr>
          <w:ilvl w:val="0"/>
          <w:numId w:val="0"/>
        </w:numPr>
        <w:spacing w:line="360" w:lineRule="auto"/>
        <w:ind w:leftChars="0" w:firstLine="420" w:firstLineChars="0"/>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The 2D structure file and SMILES sequence of C3G were retrieved from the PubChem database (</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fldChar w:fldCharType="begin"/>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instrText xml:space="preserve"> HYPERLINK "https://pubchem.ncbi.nlm.nih.gov/" \t "https://kimi.moonshot.cn/chat/_blank" </w:instrTex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https://pubchem.ncbi.nlm.nih.gov/</w:t>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eastAsiaTheme="minorEastAsia"/>
          <w:b w:val="0"/>
          <w:bCs w:val="0"/>
          <w:color w:val="000000" w:themeColor="text1"/>
          <w:kern w:val="2"/>
          <w:sz w:val="24"/>
          <w:szCs w:val="24"/>
          <w:lang w:val="en-US" w:eastAsia="zh-CN" w:bidi="ar-SA"/>
          <w14:textFill>
            <w14:solidFill>
              <w14:schemeClr w14:val="tx1"/>
            </w14:solidFill>
          </w14:textFill>
        </w:rPr>
        <w:t>) using the keywords “cyanidin-3-O-glucoside” or its CAS number (7084-24-4).</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To further predict the potential targets of C3G, we utilized several databases and tools, including BATMAN-TCM (http://bionet.ncpsb.org.cn/batman-tcm/)</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NE.Ref.{D27BBE4C-E2D4-4035-B2FA-AB61BBA555DF}</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[1]</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SwissTargetPrediction (http://www.swisstargetprediction.ch/)</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NE.Ref.{5E3FB23E-9DE7-44B3-A0B8-053C4CB31A95}</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[2]</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TCMSP (https://old.tcmsp-e.com/index.php)</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NE.Ref.{F8FCBCE5-EC48-438F-83B6-BF1356974111}</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[3]</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the Comparative Toxicogenomics Database (CTD, http://ctdbase.org/)</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NE.Ref.{C3211185-5251-44A4-9E14-7FF8B0DAA7D6}</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[4]</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PharmMapper (http://www.lilab-ecust.cn/pharmmapper/index.html)</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NE.Ref.{60AF8B90-0202-44BD-863A-D9A40CEDEA3A}</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[5]</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and Super-PRED (https://prediction.charite.de/subpages/target_prediction.php)</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NE.Ref.{210D06E2-FD93-49F4-B0E7-89B191886873}</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[6]</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w:t>
      </w:r>
    </w:p>
    <w:p w14:paraId="5BA921BD">
      <w:pPr>
        <w:pStyle w:val="6"/>
        <w:numPr>
          <w:ilvl w:val="0"/>
          <w:numId w:val="0"/>
        </w:numPr>
        <w:spacing w:line="360" w:lineRule="auto"/>
        <w:ind w:leftChars="0" w:firstLine="420" w:firstLineChars="0"/>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To identify targets related to Tregs, we conducted searches using keywords such as “Tregs,” “regulatory T cell,” and “Treg cells” in the Online Mendelian Inheritance in Man (OMIM, https://omim.org/)</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NE.Ref.{14DC78E0-84C6-4505-9746-223FAECD4D42}</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[7]</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and GeneCards (https://www.genecards.org/)</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instrText xml:space="preserve"> ADDIN NE.Ref.{1A0FD21C-22CD-41A5-8D6F-1156A366E778}</w:instrTex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separate"/>
      </w:r>
      <w:r>
        <w:rPr>
          <w:rFonts w:hint="default" w:ascii="Times New Roman" w:hAnsi="Times New Roman" w:eastAsia="Times New Roman"/>
          <w:color w:val="080000"/>
          <w:sz w:val="24"/>
          <w:szCs w:val="24"/>
          <w:vertAlign w:val="superscript"/>
        </w:rPr>
        <w:t>[8]</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fldChar w:fldCharType="end"/>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databases.</w:t>
      </w:r>
    </w:p>
    <w:p w14:paraId="0818CC39">
      <w:pPr>
        <w:pStyle w:val="6"/>
        <w:numPr>
          <w:ilvl w:val="0"/>
          <w:numId w:val="0"/>
        </w:numPr>
        <w:spacing w:line="360" w:lineRule="auto"/>
        <w:ind w:leftChars="0" w:firstLine="420" w:firstLineChars="0"/>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To identify the potential targets of C3G acting on Tregs, we used the </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OEBiotech</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Cloud Platform (https://cloud.oebiotech.com/#/home) to create a Venn diagram and obtain the intersection of the predicted targets of C3G and the targets related to Treg cells. The resulting potential targets were then imported into the STRING database (https://string-db.org/cgi/input.pl) to generate a protein-protein interaction (PPI) network in tsv format. This file was subsequently imported into Cytoscape 3.9.1 for visualization and construction of the PPI network. Core targets were identified using the CentiScape plugin. For functional enrichment analysis, the targets were subjected to Gene Ontology (GO) and Kyoto Encyclopedia of Genes and Genomes</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KEGG</w:t>
      </w:r>
      <w:r>
        <w:rPr>
          <w:rFonts w:hint="eastAsia" w:ascii="Times New Roman" w:hAnsi="Times New Roman" w:cs="Times New Roman"/>
          <w:b w:val="0"/>
          <w:bCs w:val="0"/>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pathway enrichment analyses using the “clusterProfiler,” “org.Hs.eg.db,” and “enrichplot” packages in R (v4.4.1). The results were visualized using the </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OEBiotech</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 xml:space="preserve"> Cloud Platform.</w:t>
      </w:r>
    </w:p>
    <w:p w14:paraId="7F1CAA71">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RNA sequencing</w:t>
      </w:r>
      <w:r>
        <w:rPr>
          <w:rFonts w:hint="eastAsia" w:ascii="Times New Roman" w:hAnsi="Times New Roman" w:cs="Times New Roman"/>
          <w:b/>
          <w:bCs/>
          <w:sz w:val="24"/>
          <w:lang w:val="en-US" w:eastAsia="zh-CN"/>
        </w:rPr>
        <w:t xml:space="preserve"> and analysis of CD4</w:t>
      </w:r>
      <w:r>
        <w:rPr>
          <w:rFonts w:hint="eastAsia" w:ascii="Times New Roman" w:hAnsi="Times New Roman" w:cs="Times New Roman"/>
          <w:b/>
          <w:bCs/>
          <w:sz w:val="24"/>
          <w:vertAlign w:val="superscript"/>
          <w:lang w:val="en-US" w:eastAsia="zh-CN"/>
        </w:rPr>
        <w:t>+</w:t>
      </w:r>
      <w:r>
        <w:rPr>
          <w:rFonts w:hint="eastAsia" w:ascii="Times New Roman" w:hAnsi="Times New Roman" w:cs="Times New Roman"/>
          <w:b/>
          <w:bCs/>
          <w:sz w:val="24"/>
          <w:lang w:val="en-US" w:eastAsia="zh-CN"/>
        </w:rPr>
        <w:t xml:space="preserve"> T cells</w:t>
      </w:r>
    </w:p>
    <w:p w14:paraId="0D6B92BC">
      <w:pPr>
        <w:pStyle w:val="6"/>
        <w:numPr>
          <w:ilvl w:val="0"/>
          <w:numId w:val="0"/>
        </w:numPr>
        <w:spacing w:line="360" w:lineRule="auto"/>
        <w:ind w:leftChars="0" w:firstLine="420" w:firstLineChars="0"/>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Total RNA was extracted from cells using the FreeZol Reagent (Vazyme, Nanjing, China). RNA purity and quantification were determined using a NanoDrop 2000 spectrophotometer (Thermo Scientific, USA), and RNA integrity was assessed using an Agilent 2100 Bioanalyzer (Agilent Technologies, Santa Clara, CA, USA). Transcriptomic libraries were constructed using the VAHTS Universal V5 RNA-seq Library Prep Kit according to the manufacturer's instructions. Sequencing was performed on an Illumina Novaseq 6000 platform. Differential expression analysis was conducted using the DESeq2 software, with genes exhibiting a q-value &lt; 0.05 and an absolute fold change &gt; 2 defined as differentially expressed genes (DEGs). GO enrichment analysis, KEGG pathway enrichment analysis and gene set enrichment analysis (GSEA) of the DEGs were perfo</w:t>
      </w:r>
      <w:bookmarkStart w:id="10" w:name="_GoBack"/>
      <w:bookmarkEnd w:id="10"/>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rmed using R (v4.4.1) to identify significantly enriched functional terms. The RNA sequencing (RNA-seq) and analysis were carried out by OEBiotech Co., Ltd. (Shanghai, China).</w:t>
      </w:r>
    </w:p>
    <w:p w14:paraId="1A3450D6">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highlight w:val="none"/>
          <w:lang w:val="en-US" w:eastAsia="zh-CN"/>
        </w:rPr>
      </w:pPr>
      <w:r>
        <w:rPr>
          <w:rFonts w:hint="eastAsia" w:ascii="Times New Roman" w:hAnsi="Times New Roman" w:cs="Times New Roman"/>
          <w:b/>
          <w:bCs/>
          <w:sz w:val="24"/>
          <w:highlight w:val="none"/>
          <w:lang w:val="en-US" w:eastAsia="zh-CN"/>
        </w:rPr>
        <w:t>Real-time PCR</w:t>
      </w:r>
    </w:p>
    <w:p w14:paraId="19EC2BB7">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textAlignment w:val="auto"/>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Real-time PCR was utilized to detect the transcription levels of target genes GZMB, HMOX1, and CD38 in cells, with β-ACTIN as the housekeeping gene. For CD4+ T cells with or without C3G treatment, total RNA was extracted using FreeZol Reagent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 xml:space="preserve"> (Vazyme Biotech, Nanjing, China)</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 After determining the RNA concentration and purity, it was reverse-transcribed into cDNA via HiScript III RT SuperMix</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 xml:space="preserve"> (Vazyme Biotech)</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 xml:space="preserve"> and stored at -20 °C. The cDNA, ChamQ Universal SYBR qPCR Master Mix</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 xml:space="preserve"> (Vazyme Biotech)</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 and specific primers for the target genes were combined. The mixture was amplified and detected within a PCR analysis system. Relative expression levels were normalized to the housekeeping gene and calculated using the 2</w:t>
      </w:r>
      <w:r>
        <w:rPr>
          <w:rFonts w:hint="default" w:ascii="Times New Roman" w:hAnsi="Times New Roman" w:cs="Times New Roman" w:eastAsiaTheme="minorEastAsia"/>
          <w:color w:val="000000" w:themeColor="text1"/>
          <w:kern w:val="2"/>
          <w:sz w:val="24"/>
          <w:szCs w:val="24"/>
          <w:highlight w:val="none"/>
          <w:vertAlign w:val="superscript"/>
          <w:lang w:val="en-US" w:eastAsia="zh-CN" w:bidi="ar-SA"/>
          <w14:textFill>
            <w14:solidFill>
              <w14:schemeClr w14:val="tx1"/>
            </w14:solidFill>
          </w14:textFill>
        </w:rPr>
        <w:t>−∆∆CT</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 xml:space="preserve"> method. The human primers used, synthesized by Sangon Biotech, had the following sequences: GZMB: AGCCTGCACCAAAGTCTCAA (F), TTTCATTACAGCGGGGGCTT (R); HMOX1: ATTTCAGAAGGGCCAGGTGA (F), GGAAGTAGACAGGGGCGAAGA (R); CD38: AGACTGCCAAAGTGTATGGGA (F), GCAAGGTACGGTCTGAGTTCC (R).</w:t>
      </w:r>
    </w:p>
    <w:p w14:paraId="5ED3140C">
      <w:pPr>
        <w:pStyle w:val="6"/>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Statistical analysis</w:t>
      </w:r>
    </w:p>
    <w:p w14:paraId="24CACAFB">
      <w:pPr>
        <w:spacing w:line="360" w:lineRule="auto"/>
        <w:ind w:firstLine="420" w:firstLineChars="0"/>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pPr>
      <w:bookmarkStart w:id="0" w:name="OLE_LINK29"/>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 xml:space="preserve">All statistical analysis was performed with GraphPad Prism 8.0 software. For pairwise comparisons, a Student's t-test or Mann-Whitney U test was used based on the results of the normality test. One-way ANOVA was used to assess significance among multiple groups. </w:t>
      </w:r>
      <w:bookmarkStart w:id="1" w:name="OLE_LINK34"/>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Two-way ANOVA</w:t>
      </w:r>
      <w:bookmarkEnd w:id="1"/>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 xml:space="preserve"> was used if there were two nominal variables in addition to a measurement variable. The data were shown as the mean ± SEM. </w:t>
      </w:r>
      <w:bookmarkEnd w:id="0"/>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 xml:space="preserve">Statistical significance was set at </w:t>
      </w:r>
      <w:r>
        <w:rPr>
          <w:rFonts w:hint="eastAsia" w:ascii="Times New Roman" w:hAnsi="Times New Roman" w:cs="Times New Roman" w:eastAsiaTheme="minorEastAsia"/>
          <w:i/>
          <w:iCs/>
          <w:color w:val="000000" w:themeColor="text1"/>
          <w:kern w:val="2"/>
          <w:sz w:val="24"/>
          <w:szCs w:val="24"/>
          <w:lang w:val="en-US" w:eastAsia="zh-CN" w:bidi="ar-SA"/>
          <w14:textFill>
            <w14:solidFill>
              <w14:schemeClr w14:val="tx1"/>
            </w14:solidFill>
          </w14:textFill>
        </w:rPr>
        <w:t>P</w:t>
      </w:r>
      <w:r>
        <w:rPr>
          <w:rFonts w:hint="default" w:ascii="Times New Roman" w:hAnsi="Times New Roman" w:cs="Times New Roman" w:eastAsiaTheme="minorEastAsia"/>
          <w:color w:val="000000" w:themeColor="text1"/>
          <w:kern w:val="2"/>
          <w:sz w:val="24"/>
          <w:szCs w:val="24"/>
          <w:lang w:val="en-US" w:eastAsia="zh-CN" w:bidi="ar-SA"/>
          <w14:textFill>
            <w14:solidFill>
              <w14:schemeClr w14:val="tx1"/>
            </w14:solidFill>
          </w14:textFill>
        </w:rPr>
        <w:t xml:space="preserve"> &lt; 0.05.</w:t>
      </w:r>
    </w:p>
    <w:p w14:paraId="4EB2FE2C">
      <w:pPr>
        <w:spacing w:beforeLines="0" w:afterLines="0"/>
        <w:jc w:val="left"/>
        <w:rPr>
          <w:rFonts w:hint="default"/>
          <w:sz w:val="24"/>
          <w:szCs w:val="24"/>
        </w:rPr>
      </w:pPr>
      <w:r>
        <w:fldChar w:fldCharType="begin"/>
      </w:r>
      <w:r>
        <w:rPr>
          <w:rFonts w:hint="eastAsia"/>
          <w:lang w:eastAsia="zh-CN"/>
        </w:rPr>
        <w:instrText xml:space="preserve"> ADDIN NE.Rep</w:instrText>
      </w:r>
      <w:r>
        <w:fldChar w:fldCharType="separate"/>
      </w:r>
    </w:p>
    <w:p w14:paraId="4D99C0A2">
      <w:pPr>
        <w:spacing w:beforeLines="0" w:afterLines="0"/>
        <w:jc w:val="left"/>
      </w:pPr>
      <w:r>
        <w:fldChar w:fldCharType="end"/>
      </w:r>
    </w:p>
    <w:p w14:paraId="38250575">
      <w:r>
        <w:br w:type="page"/>
      </w:r>
    </w:p>
    <w:p w14:paraId="7947B549">
      <w:pPr>
        <w:spacing w:beforeLines="0" w:afterLines="0"/>
        <w:jc w:val="left"/>
        <w:rPr>
          <w:rFonts w:hint="default"/>
          <w:sz w:val="24"/>
          <w:szCs w:val="24"/>
        </w:rPr>
      </w:pPr>
      <w:r>
        <w:fldChar w:fldCharType="begin"/>
      </w:r>
      <w:r>
        <w:rPr>
          <w:rFonts w:hint="eastAsia"/>
          <w:lang w:eastAsia="zh-CN"/>
        </w:rPr>
        <w:instrText xml:space="preserve"> ADDIN NE.Bib</w:instrText>
      </w:r>
      <w:r>
        <w:fldChar w:fldCharType="separate"/>
      </w:r>
    </w:p>
    <w:p w14:paraId="202DD398">
      <w:pPr>
        <w:spacing w:beforeLines="0" w:afterLines="0"/>
        <w:ind w:left="420" w:hanging="420"/>
        <w:jc w:val="center"/>
        <w:rPr>
          <w:rFonts w:hint="default" w:ascii="Times New Roman" w:hAnsi="Times New Roman" w:eastAsia="Times New Roman" w:cs="Times New Roman"/>
          <w:b/>
          <w:bCs/>
          <w:color w:val="000000"/>
          <w:sz w:val="28"/>
          <w:szCs w:val="40"/>
        </w:rPr>
      </w:pPr>
      <w:r>
        <w:rPr>
          <w:rFonts w:hint="default" w:ascii="Times New Roman" w:hAnsi="Times New Roman" w:eastAsia="Times New Roman" w:cs="Times New Roman"/>
          <w:b/>
          <w:bCs/>
          <w:color w:val="000000"/>
          <w:sz w:val="28"/>
          <w:szCs w:val="40"/>
        </w:rPr>
        <w:t>References</w:t>
      </w:r>
    </w:p>
    <w:p w14:paraId="01A783BD">
      <w:pPr>
        <w:spacing w:beforeLines="0" w:afterLines="0"/>
        <w:ind w:left="420" w:hanging="420"/>
        <w:rPr>
          <w:rFonts w:hint="default"/>
          <w:sz w:val="24"/>
          <w:szCs w:val="24"/>
        </w:rPr>
      </w:pPr>
      <w:r>
        <w:rPr>
          <w:rFonts w:hint="default" w:ascii="Times New Roman" w:hAnsi="Times New Roman" w:eastAsia="Times New Roman"/>
          <w:color w:val="000000"/>
          <w:sz w:val="20"/>
          <w:szCs w:val="24"/>
        </w:rPr>
        <w:t>[1]</w:t>
      </w:r>
      <w:r>
        <w:rPr>
          <w:rFonts w:hint="default" w:ascii="Times New Roman" w:hAnsi="Times New Roman" w:eastAsia="Times New Roman"/>
          <w:color w:val="000000"/>
          <w:sz w:val="20"/>
          <w:szCs w:val="24"/>
        </w:rPr>
        <w:tab/>
      </w:r>
      <w:bookmarkStart w:id="2" w:name="_neb0F1CFA76_A050_427C_BFC4_6F0518BF976F"/>
      <w:r>
        <w:rPr>
          <w:rFonts w:hint="default" w:ascii="Times New Roman" w:hAnsi="Times New Roman" w:eastAsia="Times New Roman"/>
          <w:color w:val="000000"/>
          <w:sz w:val="20"/>
          <w:szCs w:val="24"/>
        </w:rPr>
        <w:t>Kong X, Liu C, Zhang Z, et al. BATMAN-TCM 2.0: an enhanced integrative database for known and predicted interactions between traditional Chinese medicine ingredients and target  proteins[J]. Nucleic Acids Res, 2024,52(D1):D1110-D1120.</w:t>
      </w:r>
      <w:bookmarkEnd w:id="2"/>
    </w:p>
    <w:p w14:paraId="64541A59">
      <w:pPr>
        <w:spacing w:beforeLines="0" w:afterLines="0"/>
        <w:ind w:left="420" w:hanging="420"/>
        <w:rPr>
          <w:rFonts w:hint="default"/>
          <w:sz w:val="24"/>
          <w:szCs w:val="24"/>
        </w:rPr>
      </w:pPr>
      <w:r>
        <w:rPr>
          <w:rFonts w:hint="default" w:ascii="Times New Roman" w:hAnsi="Times New Roman" w:eastAsia="Times New Roman"/>
          <w:color w:val="000000"/>
          <w:sz w:val="20"/>
          <w:szCs w:val="24"/>
        </w:rPr>
        <w:t>[2]</w:t>
      </w:r>
      <w:r>
        <w:rPr>
          <w:rFonts w:hint="default" w:ascii="Times New Roman" w:hAnsi="Times New Roman" w:eastAsia="Times New Roman"/>
          <w:color w:val="000000"/>
          <w:sz w:val="20"/>
          <w:szCs w:val="24"/>
        </w:rPr>
        <w:tab/>
      </w:r>
      <w:bookmarkStart w:id="3" w:name="_neb18809151_5BD0_4E6D_83C7_9AFCEF4C4BD4"/>
      <w:r>
        <w:rPr>
          <w:rFonts w:hint="default" w:ascii="Times New Roman" w:hAnsi="Times New Roman" w:eastAsia="Times New Roman"/>
          <w:color w:val="000000"/>
          <w:sz w:val="20"/>
          <w:szCs w:val="24"/>
        </w:rPr>
        <w:t>Daina A, Michielin O, Zoete V. SwissTargetPrediction: updated data and new features for efficient prediction of protein targets of small molecules[J]. Nucleic Acids Res, 2019,47(W1):W357-W364.</w:t>
      </w:r>
      <w:bookmarkEnd w:id="3"/>
    </w:p>
    <w:p w14:paraId="68942348">
      <w:pPr>
        <w:spacing w:beforeLines="0" w:afterLines="0"/>
        <w:ind w:left="420" w:hanging="420"/>
        <w:rPr>
          <w:rFonts w:hint="default"/>
          <w:sz w:val="24"/>
          <w:szCs w:val="24"/>
        </w:rPr>
      </w:pPr>
      <w:r>
        <w:rPr>
          <w:rFonts w:hint="default" w:ascii="Times New Roman" w:hAnsi="Times New Roman" w:eastAsia="Times New Roman"/>
          <w:color w:val="000000"/>
          <w:sz w:val="20"/>
          <w:szCs w:val="24"/>
        </w:rPr>
        <w:t>[3]</w:t>
      </w:r>
      <w:r>
        <w:rPr>
          <w:rFonts w:hint="default" w:ascii="Times New Roman" w:hAnsi="Times New Roman" w:eastAsia="Times New Roman"/>
          <w:color w:val="000000"/>
          <w:sz w:val="20"/>
          <w:szCs w:val="24"/>
        </w:rPr>
        <w:tab/>
      </w:r>
      <w:bookmarkStart w:id="4" w:name="_nebFDCAAF7C_DA27_4725_9920_D9690DAF46B5"/>
      <w:r>
        <w:rPr>
          <w:rFonts w:hint="default" w:ascii="Times New Roman" w:hAnsi="Times New Roman" w:eastAsia="Times New Roman"/>
          <w:color w:val="000000"/>
          <w:sz w:val="20"/>
          <w:szCs w:val="24"/>
        </w:rPr>
        <w:t>Ru J, Li P, Wang J, et al. TCMSP: a database of systems pharmacology for drug discovery from herbal medicines[J]. J Cheminform, 2014,6:13.</w:t>
      </w:r>
      <w:bookmarkEnd w:id="4"/>
    </w:p>
    <w:p w14:paraId="453D2D73">
      <w:pPr>
        <w:spacing w:beforeLines="0" w:afterLines="0"/>
        <w:ind w:left="420" w:hanging="420"/>
        <w:rPr>
          <w:rFonts w:hint="default"/>
          <w:sz w:val="24"/>
          <w:szCs w:val="24"/>
        </w:rPr>
      </w:pPr>
      <w:r>
        <w:rPr>
          <w:rFonts w:hint="default" w:ascii="Times New Roman" w:hAnsi="Times New Roman" w:eastAsia="Times New Roman"/>
          <w:color w:val="000000"/>
          <w:sz w:val="20"/>
          <w:szCs w:val="24"/>
        </w:rPr>
        <w:t>[4]</w:t>
      </w:r>
      <w:r>
        <w:rPr>
          <w:rFonts w:hint="default" w:ascii="Times New Roman" w:hAnsi="Times New Roman" w:eastAsia="Times New Roman"/>
          <w:color w:val="000000"/>
          <w:sz w:val="20"/>
          <w:szCs w:val="24"/>
        </w:rPr>
        <w:tab/>
      </w:r>
      <w:bookmarkStart w:id="5" w:name="_neb66BB8196_7536_4305_9A3E_FE03CF3C4240"/>
      <w:r>
        <w:rPr>
          <w:rFonts w:hint="default" w:ascii="Times New Roman" w:hAnsi="Times New Roman" w:eastAsia="Times New Roman"/>
          <w:color w:val="000000"/>
          <w:sz w:val="20"/>
          <w:szCs w:val="24"/>
        </w:rPr>
        <w:t>Davis A P, Wiegers T C, Sciaky D, et al. Comparative Toxicogenomics Database's 20th anniversary: update 2025[J]. Nucleic Acids Res, 2025,53(D1):D1328-D1334.</w:t>
      </w:r>
      <w:bookmarkEnd w:id="5"/>
    </w:p>
    <w:p w14:paraId="733CDFB9">
      <w:pPr>
        <w:spacing w:beforeLines="0" w:afterLines="0"/>
        <w:ind w:left="420" w:hanging="420"/>
        <w:rPr>
          <w:rFonts w:hint="default"/>
          <w:sz w:val="24"/>
          <w:szCs w:val="24"/>
        </w:rPr>
      </w:pPr>
      <w:r>
        <w:rPr>
          <w:rFonts w:hint="default" w:ascii="Times New Roman" w:hAnsi="Times New Roman" w:eastAsia="Times New Roman"/>
          <w:color w:val="000000"/>
          <w:sz w:val="20"/>
          <w:szCs w:val="24"/>
        </w:rPr>
        <w:t>[5]</w:t>
      </w:r>
      <w:r>
        <w:rPr>
          <w:rFonts w:hint="default" w:ascii="Times New Roman" w:hAnsi="Times New Roman" w:eastAsia="Times New Roman"/>
          <w:color w:val="000000"/>
          <w:sz w:val="20"/>
          <w:szCs w:val="24"/>
        </w:rPr>
        <w:tab/>
      </w:r>
      <w:bookmarkStart w:id="6" w:name="_nebB926C38A_13EC_4288_B70D_A5DC5F3D1AF1"/>
      <w:r>
        <w:rPr>
          <w:rFonts w:hint="default" w:ascii="Times New Roman" w:hAnsi="Times New Roman" w:eastAsia="Times New Roman"/>
          <w:color w:val="000000"/>
          <w:sz w:val="20"/>
          <w:szCs w:val="24"/>
        </w:rPr>
        <w:t>Wang X, Shen Y, Wang S, et al. PharmMapper 2017 update: a web server for potential drug target identification with a comprehensive target pharmacophore database[J]. Nucleic Acids Res, 2017,45(W1):W356-W360.</w:t>
      </w:r>
      <w:bookmarkEnd w:id="6"/>
    </w:p>
    <w:p w14:paraId="3A845216">
      <w:pPr>
        <w:spacing w:beforeLines="0" w:afterLines="0"/>
        <w:ind w:left="420" w:hanging="420"/>
        <w:rPr>
          <w:rFonts w:hint="default"/>
          <w:sz w:val="24"/>
          <w:szCs w:val="24"/>
        </w:rPr>
      </w:pPr>
      <w:r>
        <w:rPr>
          <w:rFonts w:hint="default" w:ascii="Times New Roman" w:hAnsi="Times New Roman" w:eastAsia="Times New Roman"/>
          <w:color w:val="000000"/>
          <w:sz w:val="20"/>
          <w:szCs w:val="24"/>
        </w:rPr>
        <w:t>[6]</w:t>
      </w:r>
      <w:r>
        <w:rPr>
          <w:rFonts w:hint="default" w:ascii="Times New Roman" w:hAnsi="Times New Roman" w:eastAsia="Times New Roman"/>
          <w:color w:val="000000"/>
          <w:sz w:val="20"/>
          <w:szCs w:val="24"/>
        </w:rPr>
        <w:tab/>
      </w:r>
      <w:bookmarkStart w:id="7" w:name="_nebDF18C8D7_E1B0_4028_A305_081C2D56AAD3"/>
      <w:r>
        <w:rPr>
          <w:rFonts w:hint="default" w:ascii="Times New Roman" w:hAnsi="Times New Roman" w:eastAsia="Times New Roman"/>
          <w:color w:val="000000"/>
          <w:sz w:val="20"/>
          <w:szCs w:val="24"/>
        </w:rPr>
        <w:t>Nickel J, Gohlke B O, Erehman J, et al. SuperPred: update on drug classification and target prediction[J]. Nucleic Acids Res, 2014,42(Web Server issue):W26-W31.</w:t>
      </w:r>
      <w:bookmarkEnd w:id="7"/>
    </w:p>
    <w:p w14:paraId="4282E72F">
      <w:pPr>
        <w:spacing w:beforeLines="0" w:afterLines="0"/>
        <w:ind w:left="420" w:hanging="420"/>
        <w:rPr>
          <w:rFonts w:hint="default"/>
          <w:sz w:val="24"/>
          <w:szCs w:val="24"/>
        </w:rPr>
      </w:pPr>
      <w:r>
        <w:rPr>
          <w:rFonts w:hint="default" w:ascii="Times New Roman" w:hAnsi="Times New Roman" w:eastAsia="Times New Roman"/>
          <w:color w:val="000000"/>
          <w:sz w:val="20"/>
          <w:szCs w:val="24"/>
        </w:rPr>
        <w:t>[7]</w:t>
      </w:r>
      <w:r>
        <w:rPr>
          <w:rFonts w:hint="default" w:ascii="Times New Roman" w:hAnsi="Times New Roman" w:eastAsia="Times New Roman"/>
          <w:color w:val="000000"/>
          <w:sz w:val="20"/>
          <w:szCs w:val="24"/>
        </w:rPr>
        <w:tab/>
      </w:r>
      <w:bookmarkStart w:id="8" w:name="_neb54B9D298_977B_4C3E_A06F_808A224E3E0C"/>
      <w:r>
        <w:rPr>
          <w:rFonts w:hint="default" w:ascii="Times New Roman" w:hAnsi="Times New Roman" w:eastAsia="Times New Roman"/>
          <w:color w:val="000000"/>
          <w:sz w:val="20"/>
          <w:szCs w:val="24"/>
        </w:rPr>
        <w:t>Amberger J S, Bocchini C A, Schiettecatte F, et al. OMIM.org: Online Mendelian Inheritance in Man (OMIM®), an online catalog of human  genes and genetic disorders[J]. Nucleic Acids Res, 2015,43(Database issue):D789-D798.</w:t>
      </w:r>
      <w:bookmarkEnd w:id="8"/>
    </w:p>
    <w:p w14:paraId="61D5BB68">
      <w:pPr>
        <w:spacing w:beforeLines="0" w:afterLines="0"/>
        <w:ind w:left="420" w:hanging="420"/>
        <w:rPr>
          <w:rFonts w:hint="default"/>
          <w:sz w:val="24"/>
          <w:szCs w:val="24"/>
        </w:rPr>
      </w:pPr>
      <w:r>
        <w:rPr>
          <w:rFonts w:hint="default" w:ascii="Times New Roman" w:hAnsi="Times New Roman" w:eastAsia="Times New Roman"/>
          <w:color w:val="000000"/>
          <w:sz w:val="20"/>
          <w:szCs w:val="24"/>
        </w:rPr>
        <w:t>[8]</w:t>
      </w:r>
      <w:r>
        <w:rPr>
          <w:rFonts w:hint="default" w:ascii="Times New Roman" w:hAnsi="Times New Roman" w:eastAsia="Times New Roman"/>
          <w:color w:val="000000"/>
          <w:sz w:val="20"/>
          <w:szCs w:val="24"/>
        </w:rPr>
        <w:tab/>
      </w:r>
      <w:bookmarkStart w:id="9" w:name="_neb1623EBCD_88E3_4130_A06A_C214DFFAC5AA"/>
      <w:r>
        <w:rPr>
          <w:rFonts w:hint="default" w:ascii="Times New Roman" w:hAnsi="Times New Roman" w:eastAsia="Times New Roman"/>
          <w:color w:val="000000"/>
          <w:sz w:val="20"/>
          <w:szCs w:val="24"/>
        </w:rPr>
        <w:t>Stelzer G, Rosen N, Plaschkes I, et al. The GeneCards Suite: From Gene Data Mining to Disease Genome Sequence Analyses[J]. Curr Protoc Bioinformatics, 2016,54:1-30.</w:t>
      </w:r>
      <w:bookmarkEnd w:id="9"/>
    </w:p>
    <w:p w14:paraId="300F819B">
      <w: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94960"/>
    <w:multiLevelType w:val="multilevel"/>
    <w:tmpl w:val="00D94960"/>
    <w:lvl w:ilvl="0" w:tentative="0">
      <w:start w:val="1"/>
      <w:numFmt w:val="decimal"/>
      <w:lvlText w:val="%1."/>
      <w:lvlJc w:val="left"/>
      <w:pPr>
        <w:ind w:left="425" w:hanging="425"/>
      </w:pPr>
      <w:rPr>
        <w:rFonts w:hint="default"/>
        <w:b/>
        <w:bCs/>
        <w:sz w:val="28"/>
        <w:szCs w:val="28"/>
      </w:rPr>
    </w:lvl>
    <w:lvl w:ilvl="1" w:tentative="0">
      <w:start w:val="1"/>
      <w:numFmt w:val="decimal"/>
      <w:lvlText w:val="%1.%2."/>
      <w:lvlJc w:val="left"/>
      <w:pPr>
        <w:tabs>
          <w:tab w:val="left" w:pos="73"/>
        </w:tabs>
        <w:ind w:left="0" w:firstLine="0"/>
      </w:pPr>
      <w:rPr>
        <w:rFonts w:hint="default" w:ascii="Times New Roman" w:hAnsi="Times New Roman" w:cs="Times New Roman"/>
        <w:b/>
        <w:bCs/>
        <w:sz w:val="24"/>
        <w:szCs w:val="24"/>
      </w:rPr>
    </w:lvl>
    <w:lvl w:ilvl="2" w:tentative="0">
      <w:start w:val="1"/>
      <w:numFmt w:val="decimal"/>
      <w:lvlText w:val="%1.%2.%3."/>
      <w:lvlJc w:val="left"/>
      <w:pPr>
        <w:ind w:left="709" w:hanging="709"/>
      </w:pPr>
      <w:rPr>
        <w:rFonts w:hint="default" w:ascii="Times New Roman" w:hAnsi="Times New Roman" w:eastAsia="黑体" w:cs="Times New Roman"/>
        <w:b/>
        <w:bCs/>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E.Ref{14DC78E0-84C6-4505-9746-223FAECD4D42}" w:val=" ADDIN NE.Ref.{14DC78E0-84C6-4505-9746-223FAECD4D42}&lt;Citation&gt;&lt;Group&gt;&lt;References&gt;&lt;Item&gt;&lt;ID&gt;234&lt;/ID&gt;&lt;UID&gt;{54B9D298-977B-4C3E-A06F-808A224E3E0C}&lt;/UID&gt;&lt;Title&gt;OMIM.org: Online Mendelian Inheritance in Man (OMIM®), an online catalog of human  genes and genetic disorders&lt;/Title&gt;&lt;Template&gt;Journal Article&lt;/Template&gt;&lt;Star&gt;0&lt;/Star&gt;&lt;Tag&gt;0&lt;/Tag&gt;&lt;Author&gt;Amberger, J S; Bocchini, C A; Schiettecatte, F; Scott, A F; Hamosh, A&lt;/Author&gt;&lt;Year&gt;2015&lt;/Year&gt;&lt;Details&gt;&lt;_accession_num&gt;25428349&lt;/_accession_num&gt;&lt;_author_adr&gt;McKusick-Nathans Institute of Genetic Medicine, Johns Hopkins University School  of Medicine, Baltimore, MD 21287, USA joanna@peas.welch.jhu.edu.; McKusick-Nathans Institute of Genetic Medicine, Johns Hopkins University School  of Medicine, Baltimore, MD 21287, USA.; FS Consulting, LLC, Salem, MA 01970, USA.; McKusick-Nathans Institute of Genetic Medicine, Johns Hopkins University School  of Medicine, Baltimore, MD 21287, USA.; McKusick-Nathans Institute of Genetic Medicine, Johns Hopkins University School  of Medicine, Baltimore, MD 21287, USA.&lt;/_author_adr&gt;&lt;_collection_scope&gt;SCIE&lt;/_collection_scope&gt;&lt;_created&gt;65816514&lt;/_created&gt;&lt;_date&gt;2015-01-01&lt;/_date&gt;&lt;_date_display&gt;2015 Jan&lt;/_date_display&gt;&lt;_doi&gt;10.1093/nar/gku1205&lt;/_doi&gt;&lt;_impact_factor&gt;  14.900&lt;/_impact_factor&gt;&lt;_isbn&gt;1362-4962 (Electronic); 0305-1048 (Print); 0305-1048 (Linking)&lt;/_isbn&gt;&lt;_issue&gt;Database issue&lt;/_issue&gt;&lt;_journal&gt;Nucleic Acids Res&lt;/_journal&gt;&lt;_language&gt;eng&lt;/_language&gt;&lt;_modified&gt;65833881&lt;/_modified&gt;&lt;_ori_publication&gt;© The Author(s) 2014. Published by Oxford University Press on behalf of Nucleic _x000d__x000a_      Acids Research.&lt;/_ori_publication&gt;&lt;_pages&gt;D789-98&lt;/_pages&gt;&lt;_social_category&gt;生化与分子生物学(2)&lt;/_social_category&gt;&lt;_subject_headings&gt;*Databases, Genetic; *Genes; Genetic Diseases, Inborn/*genetics; Humans; Internet; *Phenotype&lt;/_subject_headings&gt;&lt;_tertiary_title&gt;Nucleic acids research&lt;/_tertiary_title&gt;&lt;_type_work&gt;Journal Article; Research Support, N.I.H., Extramural&lt;/_type_work&gt;&lt;_url&gt;http://www.ncbi.nlm.nih.gov/entrez/query.fcgi?cmd=Retrieve&amp;amp;db=pubmed&amp;amp;dopt=Abstract&amp;amp;list_uids=25428349&amp;amp;query_hl=1&lt;/_url&gt;&lt;_volume&gt;43&lt;/_volume&gt;&lt;_accessed&gt;65833881&lt;/_accessed&gt;&lt;/Details&gt;&lt;Extra&gt;&lt;DBUID&gt;{54BCA7B7-6925-44C9-9150-D03C09685301}&lt;/DBUID&gt;&lt;/Extra&gt;&lt;/Item&gt;&lt;/References&gt;&lt;/Group&gt;&lt;/Citation&gt;_x000a_"/>
    <w:docVar w:name="NE.Ref{1A0FD21C-22CD-41A5-8D6F-1156A366E778}" w:val=" ADDIN NE.Ref.{1A0FD21C-22CD-41A5-8D6F-1156A366E778}&lt;Citation&gt;&lt;Group&gt;&lt;References&gt;&lt;Item&gt;&lt;ID&gt;235&lt;/ID&gt;&lt;UID&gt;{1623EBCD-88E3-4130-A06A-C214DFFAC5AA}&lt;/UID&gt;&lt;Title&gt;The GeneCards Suite: From Gene Data Mining to Disease Genome Sequence Analyses&lt;/Title&gt;&lt;Template&gt;Journal Article&lt;/Template&gt;&lt;Star&gt;0&lt;/Star&gt;&lt;Tag&gt;0&lt;/Tag&gt;&lt;Author&gt;Stelzer, G; Rosen, N; Plaschkes, I; Zimmerman, S; Twik, M; Fishilevich, S; Stein, T I; Nudel, R; Lieder, I; Mazor, Y; Kaplan, S; Dahary, D; Warshawsky, D; Guan-Golan, Y; Kohn, A; Rappaport, N; Safran, M; Lancet, D&lt;/Author&gt;&lt;Year&gt;2016&lt;/Year&gt;&lt;Details&gt;&lt;_accession_num&gt;27322403&lt;/_accession_num&gt;&lt;_author_adr&gt;Department of Molecular Genetics, Weizmann Institute of Science, Rehovot, Israel.; These authors contributed equally to the paper.; Department of Molecular Genetics, Weizmann Institute of Science, Rehovot, Israel.; These authors contributed equally to the paper.; Department of Molecular Genetics, Weizmann Institute of Science, Rehovot, Israel.; LifeMap Sciences Ltd, Tel Aviv, Israel.; Department of Molecular Genetics, Weizmann Institute of Science, Rehovot, Israel.; Department of Molecular Genetics, Weizmann Institute of Science, Rehovot, Israel.; Department of Molecular Genetics, Weizmann Institute of Science, Rehovot, Israel.; Department of Molecular Genetics, Weizmann Institute of Science, Rehovot, Israel.; Department of Molecular Genetics, Weizmann Institute of Science, Rehovot, Israel.; LifeMap Sciences Ltd, Tel Aviv, Israel.; LifeMap Sciences Ltd, Tel Aviv, Israel.; LifeMap Sciences Ltd, Tel Aviv, Israel.; LifeMap Sciences Ltd, Tel Aviv, Israel.; Toldot Genetics Ltd, Hod Hasharon, Israel.; LifeMap Sciences Inc, Marshfield, Massachusetts.; LifeMap Sciences Inc, Marshfield, Massachusetts.; LifeMap Sciences Inc, Marshfield, Massachusetts.; Department of Molecular Genetics, Weizmann Institute of Science, Rehovot, Israel.; Department of Molecular Genetics, Weizmann Institute of Science, Rehovot, Israel.; Department of Molecular Genetics, Weizmann Institute of Science, Rehovot, Israel.; Corresponding author.&lt;/_author_adr&gt;&lt;_created&gt;65816518&lt;/_created&gt;&lt;_date&gt;2016-06-20&lt;/_date&gt;&lt;_date_display&gt;2016 Jun 20&lt;/_date_display&gt;&lt;_doi&gt;10.1002/cpbi.5&lt;/_doi&gt;&lt;_isbn&gt;1934-340X (Electronic); 1934-3396 (Linking)&lt;/_isbn&gt;&lt;_journal&gt;Curr Protoc Bioinformatics&lt;/_journal&gt;&lt;_keywords&gt;GeneCards; VarElect; bioinformatics; biological database; diseases; gene prioritization; human genes; integrated information retrieval; next generation sequencing&lt;/_keywords&gt;&lt;_language&gt;eng&lt;/_language&gt;&lt;_modified&gt;65833884&lt;/_modified&gt;&lt;_ori_publication&gt;Copyright © 2016 John Wiley &amp;amp; Sons, Inc.&lt;/_ori_publication&gt;&lt;_pages&gt;1.30.1-1.30.33&lt;/_pages&gt;&lt;_subject_headings&gt;Data Mining/*methods; *Databases, Genetic; Genomics/*methods; High-Throughput Nucleotide Sequencing; Humans; Phenotype; Proteome; Sequence Analysis/*methods; Software/standards&lt;/_subject_headings&gt;&lt;_tertiary_title&gt;Current protocols in bioinformatics&lt;/_tertiary_title&gt;&lt;_type_work&gt;Journal Article&lt;/_type_work&gt;&lt;_url&gt;http://www.ncbi.nlm.nih.gov/entrez/query.fcgi?cmd=Retrieve&amp;amp;db=pubmed&amp;amp;dopt=Abstract&amp;amp;list_uids=27322403&amp;amp;query_hl=1&lt;/_url&gt;&lt;_volume&gt;54&lt;/_volume&gt;&lt;_accessed&gt;65833884&lt;/_accessed&gt;&lt;/Details&gt;&lt;Extra&gt;&lt;DBUID&gt;{54BCA7B7-6925-44C9-9150-D03C09685301}&lt;/DBUID&gt;&lt;/Extra&gt;&lt;/Item&gt;&lt;/References&gt;&lt;/Group&gt;&lt;/Citation&gt;_x000a_"/>
    <w:docVar w:name="NE.Ref{210D06E2-FD93-49F4-B0E7-89B191886873}" w:val=" ADDIN NE.Ref.{210D06E2-FD93-49F4-B0E7-89B191886873}&lt;Citation&gt;&lt;Group&gt;&lt;References&gt;&lt;Item&gt;&lt;ID&gt;233&lt;/ID&gt;&lt;UID&gt;{DF18C8D7-E1B0-4028-A305-081C2D56AAD3}&lt;/UID&gt;&lt;Title&gt;SuperPred: update on drug classification and target prediction&lt;/Title&gt;&lt;Template&gt;Journal Article&lt;/Template&gt;&lt;Star&gt;0&lt;/Star&gt;&lt;Tag&gt;0&lt;/Tag&gt;&lt;Author&gt;Nickel, J; Gohlke, B O; Erehman, J; Banerjee, P; Rong, W W; Goede, A; Dunkel, M; Preissner, R&lt;/Author&gt;&lt;Year&gt;2014&lt;/Year&gt;&lt;Details&gt;&lt;_accession_num&gt;24878925&lt;/_accession_num&gt;&lt;_author_adr&gt;Charité-University Medicine Berlin, Structural Bioinformatics Group, Institute of  Physiology &amp;amp; Experimental Clinical Research Center, Berlin 13125, Germany  Charité-University Medicine Berlin, Division of General Pediatrics, Department of  Pediatric Oncology and Hematology, Berlin 13353, Germany.; Charité-University Medicine Berlin, Structural Bioinformatics Group, Institute of  Physiology &amp;amp; Experimental Clinical Research Center, Berlin 13125, Germany German  Cancer Consortium (DKTK), German Cancer Research Center (DKFZ), Heidelberg 69120,  Germany.; Charité-University Medicine Berlin, Structural Bioinformatics Group, Institute of  Physiology &amp;amp; Experimental Clinical Research Center, Berlin 13125, Germany German  Cancer Consortium (DKTK), German Cancer Research Center (DKFZ), Heidelberg 69120,  Germany.; Charité-University Medicine Berlin, Structural Bioinformatics Group, Institute of  Physiology &amp;amp; Experimental Clinical Research Center, Berlin 13125, Germany  Graduate School of Computational System Biology, Berlin 10115, Germany.; Charité-University Medicine Berlin, Structural Bioinformatics Group, Institute of  Physiology &amp;amp; Experimental Clinical Research Center, Berlin 13125, Germany.; Charité-University Medicine Berlin, Structural Bioinformatics Group, Institute of  Physiology &amp;amp; Experimental Clinical Research Center, Berlin 13125, Germany.; Charité-University Medicine Berlin, Structural Bioinformatics Group, Institute of  Physiology &amp;amp; Experimental Clinical Research Center, Berlin 13125, Germany.; Charité-University Medicine Berlin, Structural Bioinformatics Group, Institute of  Physiology &amp;amp; Experimental Clinical Research Center, Berlin 13125, Germany  robert.preissner@charite.de.&lt;/_author_adr&gt;&lt;_collection_scope&gt;SCIE&lt;/_collection_scope&gt;&lt;_created&gt;65816506&lt;/_created&gt;&lt;_date&gt;2014-07-01&lt;/_date&gt;&lt;_date_display&gt;2014 Jul&lt;/_date_display&gt;&lt;_doi&gt;10.1093/nar/gku477&lt;/_doi&gt;&lt;_impact_factor&gt;  14.900&lt;/_impact_factor&gt;&lt;_isbn&gt;1362-4962 (Electronic); 0305-1048 (Print); 0305-1048 (Linking)&lt;/_isbn&gt;&lt;_issue&gt;Web Server issue&lt;/_issue&gt;&lt;_journal&gt;Nucleic Acids Res&lt;/_journal&gt;&lt;_language&gt;eng&lt;/_language&gt;&lt;_modified&gt;65833881&lt;/_modified&gt;&lt;_ori_publication&gt;© The Author(s) 2014. Published by Oxford University Press on behalf of Nucleic _x000d__x000a_      Acids Research.&lt;/_ori_publication&gt;&lt;_pages&gt;W26-31&lt;/_pages&gt;&lt;_social_category&gt;生化与分子生物学(2)&lt;/_social_category&gt;&lt;_subject_headings&gt;*Drug Discovery; Internet; Ligands; Pharmaceutical Preparations/*chemistry/*classification; Proteins/drug effects/metabolism; *Software&lt;/_subject_headings&gt;&lt;_tertiary_title&gt;Nucleic acids research&lt;/_tertiary_title&gt;&lt;_type_work&gt;Journal Article; Research Support, Non-U.S. Gov&amp;apos;t&lt;/_type_work&gt;&lt;_url&gt;http://www.ncbi.nlm.nih.gov/entrez/query.fcgi?cmd=Retrieve&amp;amp;db=pubmed&amp;amp;dopt=Abstract&amp;amp;list_uids=24878925&amp;amp;query_hl=1&lt;/_url&gt;&lt;_volume&gt;42&lt;/_volume&gt;&lt;_accessed&gt;65833881&lt;/_accessed&gt;&lt;/Details&gt;&lt;Extra&gt;&lt;DBUID&gt;{54BCA7B7-6925-44C9-9150-D03C09685301}&lt;/DBUID&gt;&lt;/Extra&gt;&lt;/Item&gt;&lt;/References&gt;&lt;/Group&gt;&lt;/Citation&gt;_x000a_"/>
    <w:docVar w:name="NE.Ref{5E3FB23E-9DE7-44B3-A0B8-053C4CB31A95}" w:val=" ADDIN NE.Ref.{5E3FB23E-9DE7-44B3-A0B8-053C4CB31A95}&lt;Citation&gt;&lt;Group&gt;&lt;References&gt;&lt;Item&gt;&lt;ID&gt;229&lt;/ID&gt;&lt;UID&gt;{18809151-5BD0-4E6D-83C7-9AFCEF4C4BD4}&lt;/UID&gt;&lt;Title&gt;SwissTargetPrediction: updated data and new features for efficient prediction of  protein targets of small molecules&lt;/Title&gt;&lt;Template&gt;Journal Article&lt;/Template&gt;&lt;Star&gt;0&lt;/Star&gt;&lt;Tag&gt;0&lt;/Tag&gt;&lt;Author&gt;Daina, A; Michielin, O; Zoete, V&lt;/Author&gt;&lt;Year&gt;2019&lt;/Year&gt;&lt;Details&gt;&lt;_accession_num&gt;31106366&lt;/_accession_num&gt;&lt;_author_adr&gt;Molecular Modeling Group, SIB Swiss Institute of Bioinformatics, University of  Lausanne, Quartier UNIL-Sorge, Bâtiment Amphipôle, CH-1015 Lausanne, Switzerland.; Molecular Modeling Group, SIB Swiss Institute of Bioinformatics, University of  Lausanne, Quartier UNIL-Sorge, Bâtiment Amphipôle, CH-1015 Lausanne, Switzerland.; Department of Oncology, University Hospital of Lausanne, Ludwig Cancer Research -  Lausanne Branch, CH-1011 Lausanne, Switzerland.; Molecular Modeling Group, SIB Swiss Institute of Bioinformatics, University of  Lausanne, Quartier UNIL-Sorge, Bâtiment Amphipôle, CH-1015 Lausanne, Switzerland.; Department of Fundamental Oncology, University of Lausanne, Ludwig Cancer  Research - Lausanne Branch, Route de la Corniche 9A, CH-1066 Epalinges,  Switzerland.&lt;/_author_adr&gt;&lt;_collection_scope&gt;SCIE&lt;/_collection_scope&gt;&lt;_created&gt;65816491&lt;/_created&gt;&lt;_date&gt;2019-07-02&lt;/_date&gt;&lt;_date_display&gt;2019 Jul 2&lt;/_date_display&gt;&lt;_doi&gt;10.1093/nar/gkz382&lt;/_doi&gt;&lt;_impact_factor&gt;  14.900&lt;/_impact_factor&gt;&lt;_isbn&gt;1362-4962 (Electronic); 0305-1048 (Print); 0305-1048 (Linking)&lt;/_isbn&gt;&lt;_issue&gt;W1&lt;/_issue&gt;&lt;_journal&gt;Nucleic Acids Res&lt;/_journal&gt;&lt;_language&gt;eng&lt;/_language&gt;&lt;_modified&gt;65833878&lt;/_modified&gt;&lt;_ori_publication&gt;© The Author(s) 2019. Published by Oxford University Press on behalf of Nucleic _x000d__x000a_      Acids Research.&lt;/_ori_publication&gt;&lt;_pages&gt;W357-W364&lt;/_pages&gt;&lt;_social_category&gt;生化与分子生物学(2)&lt;/_social_category&gt;&lt;_subject_headings&gt;Amino Acid Sequence; Animals; Binding Sites; Databases, Chemical; Datasets as Topic; Drug Discovery/*methods; Humans; Internet; Ligands; Mice; Protein Binding; Protein Conformation, alpha-Helical; Protein Conformation, beta-Strand; Protein Interaction Domains and Motifs; Proteins/agonists/antagonists &amp;amp; inhibitors/*chemistry/metabolism; Rats; Small Molecule Libraries/*chemistry/pharmacology; *Software&lt;/_subject_headings&gt;&lt;_tertiary_title&gt;Nucleic acids research&lt;/_tertiary_title&gt;&lt;_type_work&gt;Journal Article; Research Support, Non-U.S. Gov&amp;apos;t&lt;/_type_work&gt;&lt;_url&gt;http://www.ncbi.nlm.nih.gov/entrez/query.fcgi?cmd=Retrieve&amp;amp;db=pubmed&amp;amp;dopt=Abstract&amp;amp;list_uids=31106366&amp;amp;query_hl=1&lt;/_url&gt;&lt;_volume&gt;47&lt;/_volume&gt;&lt;_accessed&gt;65833878&lt;/_accessed&gt;&lt;/Details&gt;&lt;Extra&gt;&lt;DBUID&gt;{54BCA7B7-6925-44C9-9150-D03C09685301}&lt;/DBUID&gt;&lt;/Extra&gt;&lt;/Item&gt;&lt;/References&gt;&lt;/Group&gt;&lt;/Citation&gt;_x000a_"/>
    <w:docVar w:name="NE.Ref{60AF8B90-0202-44BD-863A-D9A40CEDEA3A}" w:val=" ADDIN NE.Ref.{60AF8B90-0202-44BD-863A-D9A40CEDEA3A}&lt;Citation&gt;&lt;Group&gt;&lt;References&gt;&lt;Item&gt;&lt;ID&gt;232&lt;/ID&gt;&lt;UID&gt;{B926C38A-13EC-4288-B70D-A5DC5F3D1AF1}&lt;/UID&gt;&lt;Title&gt;PharmMapper 2017 update: a web server for potential drug target identification  with a comprehensive target pharmacophore database&lt;/Title&gt;&lt;Template&gt;Journal Article&lt;/Template&gt;&lt;Star&gt;0&lt;/Star&gt;&lt;Tag&gt;0&lt;/Tag&gt;&lt;Author&gt;Wang, X; Shen, Y; Wang, S; Li, S; Zhang, W; Liu, X; Lai, L; Pei, J; Li, H&lt;/Author&gt;&lt;Year&gt;2017&lt;/Year&gt;&lt;Details&gt;&lt;_accession_num&gt;28472422&lt;/_accession_num&gt;&lt;_author_adr&gt;State Key Laboratory of Bioreactor Engineering, Shanghai Key Laboratory of New  Drug Design, School of Pharmacy, East China University of Science and Technology,  Shanghai 200237, China.; Center for Quantitative Biology, AAIS and BNLMS, State Key Laboratory for  Structural Chemistry of Unstable and Stable Species, College of Chemistry and  Molecular Engineering, Peking University, Beijing 100871, China.; Center for Quantitative Biology, AAIS and BNLMS, State Key Laboratory for  Structural Chemistry of Unstable and Stable Species, College of Chemistry and  Molecular Engineering, Peking University, Beijing 100871, China.; State Key Laboratory of Bioreactor Engineering, Shanghai Key Laboratory of New  Drug Design, School of Pharmacy, East China University of Science and Technology,  Shanghai 200237, China.; Center for Quantitative Biology, AAIS and BNLMS, State Key Laboratory for  Structural Chemistry of Unstable and Stable Species, College of Chemistry and  Molecular Engineering, Peking University, Beijing 100871, China.; State Key Laboratory of Bioreactor Engineering, Shanghai Key Laboratory of New  Drug Design, School of Pharmacy, East China University of Science and Technology,  Shanghai 200237, China.; Center for Quantitative Biology, AAIS and BNLMS, State Key Laboratory for  Structural Chemistry of Unstable and Stable Species, College of Chemistry and  Molecular Engineering, Peking University, Beijing 100871, China.; Center for Quantitative Biology, AAIS and BNLMS, State Key Laboratory for  Structural Chemistry of Unstable and Stable Species, College of Chemistry and  Molecular Engineering, Peking University, Beijing 100871, China.; State Key Laboratory of Bioreactor Engineering, Shanghai Key Laboratory of New  Drug Design, School of Pharmacy, East China University of Science and Technology,  Shanghai 200237, China.&lt;/_author_adr&gt;&lt;_collection_scope&gt;SCIE&lt;/_collection_scope&gt;&lt;_created&gt;65816503&lt;/_created&gt;&lt;_date&gt;2017-07-03&lt;/_date&gt;&lt;_date_display&gt;2017 Jul 3&lt;/_date_display&gt;&lt;_doi&gt;10.1093/nar/gkx374&lt;/_doi&gt;&lt;_impact_factor&gt;  14.900&lt;/_impact_factor&gt;&lt;_isbn&gt;1362-4962 (Electronic); 0305-1048 (Print); 0305-1048 (Linking)&lt;/_isbn&gt;&lt;_issue&gt;W1&lt;/_issue&gt;&lt;_journal&gt;Nucleic Acids Res&lt;/_journal&gt;&lt;_language&gt;eng&lt;/_language&gt;&lt;_modified&gt;65833880&lt;/_modified&gt;&lt;_ori_publication&gt;© The Author(s) 2017. Published by Oxford University Press on behalf of Nucleic _x000d__x000a_      Acids Research.&lt;/_ori_publication&gt;&lt;_pages&gt;W356-W360&lt;/_pages&gt;&lt;_social_category&gt;生化与分子生物学(2)&lt;/_social_category&gt;&lt;_subject_headings&gt;Anti-Bacterial Agents/chemistry; Binding Sites; Databases, Pharmaceutical; Internet; Kanamycin/chemistry; Ligands; Pharmaceutical Preparations/*chemistry; Proteins/*chemistry; *Software; Tamoxifen/chemistry&lt;/_subject_headings&gt;&lt;_tertiary_title&gt;Nucleic acids research&lt;/_tertiary_title&gt;&lt;_type_work&gt;Journal Article; Research Support, Non-U.S. Gov&amp;apos;t&lt;/_type_work&gt;&lt;_url&gt;http://www.ncbi.nlm.nih.gov/entrez/query.fcgi?cmd=Retrieve&amp;amp;db=pubmed&amp;amp;dopt=Abstract&amp;amp;list_uids=28472422&amp;amp;query_hl=1&lt;/_url&gt;&lt;_volume&gt;45&lt;/_volume&gt;&lt;_accessed&gt;65833880&lt;/_accessed&gt;&lt;/Details&gt;&lt;Extra&gt;&lt;DBUID&gt;{54BCA7B7-6925-44C9-9150-D03C09685301}&lt;/DBUID&gt;&lt;/Extra&gt;&lt;/Item&gt;&lt;/References&gt;&lt;/Group&gt;&lt;/Citation&gt;_x000a_"/>
    <w:docVar w:name="NE.Ref{C3211185-5251-44A4-9E14-7FF8B0DAA7D6}" w:val=" ADDIN NE.Ref.{C3211185-5251-44A4-9E14-7FF8B0DAA7D6}&lt;Citation&gt;&lt;Group&gt;&lt;References&gt;&lt;Item&gt;&lt;ID&gt;231&lt;/ID&gt;&lt;UID&gt;{66BB8196-7536-4305-9A3E-FE03CF3C4240}&lt;/UID&gt;&lt;Title&gt;Comparative Toxicogenomics Database&amp;apos;s 20th anniversary: update 2025&lt;/Title&gt;&lt;Template&gt;Journal Article&lt;/Template&gt;&lt;Star&gt;0&lt;/Star&gt;&lt;Tag&gt;0&lt;/Tag&gt;&lt;Author&gt;Davis, A P; Wiegers, T C; Sciaky, D; Barkalow, F; Strong, M; Wyatt, B; Wiegers, J; McMorran, R; Abrar, S; Mattingly, C J&lt;/Author&gt;&lt;Year&gt;2025&lt;/Year&gt;&lt;Details&gt;&lt;_accession_num&gt;39385618&lt;/_accession_num&gt;&lt;_author_adr&gt;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Department of Biological Sciences, 3510 Thomas Hall, 112 Derieux Place, North  Carolina State University, Raleigh, NC 27695, USA.; Center for Human Health and the Environment, 850 Main Campus Drive, North  Carolina State University, Raleigh, NC 27695, USA.&lt;/_author_adr&gt;&lt;_collection_scope&gt;SCIE&lt;/_collection_scope&gt;&lt;_created&gt;65816500&lt;/_created&gt;&lt;_date&gt;2025-01-06&lt;/_date&gt;&lt;_date_display&gt;2025 Jan 6&lt;/_date_display&gt;&lt;_doi&gt;10.1093/nar/gkae883&lt;/_doi&gt;&lt;_impact_factor&gt;  14.900&lt;/_impact_factor&gt;&lt;_isbn&gt;1362-4962 (Electronic); 0305-1048 (Print); 0305-1048 (Linking)&lt;/_isbn&gt;&lt;_issue&gt;D1&lt;/_issue&gt;&lt;_journal&gt;Nucleic Acids Res&lt;/_journal&gt;&lt;_language&gt;eng&lt;/_language&gt;&lt;_modified&gt;65833893&lt;/_modified&gt;&lt;_ori_publication&gt;© The Author(s) 2024. Published by Oxford University Press on behalf of Nucleic _x000d__x000a_      Acids Research.&lt;/_ori_publication&gt;&lt;_pages&gt;D1328-D1334&lt;/_pages&gt;&lt;_social_category&gt;生化与分子生物学(2)&lt;/_social_category&gt;&lt;_subject_headings&gt;*Toxicogenetics; Humans; Software; Databases, Genetic; Anniversaries and Special Events; Databases, Factual; Data Curation&lt;/_subject_headings&gt;&lt;_tertiary_title&gt;Nucleic acids research&lt;/_tertiary_title&gt;&lt;_type_work&gt;Journal Article&lt;/_type_work&gt;&lt;_url&gt;http://www.ncbi.nlm.nih.gov/entrez/query.fcgi?cmd=Retrieve&amp;amp;db=pubmed&amp;amp;dopt=Abstract&amp;amp;list_uids=39385618&amp;amp;query_hl=1&lt;/_url&gt;&lt;_volume&gt;53&lt;/_volume&gt;&lt;_accessed&gt;65833893&lt;/_accessed&gt;&lt;/Details&gt;&lt;Extra&gt;&lt;DBUID&gt;{54BCA7B7-6925-44C9-9150-D03C09685301}&lt;/DBUID&gt;&lt;/Extra&gt;&lt;/Item&gt;&lt;/References&gt;&lt;/Group&gt;&lt;/Citation&gt;_x000a_"/>
    <w:docVar w:name="NE.Ref{D27BBE4C-E2D4-4035-B2FA-AB61BBA555DF}" w:val=" ADDIN NE.Ref.{D27BBE4C-E2D4-4035-B2FA-AB61BBA555DF}&lt;Citation&gt;&lt;Group&gt;&lt;References&gt;&lt;Item&gt;&lt;ID&gt;228&lt;/ID&gt;&lt;UID&gt;{0F1CFA76-A050-427C-BFC4-6F0518BF976F}&lt;/UID&gt;&lt;Title&gt;BATMAN-TCM 2.0: an enhanced integrative database for known and predicted  interactions between traditional Chinese medicine ingredients and target  proteins&lt;/Title&gt;&lt;Template&gt;Journal Article&lt;/Template&gt;&lt;Star&gt;0&lt;/Star&gt;&lt;Tag&gt;0&lt;/Tag&gt;&lt;Author&gt;Kong, X; Liu, C; Zhang, Z; Cheng, M; Mei, Z; Li, X; Liu, P; Diao, L; Ma, Y; Jiang, P; Kong, X; Nie, S; Guo, Y; Wang, Z; Zhang, X; Wang, Y; Tang, L; Guo, S; Liu, Z; Li, D&lt;/Author&gt;&lt;Year&gt;2024&lt;/Year&gt;&lt;Details&gt;&lt;_accession_num&gt;37904598&lt;/_accession_num&gt;&lt;_author_adr&gt;State Key Laboratory of Proteomics, Beijing Proteome Research Center, National  Center for Protein Sciences (Beijing), Beijing Institute of Lifeomics,  Beijing 102206, China.; State Key Laboratory of Proteomics, Beijing Proteome Research Center, National  Center for Protein Sciences (Beijing), Beijing Institute of Lifeomics,  Beijing 102206, China.; School of Basic Medical Sciences, Anhui Medical University, Hefei 230032, China.; College of Life Sciences, Hebei University, Baoding 071002, China.; College of Life Sciences, Hebei University, Baoding 071002, China.; College of Life Sciences, Hebei University, Baoding 071002, China.; College of Life Sciences, Hebei University, Baoding 071002, China.; School of Traditional Chinese Medicine, Beijing University of Chinese Medicine,  Beijing 100029, China.; College of Life Sciences, Hebei University, Baoding 071002, China.; Beijing Geneworks Technology Co., Ltd, Beijing 100101, China.; Beijing Geneworks Technology Co., Ltd, Beijing 100101, China.; State Key Laboratory of Proteomics, Beijing Proteome Research Center, National  Center for Protein Sciences (Beijing), Beijing Institute of Lifeomics,  Beijing 102206, China.; State Key Laboratory of Proteomics, Beijing Proteome Research Center, National  Center for Protein Sciences (Beijing), Beijing Institute of Lifeomics,  Beijing 102206, China.; State Key Laboratory of Proteomics, Beijing Proteome Research Center, National  Center for Protein Sciences (Beijing), Beijing Institute of Lifeomics,  Beijing 102206, China.; Beijing Geneworks Technology Co., Ltd, Beijing 100101, China.; State Key Laboratory of Proteomics, Beijing Proteome Research Center, National  Center for Protein Sciences (Beijing), Beijing Institute of Lifeomics,  Beijing 102206, China.; State Key Laboratory of Proteomics, Beijing Proteome Research Center, National  Center for Protein Sciences (Beijing), Beijing Institute of Lifeomics,  Beijing 102206, China.; School of Traditional Chinese Medicine, Beijing University of Chinese Medicine,  Beijing 100029, China.; State Key Laboratory of Proteomics, Beijing Proteome Research Center, National  Center for Protein Sciences (Beijing), Beijing Institute of Lifeomics,  Beijing 102206, China.; School of Basic Medical Sciences, Anhui Medical University, Hefei 230032, China.; College of Life Sciences, Hebei University, Baoding 071002, China.; State Key Laboratory of Proteomics, Beijing Proteome Research Center, National  Center for Protein Sciences (Beijing), Beijing Institute of Lifeomics,  Beijing 102206, China.; School of Basic Medical Sciences, Anhui Medical University, Hefei 230032, China.; College of Life Sciences, Hebei University, Baoding 071002, China.&lt;/_author_adr&gt;&lt;_collection_scope&gt;SCIE&lt;/_collection_scope&gt;&lt;_created&gt;65816487&lt;/_created&gt;&lt;_date&gt;2024-01-05&lt;/_date&gt;&lt;_date_display&gt;2024 Jan 5&lt;/_date_display&gt;&lt;_doi&gt;10.1093/nar/gkad926&lt;/_doi&gt;&lt;_impact_factor&gt;  14.900&lt;/_impact_factor&gt;&lt;_isbn&gt;1362-4962 (Electronic); 0305-1048 (Print); 0305-1048 (Linking)&lt;/_isbn&gt;&lt;_issue&gt;D1&lt;/_issue&gt;&lt;_journal&gt;Nucleic Acids Res&lt;/_journal&gt;&lt;_language&gt;eng&lt;/_language&gt;&lt;_modified&gt;65833878&lt;/_modified&gt;&lt;_ori_publication&gt;© The Author(s) 2023. Published by Oxford University Press on behalf of Nucleic _x000d__x000a_      Acids Research.&lt;/_ori_publication&gt;&lt;_pages&gt;D1110-D1120&lt;/_pages&gt;&lt;_social_category&gt;生化与分子生物学(2)&lt;/_social_category&gt;&lt;_subject_headings&gt;Humans; *Drugs, Chinese Herbal/chemistry; *Medicine, Chinese Traditional; Proteins; *Databases, Pharmaceutical; *Network Pharmacology&lt;/_subject_headings&gt;&lt;_tertiary_title&gt;Nucleic acids research&lt;/_tertiary_title&gt;&lt;_type_work&gt;Journal Article&lt;/_type_work&gt;&lt;_url&gt;http://www.ncbi.nlm.nih.gov/entrez/query.fcgi?cmd=Retrieve&amp;amp;db=pubmed&amp;amp;dopt=Abstract&amp;amp;list_uids=37904598&amp;amp;query_hl=1&lt;/_url&gt;&lt;_volume&gt;52&lt;/_volume&gt;&lt;_accessed&gt;65833878&lt;/_accessed&gt;&lt;/Details&gt;&lt;Extra&gt;&lt;DBUID&gt;{54BCA7B7-6925-44C9-9150-D03C09685301}&lt;/DBUID&gt;&lt;/Extra&gt;&lt;/Item&gt;&lt;/References&gt;&lt;/Group&gt;&lt;/Citation&gt;_x000a_"/>
    <w:docVar w:name="NE.Ref{F8FCBCE5-EC48-438F-83B6-BF1356974111}" w:val=" ADDIN NE.Ref.{F8FCBCE5-EC48-438F-83B6-BF1356974111}&lt;Citation&gt;&lt;Group&gt;&lt;References&gt;&lt;Item&gt;&lt;ID&gt;230&lt;/ID&gt;&lt;UID&gt;{FDCAAF7C-DA27-4725-9920-D9690DAF46B5}&lt;/UID&gt;&lt;Title&gt;TCMSP: a database of systems pharmacology for drug discovery from herbal  medicines&lt;/Title&gt;&lt;Template&gt;Journal Article&lt;/Template&gt;&lt;Star&gt;0&lt;/Star&gt;&lt;Tag&gt;0&lt;/Tag&gt;&lt;Author&gt;Ru, J; Li, P; Wang, J; Zhou, W; Li, B; Huang, C; Li, P; Guo, Z; Tao, W; Yang, Y; Xu, X; Li, Y; Wang, Y; Yang, L&lt;/Author&gt;&lt;Year&gt;2014&lt;/Year&gt;&lt;Details&gt;&lt;_accession_num&gt;24735618&lt;/_accession_num&gt;&lt;_author_adr&gt;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Center for Bioinformatics, College of Life Science, Northwest A&amp;amp;F University,  Yangling, Shaanxi 712100, China.; School of Chemical Engineering, Dalian University of Technology, Dalian, Liaoning  116024, China.; Center for Bioinformatics, College of Life Science, Northwest A&amp;amp;F University,  Yangling, Shaanxi 712100, China.; School of Chemical Engineering, Dalian University of Technology, Dalian, Liaoning  116024, China.; Center for Bioinformatics, College of Life Science, Northwest A&amp;amp;F University,  Yangling, Shaanxi 712100, China.; Laboratory of Pharmaceutical Resource Discovery, Dalian Institute of Chemical  Physics, Chinese Academy of Sciences, Dalian 116023, China.&lt;/_author_adr&gt;&lt;_collection_scope&gt;SCIE&lt;/_collection_scope&gt;&lt;_created&gt;65816494&lt;/_created&gt;&lt;_date&gt;2014-01-20&lt;/_date&gt;&lt;_date_display&gt;2014&lt;/_date_display&gt;&lt;_doi&gt;10.1186/1758-2946-6-13&lt;/_doi&gt;&lt;_impact_factor&gt;   8.600&lt;/_impact_factor&gt;&lt;_isbn&gt;1758-2946 (Print); 1758-2946 (Electronic); 1758-2946 (Linking)&lt;/_isbn&gt;&lt;_journal&gt;J Cheminform&lt;/_journal&gt;&lt;_keywords&gt;ADME; Drug discovery; Systems pharmacology; TCM&lt;/_keywords&gt;&lt;_language&gt;eng&lt;/_language&gt;&lt;_modified&gt;65833879&lt;/_modified&gt;&lt;_pages&gt;13&lt;/_pages&gt;&lt;_social_category&gt;化学综合(3) &amp;amp; 计算机：信息系统(3) &amp;amp; 计算机：跨学科应用(3)&lt;/_social_category&gt;&lt;_tertiary_title&gt;Journal of cheminformatics&lt;/_tertiary_title&gt;&lt;_type_work&gt;Journal Article&lt;/_type_work&gt;&lt;_url&gt;http://www.ncbi.nlm.nih.gov/entrez/query.fcgi?cmd=Retrieve&amp;amp;db=pubmed&amp;amp;dopt=Abstract&amp;amp;list_uids=24735618&amp;amp;query_hl=1&lt;/_url&gt;&lt;_volume&gt;6&lt;/_volume&gt;&lt;_accessed&gt;65833879&lt;/_accessed&gt;&lt;/Details&gt;&lt;Extra&gt;&lt;DBUID&gt;{54BCA7B7-6925-44C9-9150-D03C09685301}&lt;/DBUID&gt;&lt;/Extra&gt;&lt;/Item&gt;&lt;/References&gt;&lt;/Group&gt;&lt;/Citation&gt;_x000a_"/>
    <w:docVar w:name="ne_stylename" w:val="中华人民共和国国家标准_GBT_7714-2005"/>
  </w:docVars>
  <w:rsids>
    <w:rsidRoot w:val="00172A27"/>
    <w:rsid w:val="021A141A"/>
    <w:rsid w:val="08BE5001"/>
    <w:rsid w:val="0A750537"/>
    <w:rsid w:val="29544BDD"/>
    <w:rsid w:val="325C028C"/>
    <w:rsid w:val="396D5C64"/>
    <w:rsid w:val="3B0D33B9"/>
    <w:rsid w:val="443F7E08"/>
    <w:rsid w:val="6238453E"/>
    <w:rsid w:val="67EA3919"/>
    <w:rsid w:val="6CBA297D"/>
    <w:rsid w:val="717148AB"/>
    <w:rsid w:val="7D3B5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 w:type="paragraph" w:styleId="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1858</Words>
  <Characters>10898</Characters>
  <Lines>0</Lines>
  <Paragraphs>0</Paragraphs>
  <TotalTime>9</TotalTime>
  <ScaleCrop>false</ScaleCrop>
  <LinksUpToDate>false</LinksUpToDate>
  <CharactersWithSpaces>12719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2025-03-05T06:03:00Z</dcterms:created>
  <dc:creator>娴萝卜</dc:creator>
  <cp:lastModifiedBy>娴萝卜</cp:lastModifiedBy>
  <dcterms:modified xsi:type="dcterms:W3CDTF">2025-07-18T13:02:00Z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C5F17574D60E413A8ACBB6AA093ACE07_13</vt:lpwstr>
  </property>
  <property fmtid="{D5CDD505-2E9C-101B-9397-08002B2CF9AE}" pid="4" name="KSOTemplateDocerSaveRecord">
    <vt:lpwstr>eyJoZGlkIjoiZjU5MjQyMzkwMGNlYWU2MDQ3MGRjNmY4ZTJhNzlmOTciLCJ1c2VySWQiOiIyOTEyNTg3NDkifQ==</vt:lpwstr>
  </property>
</Properties>
</file>