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2C" w:rsidRDefault="0006172C" w:rsidP="0006172C">
      <w:pPr>
        <w:pStyle w:val="Heading1"/>
      </w:pPr>
      <w:r>
        <w:t>Additional Information</w:t>
      </w:r>
    </w:p>
    <w:p w:rsidR="0006172C" w:rsidRPr="00D52A98" w:rsidRDefault="0006172C" w:rsidP="0006172C">
      <w:pPr>
        <w:pStyle w:val="Heading2"/>
      </w:pPr>
      <w:r>
        <w:t>Supplementary Fig.1 Natural Killer Cells Purity</w:t>
      </w:r>
    </w:p>
    <w:p w:rsidR="0006172C" w:rsidRDefault="0006172C" w:rsidP="0006172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Supplementary Fig.1 legend</w:t>
      </w:r>
      <w:r>
        <w:rPr>
          <w:rFonts w:ascii="Arial" w:hAnsi="Arial" w:cs="Arial"/>
          <w:szCs w:val="24"/>
        </w:rPr>
        <w:t>: Natural Killer cells purity. Data is presented as mean ± SEM. The purity for NK cells (CD3</w:t>
      </w:r>
      <w:r>
        <w:rPr>
          <w:rFonts w:ascii="Arial" w:hAnsi="Arial" w:cs="Arial"/>
          <w:szCs w:val="24"/>
          <w:vertAlign w:val="superscript"/>
        </w:rPr>
        <w:t>-</w:t>
      </w:r>
      <w:r>
        <w:rPr>
          <w:rFonts w:ascii="Arial" w:hAnsi="Arial" w:cs="Arial"/>
          <w:szCs w:val="24"/>
        </w:rPr>
        <w:t xml:space="preserve"> CD56</w:t>
      </w:r>
      <w:r>
        <w:rPr>
          <w:rFonts w:ascii="Arial" w:hAnsi="Arial" w:cs="Arial"/>
          <w:szCs w:val="24"/>
          <w:vertAlign w:val="superscript"/>
        </w:rPr>
        <w:t>+</w:t>
      </w:r>
      <w:r>
        <w:rPr>
          <w:rFonts w:ascii="Arial" w:hAnsi="Arial" w:cs="Arial"/>
          <w:szCs w:val="24"/>
        </w:rPr>
        <w:t xml:space="preserve">) was 94.4 ± 0.80% for ME/CFS and 94.1 ± 1.15% for HC as determined by flow cytometry. Cells were acquired at 10,000 events using the BD X20 flow cytometer (BD Biosciences, San Diego, CA, USA), using the following gating strategy: (A) Lymphocytes were gated using the SSC-A and FSC-A. (B) CD3 negative cells were selected from the lymphocyte population. (C) NK cells were identified as the CD negative and CD56 positive population. (D) Bar graphs representing NK cell purity (%). Abbreviations: NK, natural killer cells; ME/CFS, </w:t>
      </w:r>
      <w:proofErr w:type="spellStart"/>
      <w:r>
        <w:rPr>
          <w:rFonts w:ascii="Arial" w:hAnsi="Arial" w:cs="Arial"/>
          <w:szCs w:val="24"/>
        </w:rPr>
        <w:t>mylagic</w:t>
      </w:r>
      <w:proofErr w:type="spellEnd"/>
      <w:r>
        <w:rPr>
          <w:rFonts w:ascii="Arial" w:hAnsi="Arial" w:cs="Arial"/>
          <w:szCs w:val="24"/>
        </w:rPr>
        <w:t xml:space="preserve"> encephalomyelitis/chronic fatigue syndrome; HC, healthy control; SEM, standard error of mean.</w:t>
      </w:r>
    </w:p>
    <w:p w:rsidR="0006172C" w:rsidRPr="004152FB" w:rsidRDefault="0006172C" w:rsidP="0006172C">
      <w:pPr>
        <w:jc w:val="both"/>
        <w:rPr>
          <w:rFonts w:ascii="Arial" w:hAnsi="Arial" w:cs="Arial"/>
          <w:szCs w:val="24"/>
        </w:rPr>
      </w:pPr>
      <w:r w:rsidRPr="0006172C">
        <w:rPr>
          <w:rFonts w:ascii="Arial" w:hAnsi="Arial" w:cs="Arial"/>
          <w:noProof/>
          <w:szCs w:val="24"/>
          <w:lang w:val="en-US"/>
        </w:rPr>
        <w:lastRenderedPageBreak/>
        <w:drawing>
          <wp:inline distT="0" distB="0" distL="0" distR="0">
            <wp:extent cx="5943600" cy="5081270"/>
            <wp:effectExtent l="0" t="0" r="0" b="5080"/>
            <wp:docPr id="1" name="Picture 1" descr="Y:\Repos\BEBERLY\ARTICOLORS\2026\Mayonaise\5-12-26\12865_2026_849-CEdone\received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Repos\BEBERLY\ARTICOLORS\2026\Mayonaise\5-12-26\12865_2026_849-CEdone\received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2C" w:rsidRPr="005610FD" w:rsidRDefault="0006172C" w:rsidP="0006172C">
      <w:pPr>
        <w:pStyle w:val="Heading2"/>
        <w:jc w:val="both"/>
      </w:pPr>
      <w:r>
        <w:t>Supplementary Fig.2 Simultaneous Imaging of Ca</w:t>
      </w:r>
      <w:r>
        <w:rPr>
          <w:vertAlign w:val="superscript"/>
        </w:rPr>
        <w:t>2+</w:t>
      </w:r>
      <w:r>
        <w:t xml:space="preserve"> Influx </w:t>
      </w:r>
      <w:proofErr w:type="gramStart"/>
      <w:r>
        <w:t>into</w:t>
      </w:r>
      <w:proofErr w:type="gramEnd"/>
      <w:r>
        <w:t xml:space="preserve"> the Cytoplasm and Mitochondria</w:t>
      </w:r>
    </w:p>
    <w:p w:rsidR="0006172C" w:rsidRDefault="0006172C" w:rsidP="0006172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Fig.2 legend</w:t>
      </w:r>
      <w:r>
        <w:rPr>
          <w:rFonts w:ascii="Arial" w:hAnsi="Arial" w:cs="Arial"/>
        </w:rPr>
        <w:t>: Simultaneous cytoplasmic and mitochondrial Ca</w:t>
      </w:r>
      <w:r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influx imaging. NK cells stained with Fluo-8 and Rhod-2 were imaged simultaneously confirming downstream TRPM3 -dependent Ca</w:t>
      </w:r>
      <w:r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influx into the mitochondria. (A &amp; B) NK cells from a HC participant and ME/CFS patient, respectively stained with Fluo-8 and Rhod-2. (C) Fluorescence intensity curves for ROIs illustrated in (A). (D) Fluorescence intensity </w:t>
      </w:r>
      <w:r>
        <w:rPr>
          <w:rFonts w:ascii="Arial" w:hAnsi="Arial" w:cs="Arial"/>
        </w:rPr>
        <w:lastRenderedPageBreak/>
        <w:t>curves for ROIs illustrated in (B). The dotted lines indicate F0s and corresponding T1s for each stimulation condition. Abbreviations: Ca</w:t>
      </w:r>
      <w:r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>, calcium; HC, healthy control;</w:t>
      </w:r>
      <w:r>
        <w:t xml:space="preserve"> </w:t>
      </w:r>
      <w:r>
        <w:rPr>
          <w:rFonts w:ascii="Arial" w:hAnsi="Arial" w:cs="Arial"/>
        </w:rPr>
        <w:t xml:space="preserve">ME/CFS, </w:t>
      </w:r>
      <w:proofErr w:type="spellStart"/>
      <w:r>
        <w:rPr>
          <w:rFonts w:ascii="Arial" w:hAnsi="Arial" w:cs="Arial"/>
        </w:rPr>
        <w:t>mylagic</w:t>
      </w:r>
      <w:proofErr w:type="spellEnd"/>
      <w:r>
        <w:rPr>
          <w:rFonts w:ascii="Arial" w:hAnsi="Arial" w:cs="Arial"/>
        </w:rPr>
        <w:t xml:space="preserve"> encephalomyelitis / chronic fatigue syndrome; ROI, region of interest; 4-( FCCP, Carbonyl cyanide </w:t>
      </w:r>
      <w:proofErr w:type="spellStart"/>
      <w:r>
        <w:rPr>
          <w:rFonts w:ascii="Arial" w:hAnsi="Arial" w:cs="Arial"/>
        </w:rPr>
        <w:t>trifluoromethoxy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phenylhydrazone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Fmax</w:t>
      </w:r>
      <w:proofErr w:type="spellEnd"/>
      <w:r>
        <w:rPr>
          <w:rFonts w:ascii="Arial" w:hAnsi="Arial" w:cs="Arial"/>
        </w:rPr>
        <w:t xml:space="preserve">, maximum fluorescence; F0, minimum fluorescence; </w:t>
      </w:r>
      <w:proofErr w:type="spellStart"/>
      <w:r>
        <w:rPr>
          <w:rFonts w:ascii="Arial" w:hAnsi="Arial" w:cs="Arial"/>
        </w:rPr>
        <w:t>PregS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Pregnenolone</w:t>
      </w:r>
      <w:proofErr w:type="spellEnd"/>
      <w:r>
        <w:rPr>
          <w:rFonts w:ascii="Arial" w:hAnsi="Arial" w:cs="Arial"/>
        </w:rPr>
        <w:t xml:space="preserve"> sulphate. Imaging analysis was performed using </w:t>
      </w:r>
      <w:proofErr w:type="spellStart"/>
      <w:r>
        <w:rPr>
          <w:rFonts w:ascii="Arial" w:hAnsi="Arial" w:cs="Arial"/>
        </w:rPr>
        <w:t>cellSens</w:t>
      </w:r>
      <w:proofErr w:type="spellEnd"/>
      <w:r>
        <w:rPr>
          <w:rFonts w:ascii="Arial" w:hAnsi="Arial" w:cs="Arial"/>
        </w:rPr>
        <w:t xml:space="preserve"> Dimension Desktop by drawing perimeters around ROIs, then edited using Adobe illustrator. Time lapse fluorescence Graphs were constructed using Origin software.</w:t>
      </w:r>
    </w:p>
    <w:p w:rsidR="0006172C" w:rsidRPr="005610FD" w:rsidRDefault="0006172C" w:rsidP="0006172C">
      <w:pPr>
        <w:jc w:val="both"/>
        <w:rPr>
          <w:rFonts w:ascii="Arial" w:hAnsi="Arial" w:cs="Arial"/>
        </w:rPr>
      </w:pPr>
      <w:r w:rsidRPr="0006172C">
        <w:rPr>
          <w:rFonts w:ascii="Arial" w:hAnsi="Arial" w:cs="Arial"/>
          <w:noProof/>
          <w:lang w:val="en-US"/>
        </w:rPr>
        <w:drawing>
          <wp:inline distT="0" distB="0" distL="0" distR="0">
            <wp:extent cx="5943600" cy="4300025"/>
            <wp:effectExtent l="0" t="0" r="0" b="5715"/>
            <wp:docPr id="2" name="Picture 2" descr="Y:\Repos\BEBERLY\ARTICOLORS\2026\Mayonaise\5-12-26\12865_2026_849-CEdone\received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Repos\BEBERLY\ARTICOLORS\2026\Mayonaise\5-12-26\12865_2026_849-CEdone\received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2C" w:rsidRPr="00C447EA" w:rsidRDefault="0006172C" w:rsidP="0006172C">
      <w:pPr>
        <w:pStyle w:val="Heading2"/>
        <w:jc w:val="both"/>
      </w:pPr>
      <w:r>
        <w:lastRenderedPageBreak/>
        <w:t xml:space="preserve">Supplementary Fig.3 TRPM3 Inhibition using </w:t>
      </w:r>
      <w:proofErr w:type="spellStart"/>
      <w:r>
        <w:t>Ononetin</w:t>
      </w:r>
      <w:proofErr w:type="spellEnd"/>
      <w:r>
        <w:t xml:space="preserve"> in Freshly Isolated NK Cells</w:t>
      </w:r>
    </w:p>
    <w:p w:rsidR="0006172C" w:rsidRPr="008F6412" w:rsidRDefault="0006172C" w:rsidP="0006172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Supplementary Fig.3 legend</w:t>
      </w:r>
      <w:r>
        <w:rPr>
          <w:rFonts w:ascii="Arial" w:hAnsi="Arial" w:cs="Arial"/>
          <w:szCs w:val="24"/>
        </w:rPr>
        <w:t xml:space="preserve">: TRPM3 inhibition using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in NK cells. We applied the specific TRPM3 blocker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to confirm TRPM3-dependent Ca</w:t>
      </w:r>
      <w:r>
        <w:rPr>
          <w:rFonts w:ascii="Arial" w:hAnsi="Arial" w:cs="Arial"/>
          <w:szCs w:val="24"/>
          <w:vertAlign w:val="superscript"/>
        </w:rPr>
        <w:t>2+</w:t>
      </w:r>
      <w:r>
        <w:rPr>
          <w:rFonts w:ascii="Arial" w:hAnsi="Arial" w:cs="Arial"/>
          <w:szCs w:val="24"/>
        </w:rPr>
        <w:t xml:space="preserve"> mobilisation. TRPM3 inhibition and activation was examined employing the following sequence: 60s of baseline imaging in 0mM Ca</w:t>
      </w:r>
      <w:r>
        <w:rPr>
          <w:rFonts w:ascii="Arial" w:hAnsi="Arial" w:cs="Arial"/>
          <w:szCs w:val="24"/>
          <w:vertAlign w:val="superscript"/>
        </w:rPr>
        <w:t>2+;</w:t>
      </w:r>
      <w:r>
        <w:rPr>
          <w:rFonts w:ascii="Arial" w:hAnsi="Arial" w:cs="Arial"/>
          <w:szCs w:val="24"/>
        </w:rPr>
        <w:t xml:space="preserve"> addition of 1.8mM Ca</w:t>
      </w:r>
      <w:r>
        <w:rPr>
          <w:rFonts w:ascii="Arial" w:hAnsi="Arial" w:cs="Arial"/>
          <w:szCs w:val="24"/>
          <w:vertAlign w:val="superscript"/>
        </w:rPr>
        <w:t>2+</w:t>
      </w:r>
      <w:r>
        <w:rPr>
          <w:rFonts w:ascii="Arial" w:hAnsi="Arial" w:cs="Arial"/>
          <w:szCs w:val="24"/>
        </w:rPr>
        <w:t xml:space="preserve"> buffer for 3 minutes; inhibition by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alone for 3 minutes; combined treatment with </w:t>
      </w:r>
      <w:proofErr w:type="spellStart"/>
      <w:r>
        <w:rPr>
          <w:rFonts w:ascii="Arial" w:hAnsi="Arial" w:cs="Arial"/>
          <w:szCs w:val="24"/>
        </w:rPr>
        <w:t>PregS</w:t>
      </w:r>
      <w:proofErr w:type="spellEnd"/>
      <w:r>
        <w:rPr>
          <w:rFonts w:ascii="Arial" w:hAnsi="Arial" w:cs="Arial"/>
          <w:szCs w:val="24"/>
        </w:rPr>
        <w:t xml:space="preserve"> and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for 3 minutes; TRPM3 activation by </w:t>
      </w:r>
      <w:proofErr w:type="spellStart"/>
      <w:r>
        <w:rPr>
          <w:rFonts w:ascii="Arial" w:hAnsi="Arial" w:cs="Arial"/>
          <w:szCs w:val="24"/>
        </w:rPr>
        <w:t>PregS</w:t>
      </w:r>
      <w:proofErr w:type="spellEnd"/>
      <w:r>
        <w:rPr>
          <w:rFonts w:ascii="Arial" w:hAnsi="Arial" w:cs="Arial"/>
          <w:szCs w:val="24"/>
        </w:rPr>
        <w:t xml:space="preserve"> alone for 3 minutes; 1 µM FCCP to induce mitochondrial uncoupling for 3 minutes. The responses were observed to decrease upon addition of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. (A &amp; B) Examples of Fluo-8 time-lapse fluorescence intensity curves for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and </w:t>
      </w:r>
      <w:proofErr w:type="spellStart"/>
      <w:r>
        <w:rPr>
          <w:rFonts w:ascii="Arial" w:hAnsi="Arial" w:cs="Arial"/>
          <w:szCs w:val="24"/>
        </w:rPr>
        <w:t>PregS</w:t>
      </w:r>
      <w:proofErr w:type="spellEnd"/>
      <w:r>
        <w:rPr>
          <w:rFonts w:ascii="Arial" w:hAnsi="Arial" w:cs="Arial"/>
          <w:szCs w:val="24"/>
        </w:rPr>
        <w:t xml:space="preserve"> responses in NK cells from HC and ME/CFS patients, respectively; (C &amp; D) Rhod-2 time-lapse fluorescence intensity curves for </w:t>
      </w:r>
      <w:proofErr w:type="spellStart"/>
      <w:r>
        <w:rPr>
          <w:rFonts w:ascii="Arial" w:hAnsi="Arial" w:cs="Arial"/>
          <w:szCs w:val="24"/>
        </w:rPr>
        <w:t>ononetin</w:t>
      </w:r>
      <w:proofErr w:type="spellEnd"/>
      <w:r>
        <w:rPr>
          <w:rFonts w:ascii="Arial" w:hAnsi="Arial" w:cs="Arial"/>
          <w:szCs w:val="24"/>
        </w:rPr>
        <w:t xml:space="preserve"> and </w:t>
      </w:r>
      <w:proofErr w:type="spellStart"/>
      <w:r>
        <w:rPr>
          <w:rFonts w:ascii="Arial" w:hAnsi="Arial" w:cs="Arial"/>
          <w:szCs w:val="24"/>
        </w:rPr>
        <w:t>PregS</w:t>
      </w:r>
      <w:proofErr w:type="spellEnd"/>
      <w:r>
        <w:rPr>
          <w:rFonts w:ascii="Arial" w:hAnsi="Arial" w:cs="Arial"/>
          <w:szCs w:val="24"/>
        </w:rPr>
        <w:t xml:space="preserve"> responses in NK cells from HC and ME/CFS patients, respectively. The dotted lines indicate F0s and corresponding T1s for each stimulation condition. Abbreviations: Ca</w:t>
      </w:r>
      <w:r>
        <w:rPr>
          <w:rFonts w:ascii="Arial" w:hAnsi="Arial" w:cs="Arial"/>
          <w:szCs w:val="24"/>
          <w:vertAlign w:val="superscript"/>
        </w:rPr>
        <w:t>2+,</w:t>
      </w:r>
      <w:r>
        <w:rPr>
          <w:rFonts w:ascii="Arial" w:hAnsi="Arial" w:cs="Arial"/>
          <w:szCs w:val="24"/>
        </w:rPr>
        <w:t xml:space="preserve"> calcium; TRPM3, transient receptor potential </w:t>
      </w:r>
      <w:proofErr w:type="spellStart"/>
      <w:r>
        <w:rPr>
          <w:rFonts w:ascii="Arial" w:hAnsi="Arial" w:cs="Arial"/>
          <w:szCs w:val="24"/>
        </w:rPr>
        <w:t>melastatin</w:t>
      </w:r>
      <w:proofErr w:type="spellEnd"/>
      <w:r>
        <w:rPr>
          <w:rFonts w:ascii="Arial" w:hAnsi="Arial" w:cs="Arial"/>
          <w:szCs w:val="24"/>
        </w:rPr>
        <w:t xml:space="preserve"> 3 (TRPM3); </w:t>
      </w:r>
      <w:proofErr w:type="spellStart"/>
      <w:r>
        <w:rPr>
          <w:rFonts w:ascii="Arial" w:hAnsi="Arial" w:cs="Arial"/>
          <w:szCs w:val="24"/>
        </w:rPr>
        <w:t>PregS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Pregnenolone</w:t>
      </w:r>
      <w:proofErr w:type="spellEnd"/>
      <w:r>
        <w:rPr>
          <w:rFonts w:ascii="Arial" w:hAnsi="Arial" w:cs="Arial"/>
          <w:szCs w:val="24"/>
        </w:rPr>
        <w:t xml:space="preserve"> sulphate;</w:t>
      </w:r>
      <w:r>
        <w:t xml:space="preserve"> </w:t>
      </w:r>
      <w:r>
        <w:rPr>
          <w:rFonts w:ascii="Arial" w:hAnsi="Arial" w:cs="Arial"/>
          <w:szCs w:val="24"/>
        </w:rPr>
        <w:t xml:space="preserve">ME/CFS, </w:t>
      </w:r>
      <w:proofErr w:type="spellStart"/>
      <w:r>
        <w:rPr>
          <w:rFonts w:ascii="Arial" w:hAnsi="Arial" w:cs="Arial"/>
          <w:szCs w:val="24"/>
        </w:rPr>
        <w:t>mylagic</w:t>
      </w:r>
      <w:proofErr w:type="spellEnd"/>
      <w:r>
        <w:rPr>
          <w:rFonts w:ascii="Arial" w:hAnsi="Arial" w:cs="Arial"/>
          <w:szCs w:val="24"/>
        </w:rPr>
        <w:t xml:space="preserve"> encephalomyelitis / chronic fatigue syndrome; HC, healthy control; ROI, region of interest; </w:t>
      </w:r>
      <w:proofErr w:type="spellStart"/>
      <w:r>
        <w:rPr>
          <w:rFonts w:ascii="Arial" w:hAnsi="Arial" w:cs="Arial"/>
          <w:szCs w:val="24"/>
        </w:rPr>
        <w:t>Fmax</w:t>
      </w:r>
      <w:proofErr w:type="spellEnd"/>
      <w:r>
        <w:rPr>
          <w:rFonts w:ascii="Arial" w:hAnsi="Arial" w:cs="Arial"/>
          <w:szCs w:val="24"/>
        </w:rPr>
        <w:t xml:space="preserve">, maximum fluorescence; F0, minimum fluorescence. Imaging analysis was performed using </w:t>
      </w:r>
      <w:proofErr w:type="spellStart"/>
      <w:r>
        <w:rPr>
          <w:rFonts w:ascii="Arial" w:hAnsi="Arial" w:cs="Arial"/>
          <w:szCs w:val="24"/>
        </w:rPr>
        <w:t>cellSens</w:t>
      </w:r>
      <w:proofErr w:type="spellEnd"/>
      <w:r>
        <w:rPr>
          <w:rFonts w:ascii="Arial" w:hAnsi="Arial" w:cs="Arial"/>
          <w:szCs w:val="24"/>
        </w:rPr>
        <w:t xml:space="preserve"> Dimension Desktop by drawing perimeters around ROIs, then edited using Adobe illustrator. Time lapse fluorescence Graphs were constructed using Origin software.</w:t>
      </w:r>
    </w:p>
    <w:p w:rsidR="00DF1842" w:rsidRDefault="0006172C">
      <w:r w:rsidRPr="0006172C">
        <w:rPr>
          <w:noProof/>
          <w:lang w:val="en-US"/>
        </w:rPr>
        <w:lastRenderedPageBreak/>
        <w:drawing>
          <wp:inline distT="0" distB="0" distL="0" distR="0">
            <wp:extent cx="5943600" cy="4432938"/>
            <wp:effectExtent l="0" t="0" r="0" b="5715"/>
            <wp:docPr id="3" name="Picture 3" descr="Y:\Repos\BEBERLY\ARTICOLORS\2026\Mayonaise\5-12-26\12865_2026_849-CEdone\received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Repos\BEBERLY\ARTICOLORS\2026\Mayonaise\5-12-26\12865_2026_849-CEdone\received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E05BE"/>
    <w:multiLevelType w:val="multilevel"/>
    <w:tmpl w:val="1B1687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2C"/>
    <w:rsid w:val="0006172C"/>
    <w:rsid w:val="00DF313B"/>
    <w:rsid w:val="00E8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CEE3F-D676-4CB1-B90B-D826DD85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72C"/>
    <w:pPr>
      <w:spacing w:before="120" w:after="120" w:line="480" w:lineRule="auto"/>
    </w:pPr>
    <w:rPr>
      <w:rFonts w:ascii="Times New Roman" w:hAnsi="Times New Roman"/>
      <w:kern w:val="2"/>
      <w:sz w:val="24"/>
      <w:lang w:val="en-AU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2"/>
    <w:qFormat/>
    <w:rsid w:val="0006172C"/>
    <w:pPr>
      <w:keepNext/>
      <w:keepLines/>
      <w:numPr>
        <w:numId w:val="1"/>
      </w:numPr>
      <w:spacing w:before="240" w:after="0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6172C"/>
    <w:pPr>
      <w:keepNext/>
      <w:keepLines/>
      <w:numPr>
        <w:ilvl w:val="1"/>
        <w:numId w:val="1"/>
      </w:numPr>
      <w:spacing w:before="40" w:after="0"/>
      <w:outlineLvl w:val="1"/>
    </w:pPr>
    <w:rPr>
      <w:rFonts w:ascii="Arial" w:eastAsiaTheme="majorEastAsia" w:hAnsi="Arial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6172C"/>
    <w:pPr>
      <w:keepNext/>
      <w:keepLines/>
      <w:numPr>
        <w:ilvl w:val="2"/>
        <w:numId w:val="1"/>
      </w:numPr>
      <w:spacing w:before="40" w:after="0"/>
      <w:outlineLvl w:val="2"/>
    </w:pPr>
    <w:rPr>
      <w:rFonts w:ascii="Arial" w:eastAsiaTheme="majorEastAsia" w:hAnsi="Arial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6172C"/>
    <w:pPr>
      <w:keepNext/>
      <w:keepLines/>
      <w:numPr>
        <w:ilvl w:val="3"/>
        <w:numId w:val="1"/>
      </w:numPr>
      <w:spacing w:before="40" w:after="0"/>
      <w:outlineLvl w:val="3"/>
    </w:pPr>
    <w:rPr>
      <w:rFonts w:ascii="Arial" w:eastAsiaTheme="majorEastAsia" w:hAnsi="Arial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6172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72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72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72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72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6172C"/>
    <w:rPr>
      <w:rFonts w:ascii="Arial" w:eastAsiaTheme="majorEastAsia" w:hAnsi="Arial" w:cstheme="majorBidi"/>
      <w:b/>
      <w:kern w:val="2"/>
      <w:sz w:val="36"/>
      <w:szCs w:val="32"/>
      <w:lang w:val="en-AU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2"/>
    <w:rsid w:val="0006172C"/>
    <w:rPr>
      <w:rFonts w:ascii="Arial" w:eastAsiaTheme="majorEastAsia" w:hAnsi="Arial" w:cstheme="majorBidi"/>
      <w:b/>
      <w:kern w:val="2"/>
      <w:sz w:val="32"/>
      <w:szCs w:val="26"/>
      <w:lang w:val="en-AU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2"/>
    <w:rsid w:val="0006172C"/>
    <w:rPr>
      <w:rFonts w:ascii="Arial" w:eastAsiaTheme="majorEastAsia" w:hAnsi="Arial" w:cstheme="majorBidi"/>
      <w:b/>
      <w:kern w:val="2"/>
      <w:sz w:val="28"/>
      <w:szCs w:val="24"/>
      <w:lang w:val="en-AU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2"/>
    <w:rsid w:val="0006172C"/>
    <w:rPr>
      <w:rFonts w:ascii="Arial" w:eastAsiaTheme="majorEastAsia" w:hAnsi="Arial" w:cstheme="majorBidi"/>
      <w:b/>
      <w:iCs/>
      <w:kern w:val="2"/>
      <w:sz w:val="24"/>
      <w:lang w:val="en-AU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"/>
    <w:rsid w:val="0006172C"/>
    <w:rPr>
      <w:rFonts w:asciiTheme="majorHAnsi" w:eastAsiaTheme="majorEastAsia" w:hAnsiTheme="majorHAnsi" w:cstheme="majorBidi"/>
      <w:color w:val="2E74B5" w:themeColor="accent1" w:themeShade="BF"/>
      <w:kern w:val="2"/>
      <w:sz w:val="24"/>
      <w:lang w:val="en-AU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72C"/>
    <w:rPr>
      <w:rFonts w:asciiTheme="majorHAnsi" w:eastAsiaTheme="majorEastAsia" w:hAnsiTheme="majorHAnsi" w:cstheme="majorBidi"/>
      <w:color w:val="1F4D78" w:themeColor="accent1" w:themeShade="7F"/>
      <w:kern w:val="2"/>
      <w:sz w:val="24"/>
      <w:lang w:val="en-AU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72C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4"/>
      <w:lang w:val="en-AU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72C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AU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72C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Beberly Providencia</dc:creator>
  <cp:keywords/>
  <dc:description/>
  <cp:lastModifiedBy>Beberly Providencia</cp:lastModifiedBy>
  <cp:revision>1</cp:revision>
  <dcterms:created xsi:type="dcterms:W3CDTF">2026-05-12T01:23:00Z</dcterms:created>
  <dcterms:modified xsi:type="dcterms:W3CDTF">2026-05-12T01:26:00Z</dcterms:modified>
</cp:coreProperties>
</file>