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spacing w:before="120" w:line="480" w:lineRule="auto"/>
        <w:rPr>
          <w:rFonts w:ascii="Arial" w:cs="Arial" w:eastAsia="Arial" w:hAnsi="Arial"/>
          <w:b w:val="0"/>
          <w:bCs w:val="0"/>
          <w:sz w:val="21"/>
          <w:szCs w:val="21"/>
        </w:rPr>
      </w:pPr>
      <w:bookmarkStart w:colFirst="0" w:colLast="0" w:name="_ptwzyzn99tf6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1"/>
          <w:szCs w:val="21"/>
          <w:rtl w:val="0"/>
        </w:rPr>
        <w:t xml:space="preserve">Table S1 </w:t>
      </w:r>
      <w:r w:rsidDel="00000000" w:rsidR="00000000" w:rsidRPr="00000000">
        <w:rPr>
          <w:rFonts w:ascii="Arial" w:cs="Arial" w:eastAsia="Arial" w:hAnsi="Arial"/>
          <w:b w:val="0"/>
          <w:bCs w:val="0"/>
          <w:sz w:val="21"/>
          <w:szCs w:val="21"/>
          <w:rtl w:val="0"/>
        </w:rPr>
        <w:t xml:space="preserve">Baseline characteristics of patients according to 28-day mortality</w:t>
      </w:r>
    </w:p>
    <w:tbl>
      <w:tblPr>
        <w:tblStyle w:val="Table1"/>
        <w:tblpPr w:leftFromText="180" w:rightFromText="180" w:topFromText="0" w:bottomFromText="0" w:vertAnchor="text" w:horzAnchor="text" w:tblpX="0" w:tblpY="199"/>
        <w:tblW w:w="8519.0" w:type="dxa"/>
        <w:jc w:val="center"/>
        <w:tblLayout w:type="fixed"/>
        <w:tblLook w:val="0000"/>
      </w:tblPr>
      <w:tblGrid>
        <w:gridCol w:w="3067"/>
        <w:gridCol w:w="2166"/>
        <w:gridCol w:w="2166"/>
        <w:gridCol w:w="1120"/>
        <w:tblGridChange w:id="0">
          <w:tblGrid>
            <w:gridCol w:w="3067"/>
            <w:gridCol w:w="2166"/>
            <w:gridCol w:w="2166"/>
            <w:gridCol w:w="1120"/>
          </w:tblGrid>
        </w:tblGridChange>
      </w:tblGrid>
      <w:tr>
        <w:trPr>
          <w:cantSplit w:val="0"/>
          <w:trHeight w:val="708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spacing w:before="0" w:line="320" w:lineRule="auto"/>
              <w:jc w:val="both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Characteristics</w:t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spacing w:after="0" w:before="0" w:line="3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spacing w:after="0" w:before="0" w:line="3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Survivors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3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N=563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left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Non-survivors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left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N=273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32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1"/>
                <w:szCs w:val="21"/>
                <w:rtl w:val="0"/>
              </w:rPr>
              <w:t xml:space="preserve">P-value</w:t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Demographics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Age, years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62.72 (16.88)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66.96 (16.02)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Gender, Male,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0.746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229 (40.7)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115 (42.1)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334 (59.3)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158 (57.9)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Ethnicity (%)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0.002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Black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74 (13.1)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20 (7.3)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White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315 (56.0)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139 (50.9)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174 (30.9)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114 (41.8)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Comorbidities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spacing w:after="0" w:before="0" w:line="32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spacing w:after="0" w:before="0" w:line="32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Hypertension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316 (56.1)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157 (57.5)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0.762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Diabetes Mellitus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175 (31.1)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66 (24.2)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Chronic Kidney Disease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137 (24.3)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46 (16.8)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0.018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Malignancy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72 (12.8)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68 (24.9)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Liver Cirrhosis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118 (21.0)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89 (32.6)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Acute Kidney Injury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491 (87.2)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261 (95.6)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Respiratory Failure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320 (56.8)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194 (71.1)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Laboratory Tests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Lactate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, mmol/L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2.55 (2.10)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4.18 (3.95)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Albumin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, g/dL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3.01 (0.64)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2.75 (0.69)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Lactate/albumin ratio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0.90 (0.84)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1.66 (1.84)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RDW, %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15.24 (2.43)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15.96 (2.89)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Troponin T, ng/ml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0.20 (0.48)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0.41 (1.54)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Creatinine, mg/dL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2.29 (2.67)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2.03 (1.57)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0.146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BUN, mg/dL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35.68 (31.22)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40.00 (30.67)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1"/>
                <w:szCs w:val="21"/>
                <w:rtl w:val="0"/>
              </w:rPr>
              <w:t xml:space="preserve">WBC, K/uL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13.81 (12.89)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15.73 (9.48)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Hemoglobin, 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10.91 (2.46)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10.76 (2.64)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0.436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spacing w:before="0" w:line="320" w:lineRule="auto"/>
              <w:ind w:left="0" w:firstLine="0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Platelet, k/uL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202.99 (111.82)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199.15 (130.24)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0.659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Glucose, mg/dL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159.71 (103.58)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170.33 (115.83)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0.182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Anion Gap, mEq/L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16.27 (5.32)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17.78 (6.30)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Bicarbonate, mEq/L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20.80 (5.35)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19.56 (5.14)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Base excess, mmol/L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-3.94 (6.04)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-5.69 (6.90)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Sodium, mEq/L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139.02 (7.40)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138.68 (7.86)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0.540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Potassium, mEq/L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4.26 (0.94)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4.45 (0.97)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0.006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Calcium, mg/dl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8.11 (1.08)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8.11 (1.24)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0.999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LDH, IU/L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560.46 (1095.93)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1051.51 (2159.24)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CK-MB, ng/ml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21.38 (49.98)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27.61 (75.89)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0.157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Scoring systems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SOFA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7.50 (3.71)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9.73 (4.27)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APACHE II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22.11 (7.84)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26.25 (7.89)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SAPS II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44.18 (14.95)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54.99 (15.83)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spacing w:after="0" w:before="0" w:line="320" w:lineRule="auto"/>
              <w:ind w:right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Treatment Measures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spacing w:after="0" w:before="0" w:line="320" w:lineRule="auto"/>
              <w:ind w:right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MV, n (%)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530 (94.1)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263 (96.3)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0.237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spacing w:after="0" w:before="0" w:line="320" w:lineRule="auto"/>
              <w:ind w:right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MV duration, days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6.25 (7.16)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3.95 (3.93)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RRT use, n (%)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117 (20.8)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71 (26.0)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0.108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Clinical Outcomes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ICU LOS, days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9.29 (9.10)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5.67 (4.94)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spacing w:after="0" w:before="0" w:line="320" w:lineRule="auto"/>
              <w:ind w:right="0" w:firstLine="0"/>
              <w:jc w:val="both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  <w:rtl w:val="0"/>
              </w:rPr>
              <w:t xml:space="preserve">Hospital LOS, days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22.06 (19.44)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b w:val="0"/>
                <w:bCs w:val="0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8.48 (6.81)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jc w:val="left"/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color w:val="000000"/>
                <w:sz w:val="21"/>
                <w:szCs w:val="21"/>
                <w:u w:val="none"/>
                <w:rtl w:val="0"/>
              </w:rPr>
              <w:t xml:space="preserve">&lt;0.001</w:t>
            </w:r>
          </w:p>
        </w:tc>
      </w:tr>
    </w:tbl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spacing w:before="120" w:line="288" w:lineRule="auto"/>
        <w:ind w:left="0" w:firstLine="0"/>
        <w:jc w:val="both"/>
        <w:rPr>
          <w:rFonts w:ascii="Arial" w:cs="Arial" w:eastAsia="Arial" w:hAnsi="Arial"/>
          <w:b w:val="0"/>
          <w:bCs w:val="0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1"/>
          <w:szCs w:val="21"/>
          <w:rtl w:val="0"/>
        </w:rPr>
        <w:t xml:space="preserve">APACHE, acute physiology and chronic health evaluation; BUN, blood urea nitrogen;  CK-MB, creatine kinase-MB; RRT, renal replacement therapy; ICU, intensive care unit; LDH, lactate dehydrogenase; LOS, length of stay; MV, mechanical ventilation; RDW, red blood cell distribution width; SOFA, sequential organ failure assessment; SAPS, simplified acute physiology score; WBC, white blood cell.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spacing w:line="360" w:lineRule="auto"/>
        <w:rPr>
          <w:rFonts w:ascii="Arial" w:cs="Arial" w:eastAsia="Arial" w:hAnsi="Arial"/>
          <w:b w:val="0"/>
          <w:bCs w:val="0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before="120" w:line="480" w:lineRule="auto"/>
        <w:rPr>
          <w:rFonts w:ascii="Arial" w:cs="Arial" w:eastAsia="Arial" w:hAnsi="Arial"/>
        </w:rPr>
      </w:pPr>
      <w:bookmarkStart w:colFirst="0" w:colLast="0" w:name="_pgctaejosqbw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Table S2 </w:t>
      </w:r>
      <w:r w:rsidDel="00000000" w:rsidR="00000000" w:rsidRPr="00000000">
        <w:rPr>
          <w:rFonts w:ascii="Arial" w:cs="Arial" w:eastAsia="Arial" w:hAnsi="Arial"/>
          <w:rtl w:val="0"/>
        </w:rPr>
        <w:t xml:space="preserve">Baseline characteristics of patients according to 90-day mortality</w:t>
      </w:r>
    </w:p>
    <w:tbl>
      <w:tblPr>
        <w:tblStyle w:val="Table2"/>
        <w:tblpPr w:leftFromText="180" w:rightFromText="180" w:topFromText="0" w:bottomFromText="0" w:vertAnchor="text" w:horzAnchor="text" w:tblpX="0" w:tblpY="0"/>
        <w:tblW w:w="8519.0" w:type="dxa"/>
        <w:jc w:val="center"/>
        <w:tblLayout w:type="fixed"/>
        <w:tblLook w:val="0000"/>
      </w:tblPr>
      <w:tblGrid>
        <w:gridCol w:w="3067"/>
        <w:gridCol w:w="2166"/>
        <w:gridCol w:w="2166"/>
        <w:gridCol w:w="1120"/>
        <w:tblGridChange w:id="0">
          <w:tblGrid>
            <w:gridCol w:w="3067"/>
            <w:gridCol w:w="2166"/>
            <w:gridCol w:w="2166"/>
            <w:gridCol w:w="1120"/>
          </w:tblGrid>
        </w:tblGridChange>
      </w:tblGrid>
      <w:tr>
        <w:trPr>
          <w:cantSplit w:val="0"/>
          <w:trHeight w:val="708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3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Characteristics</w:t>
            </w:r>
          </w:p>
          <w:p w:rsidR="00000000" w:rsidDel="00000000" w:rsidP="00000000" w:rsidRDefault="00000000" w:rsidRPr="00000000" w14:paraId="000000CD">
            <w:pPr>
              <w:spacing w:line="320" w:lineRule="auto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320" w:lineRule="auto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Survivors</w:t>
            </w:r>
          </w:p>
          <w:p w:rsidR="00000000" w:rsidDel="00000000" w:rsidP="00000000" w:rsidRDefault="00000000" w:rsidRPr="00000000" w14:paraId="000000CF">
            <w:pPr>
              <w:spacing w:line="320" w:lineRule="auto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N= 487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320" w:lineRule="auto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Non-survivors </w:t>
            </w:r>
          </w:p>
          <w:p w:rsidR="00000000" w:rsidDel="00000000" w:rsidP="00000000" w:rsidRDefault="00000000" w:rsidRPr="00000000" w14:paraId="000000D1">
            <w:pPr>
              <w:spacing w:line="320" w:lineRule="auto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N= 349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320" w:lineRule="auto"/>
              <w:jc w:val="left"/>
              <w:rPr>
                <w:rFonts w:ascii="Arial" w:cs="Arial" w:eastAsia="Arial" w:hAnsi="Arial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rtl w:val="0"/>
              </w:rPr>
              <w:t xml:space="preserve">P-value</w:t>
            </w:r>
          </w:p>
        </w:tc>
      </w:tr>
      <w:tr>
        <w:trPr>
          <w:cantSplit w:val="0"/>
          <w:trHeight w:val="34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Demographics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Age, years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D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61.67 (16.84)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67.50 (15.95)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Gender, Male, (%)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0.764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203 (41.7)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141 (40.4)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284 (58.3)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208 (59.6)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Ethnicity (%)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0.006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Black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68 (14.0)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 (7.4)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White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265 (54.4)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189 (54.2)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Other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154 (31.6)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134 (38.4)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Comorbidities (%)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spacing w:line="32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spacing w:line="32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Hypertension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270 (55.4)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203 (58.2)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0.476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Diabetes Mellitus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149 (30.6)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92 (26.4)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0.209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Chronic Kidney Disease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112 (23.0)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71 (20.3)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0.406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Malignancy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50 (10.3)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90 (25.8)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Liver Cirrhosis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100 (20.5)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107 (30.7)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Acute Kidney Injury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422 (86.7)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330 (94.6)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Respiratory Failure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281 (57.7)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233 (66.8)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0.010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Laboratory Tests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Lactate, mmol/L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2.59 (2.17)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3.77 (3.65)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1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Albumin, 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3.03 (0.64)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2.79 (0.68)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Lactate/albumin ratio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0.91 (0.85)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1.49 (1.71)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RDW, %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15.08 (2.32)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16.02 (2.89)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Troponin T, ng/ml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0.18 (0.42)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0.38 (1.41)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  <w:t xml:space="preserve">0.003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Creatinine, mg/dL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2.33 (2.79)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2.03 (1.61)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0.067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BUN, mg/dL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35.82 (32.36)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38.87 (29.17)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0.162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WBC, K/uL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13.28 (10.04)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16.06 (13.96)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Hemoglobin, 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11.00 (2.49)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10.67 (2.55)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0.058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line="3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Platelet, k/uL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201.35 (107.71)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202.27 (131.35)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0.912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Glucose, mg/dL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161.24 (106.46)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165.87 (109.69)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0.540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Anion Gap, mEq/L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16.45 (5.50)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17.20 (5.96)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0.061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Bicarbonate, mEq/L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20.61 (5.42)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20.10 (5.15)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0.169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Base excess, mmol/L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-4.19 (6.13)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-4.95 (6.70)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0.089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Sodium, mEq/L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138.91 (7.34)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138.91 (7.85)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0.993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line="3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Potassium, mEq/L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4.26 (0.95)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4.41 (0.95)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0.021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B">
            <w:pPr>
              <w:spacing w:line="32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Calcium, mg/dl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8.07 (1.11)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8.16 (1.16)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0.263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LDH, IU/L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577.71 (1159.90)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920.51 (1940)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CK-MB, ng/ml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22.69 (52.43)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24.44 (68.67)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0.676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Scoring systems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6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A">
            <w:pPr>
              <w:spacing w:line="32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SOFA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7.44 (3.72)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9.32 (4.21)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6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APACHE II 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21.86 (7.88)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25.70 (7.87)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SAPS II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43.40 (14.93)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53.72 (15.67)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Treatment Measures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7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line="32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MV, n (%)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464 (95.3)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329 (94.3)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7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0.623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MV duration, days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6.11 (6.89)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4.65 (5.49)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0.001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RRT use, n (%)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4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94 (19.3)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5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94 (26.9)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0.012</w:t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Clinical Outcomes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8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9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ICU LOS, days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C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8.88 (8.53)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7.02 (7.49)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8E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0.001</w:t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line="32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Hospital LOS, days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21.15 (19.36)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12.70 (13.37)</w:t>
            </w:r>
          </w:p>
        </w:tc>
        <w:tc>
          <w:tcPr>
            <w:tcBorders>
              <w:left w:color="000000" w:space="0" w:sz="0" w:val="nil"/>
              <w:bottom w:color="000000" w:space="0" w:sz="12" w:val="single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bottom"/>
          </w:tcPr>
          <w:p w:rsidR="00000000" w:rsidDel="00000000" w:rsidP="00000000" w:rsidRDefault="00000000" w:rsidRPr="00000000" w14:paraId="00000192">
            <w:pPr>
              <w:widowControl w:val="1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&lt;0.001</w:t>
            </w:r>
          </w:p>
        </w:tc>
      </w:tr>
    </w:tbl>
    <w:p w:rsidR="00000000" w:rsidDel="00000000" w:rsidP="00000000" w:rsidRDefault="00000000" w:rsidRPr="00000000" w14:paraId="00000193">
      <w:pPr>
        <w:spacing w:before="120" w:line="28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APACHE, acute physiology and chronic health evaluation; BUN, blood urea nitrogen; CK-MB, creatine kinase-MB; RRT, renal replacement therapy; ICU, intensive care unit; LDH, lactate dehydrogenase; LOS, length of stay; MV, mechanical ventilation; RDW, red blood cell distribution width; SOFA, sequential organ failure assessment; SAPS, simplified acute physiology score; WBC, white blood cell.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120" w:line="360" w:lineRule="auto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Table S3 </w:t>
      </w:r>
      <w:r w:rsidDel="00000000" w:rsidR="00000000" w:rsidRPr="00000000">
        <w:rPr>
          <w:rFonts w:ascii="Arial" w:cs="Arial" w:eastAsia="Arial" w:hAnsi="Arial"/>
          <w:rtl w:val="0"/>
        </w:rPr>
        <w:t xml:space="preserve">Performance of prediction models for 28-day mortality in the training and test sets.</w:t>
      </w:r>
      <w:r w:rsidDel="00000000" w:rsidR="00000000" w:rsidRPr="00000000">
        <w:rPr>
          <w:rtl w:val="0"/>
        </w:rPr>
      </w:r>
    </w:p>
    <w:tbl>
      <w:tblPr>
        <w:tblStyle w:val="Table3"/>
        <w:tblW w:w="8517.0" w:type="dxa"/>
        <w:jc w:val="center"/>
        <w:tblBorders>
          <w:top w:color="000000" w:space="0" w:sz="12" w:val="single"/>
          <w:left w:color="000000" w:space="0" w:sz="0" w:val="nil"/>
          <w:bottom w:color="000000" w:space="0" w:sz="12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40"/>
        <w:gridCol w:w="915"/>
        <w:gridCol w:w="1651"/>
        <w:gridCol w:w="1041"/>
        <w:gridCol w:w="1435"/>
        <w:gridCol w:w="1435"/>
        <w:tblGridChange w:id="0">
          <w:tblGrid>
            <w:gridCol w:w="2040"/>
            <w:gridCol w:w="915"/>
            <w:gridCol w:w="1651"/>
            <w:gridCol w:w="1041"/>
            <w:gridCol w:w="1435"/>
            <w:gridCol w:w="143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6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Model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AUC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8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95% CI 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9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Cut-off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A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Sensitivity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Specificity</w:t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Training Set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2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0.621-0.716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0.288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6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0.682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8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SAPS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0.665-0.754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0.282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0.594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APACHE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0.619-0.711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0.277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0.529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0.678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6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0.631-0.725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8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0.659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Multiple Marker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0.690-0.776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0.369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0.822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Test Set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6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7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8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0.624-0.763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0.293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0.732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SAPS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0.590-0.730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0.690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APACHE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0.541-0.686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6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bookmarkStart w:colFirst="0" w:colLast="0" w:name="_22bqr3lc96cc" w:id="2"/>
            <w:bookmarkEnd w:id="2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0.683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0.588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0.513-0.663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0.281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0.674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0.476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Multiple Marker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0.625-0.763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0.593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0.768</w:t>
            </w:r>
          </w:p>
        </w:tc>
      </w:tr>
    </w:tbl>
    <w:p w:rsidR="00000000" w:rsidDel="00000000" w:rsidP="00000000" w:rsidRDefault="00000000" w:rsidRPr="00000000" w14:paraId="000001E4">
      <w:pPr>
        <w:spacing w:before="120" w:line="28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AUC, area under the curve; CI, confidence interval; LAR, lactate-to-albumin ratio; SAPS-II, simplified acute physiology score II; APACHE II, acute physiology and chronic health evaluation II; SOFA, sepsis-related organ failure assessment score.</w:t>
      </w:r>
    </w:p>
    <w:p w:rsidR="00000000" w:rsidDel="00000000" w:rsidP="00000000" w:rsidRDefault="00000000" w:rsidRPr="00000000" w14:paraId="000001E5">
      <w:pPr>
        <w:spacing w:before="120" w:line="288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spacing w:after="120" w:line="36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Table S4 </w:t>
      </w:r>
      <w:r w:rsidDel="00000000" w:rsidR="00000000" w:rsidRPr="00000000">
        <w:rPr>
          <w:rFonts w:ascii="Arial" w:cs="Arial" w:eastAsia="Arial" w:hAnsi="Arial"/>
          <w:rtl w:val="0"/>
        </w:rPr>
        <w:t xml:space="preserve">Performance of prediction models for 90-day mortality in the training and test sets.</w:t>
      </w:r>
    </w:p>
    <w:tbl>
      <w:tblPr>
        <w:tblStyle w:val="Table4"/>
        <w:tblW w:w="8519.0" w:type="dxa"/>
        <w:jc w:val="center"/>
        <w:tblBorders>
          <w:top w:color="000000" w:space="0" w:sz="12" w:val="single"/>
          <w:left w:color="000000" w:space="0" w:sz="0" w:val="nil"/>
          <w:bottom w:color="000000" w:space="0" w:sz="12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061"/>
        <w:gridCol w:w="926"/>
        <w:gridCol w:w="1667"/>
        <w:gridCol w:w="963"/>
        <w:gridCol w:w="1451"/>
        <w:gridCol w:w="1451"/>
        <w:tblGridChange w:id="0">
          <w:tblGrid>
            <w:gridCol w:w="2061"/>
            <w:gridCol w:w="926"/>
            <w:gridCol w:w="1667"/>
            <w:gridCol w:w="963"/>
            <w:gridCol w:w="1451"/>
            <w:gridCol w:w="1451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Model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AUC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95% CI 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A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Cut-off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Sensitivity</w:t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C">
            <w:pPr>
              <w:widowControl w:val="1"/>
              <w:spacing w:line="3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Specificity</w:t>
            </w:r>
          </w:p>
        </w:tc>
      </w:tr>
      <w:tr>
        <w:trPr>
          <w:cantSplit w:val="0"/>
          <w:trHeight w:val="473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D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Training Set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E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4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0.583-0.675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6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0.484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0.744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SAPS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0.658-0.743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0.688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APACHE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0.605-0.694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0.699</w:t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6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7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0.595-0.686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8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0.495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0.813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Multiple Marker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0.673-0.757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0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0.580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0.759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Test Set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6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7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8">
            <w:pPr>
              <w:spacing w:line="360" w:lineRule="auto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0.582-0.720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0.755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SAPS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1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0.592-0.727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bookmarkStart w:colFirst="0" w:colLast="0" w:name="_plxmgvmcn0ls" w:id="3"/>
            <w:bookmarkEnd w:id="3"/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0.636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APACHE II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5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0.553-0.692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6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7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0.828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8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0.430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9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SOFA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A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B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0.526-0.668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C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D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0.818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E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0.351</w:t>
            </w:r>
          </w:p>
        </w:tc>
      </w:tr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2F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Multiple Marker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0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0.673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1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0.606-0.741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2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0.425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3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0.566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234">
            <w:pPr>
              <w:widowControl w:val="1"/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0.709</w:t>
            </w:r>
          </w:p>
        </w:tc>
      </w:tr>
    </w:tbl>
    <w:p w:rsidR="00000000" w:rsidDel="00000000" w:rsidP="00000000" w:rsidRDefault="00000000" w:rsidRPr="00000000" w14:paraId="00000235">
      <w:pPr>
        <w:spacing w:before="120" w:line="288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AUC, area under the curve; CI, confidence interval; LAR, lactate-to-albumin ratio; SAPS-II, simplified acute physiology score II; APACHE II, acute physiology and chronic health evaluation II; SOFA, sepsis-related organ failure assessment score.</w:t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36AFE68113E442CA93BD72F135FB4E09_11</vt:lpwstr>
  </property>
  <property fmtid="{D5CDD505-2E9C-101B-9397-08002B2CF9AE}" pid="4" name="KSOTemplateDocerSaveRecord">
    <vt:lpwstr>eyJoZGlkIjoiNDg5YzliMWU3MmQ5N2E0YzQ5NGUyODM1OWE4YWQ5YjciLCJ1c2VySWQiOiI0MDQ0MjAwMjQifQ==</vt:lpwstr>
  </property>
</Properties>
</file>