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BC9" w:rsidRPr="003B5A2F" w:rsidRDefault="0090172C" w:rsidP="003B5A2F">
      <w:pPr>
        <w:autoSpaceDE w:val="0"/>
        <w:autoSpaceDN w:val="0"/>
        <w:spacing w:line="480" w:lineRule="auto"/>
        <w:ind w:right="144"/>
        <w:textAlignment w:val="bottom"/>
        <w:outlineLvl w:val="0"/>
        <w:rPr>
          <w:rFonts w:ascii="Century" w:hAnsi="Century"/>
          <w:sz w:val="20"/>
          <w:szCs w:val="20"/>
          <w:u w:val="single"/>
        </w:rPr>
      </w:pPr>
      <w:r>
        <w:rPr>
          <w:rFonts w:ascii="Century" w:hAnsi="Century"/>
          <w:sz w:val="20"/>
          <w:szCs w:val="20"/>
          <w:u w:val="single"/>
        </w:rPr>
        <w:t>Additional file 2:</w:t>
      </w:r>
      <w:r w:rsidRPr="003B5A2F">
        <w:rPr>
          <w:rFonts w:ascii="Century" w:hAnsi="Century"/>
          <w:sz w:val="20"/>
          <w:szCs w:val="20"/>
          <w:u w:val="single"/>
        </w:rPr>
        <w:t xml:space="preserve"> Methods</w:t>
      </w:r>
      <w:bookmarkStart w:id="0" w:name="_GoBack"/>
      <w:bookmarkEnd w:id="0"/>
    </w:p>
    <w:p w:rsidR="00566004" w:rsidRPr="001D57F5" w:rsidRDefault="007C7E95" w:rsidP="003B5A2F">
      <w:pPr>
        <w:autoSpaceDE w:val="0"/>
        <w:autoSpaceDN w:val="0"/>
        <w:spacing w:line="480" w:lineRule="auto"/>
        <w:ind w:right="144"/>
        <w:textAlignment w:val="bottom"/>
        <w:outlineLvl w:val="1"/>
        <w:rPr>
          <w:rFonts w:ascii="Century" w:hAnsi="Century"/>
          <w:i/>
          <w:sz w:val="20"/>
          <w:szCs w:val="20"/>
        </w:rPr>
      </w:pPr>
      <w:r>
        <w:rPr>
          <w:rFonts w:ascii="Century" w:hAnsi="Century"/>
          <w:i/>
          <w:sz w:val="20"/>
          <w:szCs w:val="20"/>
        </w:rPr>
        <w:t xml:space="preserve">16S rRNA amplification and </w:t>
      </w:r>
      <w:r w:rsidR="00295A70" w:rsidRPr="001D57F5">
        <w:rPr>
          <w:rFonts w:ascii="Century" w:hAnsi="Century"/>
          <w:i/>
          <w:sz w:val="20"/>
          <w:szCs w:val="20"/>
        </w:rPr>
        <w:t>sequencing</w:t>
      </w:r>
    </w:p>
    <w:p w:rsidR="00566004" w:rsidRPr="00CC5BAB" w:rsidRDefault="00DF352E" w:rsidP="00146C46">
      <w:pPr>
        <w:autoSpaceDE w:val="0"/>
        <w:autoSpaceDN w:val="0"/>
        <w:spacing w:line="480" w:lineRule="auto"/>
        <w:ind w:right="144"/>
        <w:jc w:val="both"/>
        <w:textAlignment w:val="bottom"/>
      </w:pPr>
      <w:r w:rsidRPr="001D57F5">
        <w:rPr>
          <w:rFonts w:ascii="Century" w:hAnsi="Century"/>
          <w:sz w:val="20"/>
          <w:szCs w:val="20"/>
        </w:rPr>
        <w:tab/>
      </w:r>
      <w:r w:rsidR="00CC5BAB" w:rsidRPr="00CC5BAB">
        <w:rPr>
          <w:rFonts w:ascii="Century"/>
          <w:sz w:val="20"/>
          <w:szCs w:val="20"/>
        </w:rPr>
        <w:t>27Fmod2-MiSeqV2</w:t>
      </w:r>
      <w:r w:rsidR="00CC5BAB">
        <w:rPr>
          <w:rFonts w:ascii="Century"/>
          <w:sz w:val="20"/>
          <w:szCs w:val="20"/>
        </w:rPr>
        <w:t xml:space="preserve"> </w:t>
      </w:r>
      <w:r w:rsidRPr="001D57F5">
        <w:rPr>
          <w:rFonts w:ascii="Century"/>
          <w:sz w:val="20"/>
          <w:szCs w:val="20"/>
        </w:rPr>
        <w:t xml:space="preserve">and </w:t>
      </w:r>
      <w:r w:rsidR="00CC5BAB" w:rsidRPr="00CC5BAB">
        <w:rPr>
          <w:rFonts w:ascii="Century"/>
          <w:sz w:val="20"/>
          <w:szCs w:val="20"/>
        </w:rPr>
        <w:t xml:space="preserve">338RMiSeqV2 </w:t>
      </w:r>
      <w:r w:rsidR="00DC76B2">
        <w:rPr>
          <w:rFonts w:ascii="Century"/>
          <w:sz w:val="20"/>
          <w:szCs w:val="20"/>
        </w:rPr>
        <w:fldChar w:fldCharType="begin" w:fldLock="1"/>
      </w:r>
      <w:r w:rsidR="007319D5">
        <w:rPr>
          <w:rFonts w:ascii="Century"/>
          <w:sz w:val="20"/>
          <w:szCs w:val="20"/>
        </w:rPr>
        <w:instrText>ADDIN CSL_CITATION { "citationItems" : [ { "id" : "ITEM-1", "itemData" : { "DOI" : "10.1128/AEM.04134-15", "ISSN" : "0099-2240", "PMID" : "27208120", "abstract" : "BACKGROUND: Stress-induced abdominal dysfunction is an attractive target for probiotics. To investigate the effects of the probiotic Lactobacillus casei strain Shirota (LcS) on abdominal dysfunction, a double-blind, placebo-controlled trial was conducted in healthy medical students undertaking an authorized nationwide examination for promotion. METHODS: For 8 weeks until the day before the examination, 23 and 24 subjects consumed a LcS-fermented milk and a placebo milk daily, respectively. In addition to assessments of abdominal symptoms, psychophysical state, and salivary stress markers, gene expression changes in peripheral blood leukocytes and composition of the gut microbiota were analyzed using DNA microarray and 16S rRNA gene amplicon sequence analyses, respectively, before and after the intervention. RESULTS: Stress-induced increases in a visual analog scale of stress feeling, total score of abdominal dysfunction, and number of genes with changes in expression of more than 2-fold in leukocytes were significantly suppressed in the LcS group compared with the placebo group. A significant increase in salivary cortisol levels before the examination was observed only in the placebo group. The administration of LcS, but not placebo, significantly reduced gastrointestinal symptoms. Moreover, 16S rRNA gene amplicon sequencing demonstrated that the LcS group had significantly higher numbers of species, a marker of the alpha-diversity index, in their gut microbiota and a significantly lower percentage of Bacteroidaceae compared with the placebo group. CONCLUSIONS: Our findings indicate that the daily consumption of probiotics such as LcS preserves the diversity of the gut microbiota and may relieve stress-associated responses of abdominal dysfunction in healthy subjects exposed to stressful situations. IMPORTANCE: A novel clinical trial was conducted in healthy medical students under examination stress conditions. It was demonstrated that the daily consumption of lactic acid bacteria gave health benefits to prevent the onset of stress-associated abdominal symptoms together with a good change of gut-microbiota in healthy medical students.", "author" : [ { "dropping-particle" : "", "family" : "Kato-Kataoka", "given" : "Akito", "non-dropping-particle" : "", "parse-names" : false, "suffix" : "" }, { "dropping-particle" : "", "family" : "Nishida", "given" : "Kensei", "non-dropping-particle" : "", "parse-names" : false, "suffix" : "" }, { "dropping-particle" : "", "family" : "Takada", "given" : "Mai", "non-dropping-particle" : "", "parse-names" : false, "suffix" : "" }, { "dropping-particle" : "", "family" : "Kawai", "given" : "Mitsuhisa", "non-dropping-particle" : "", "parse-names" : false, "suffix" : "" }, { "dropping-particle" : "", "family" : "Kikuchi-Hayakawa", "given" : "Hiroko", "non-dropping-particle" : "", "parse-names" : false, "suffix" : "" }, { "dropping-particle" : "", "family" : "Suda", "given" : "Kazunori", "non-dropping-particle" : "", "parse-names" : false, "suffix" : "" }, { "dropping-particle" : "", "family" : "Ishikawa", "given" : "Hiroshi", "non-dropping-particle" : "", "parse-names" : false, "suffix" : "" }, { "dropping-particle" : "", "family" : "Gondo", "given" : "Yusuke", "non-dropping-particle" : "", "parse-names" : false, "suffix" : "" }, { "dropping-particle" : "", "family" : "Shimizu", "given" : "Kensuke", "non-dropping-particle" : "", "parse-names" : false, "suffix" : "" }, { "dropping-particle" : "", "family" : "Matsuki", "given" : "Takahiro", "non-dropping-particle" : "", "parse-names" : false, "suffix" : "" }, { "dropping-particle" : "", "family" : "Kushiro", "given" : "Akira", "non-dropping-particle" : "", "parse-names" : false, "suffix" : "" }, { "dropping-particle" : "", "family" : "Hoshi", "given" : "Ryoutaro", "non-dropping-particle" : "", "parse-names" : false, "suffix" : "" }, { "dropping-particle" : "", "family" : "Watanabe", "given" : "Osamu", "non-dropping-particle" : "", "parse-names" : false, "suffix" : "" }, { "dropping-particle" : "", "family" : "Igarashi", "given" : "Tomoki", "non-dropping-particle" : "", "parse-names" : false, "suffix" : "" }, { "dropping-particle" : "", "family" : "Miyazaki", "given" : "Kouji", "non-dropping-particle" : "", "parse-names" : false, "suffix" : "" }, { "dropping-particle" : "", "family" : "Kuwano", "given" : "Yuki", "non-dropping-particle" : "", "parse-names" : false, "suffix" : "" }, { "dropping-particle" : "", "family" : "Rokutan", "given" : "Kazuhito", "non-dropping-particle" : "", "parse-names" : false, "suffix" : "" } ], "container-title" : "Applied and Environmental Microbiology", "id" : "ITEM-1", "issued" : { "date-parts" : [ [ "2016", "5", "6" ] ] }, "note" : "Miseq primer, Yakult Central Institute", "page" : "AEM.04134-15", "title" : "Fermented milk containing Lactobacillus casei strain Shirota preserves the diversity of the gut microbiota and relieves abdominal dysfunction in healthy medical students exposed to academic stress", "type" : "article-journal" }, "uris" : [ "http://www.mendeley.com/documents/?uuid=0ff39944-4ef4-4608-a0c9-1ef532a8f2b3" ] } ], "mendeley" : { "formattedCitation" : "[1]", "plainTextFormattedCitation" : "[1]", "previouslyFormattedCitation" : "[1]" }, "properties" : { "noteIndex" : 0 }, "schema" : "https://github.com/citation-style-language/schema/raw/master/csl-citation.json" }</w:instrText>
      </w:r>
      <w:r w:rsidR="00DC76B2">
        <w:rPr>
          <w:rFonts w:ascii="Century"/>
          <w:sz w:val="20"/>
          <w:szCs w:val="20"/>
        </w:rPr>
        <w:fldChar w:fldCharType="separate"/>
      </w:r>
      <w:r w:rsidR="007319D5" w:rsidRPr="007319D5">
        <w:rPr>
          <w:rFonts w:ascii="Century"/>
          <w:noProof/>
          <w:sz w:val="20"/>
          <w:szCs w:val="20"/>
        </w:rPr>
        <w:t>[1]</w:t>
      </w:r>
      <w:r w:rsidR="00DC76B2">
        <w:rPr>
          <w:rFonts w:ascii="Century"/>
          <w:sz w:val="20"/>
          <w:szCs w:val="20"/>
        </w:rPr>
        <w:fldChar w:fldCharType="end"/>
      </w:r>
      <w:r w:rsidR="008239DC">
        <w:rPr>
          <w:rFonts w:ascii="Century" w:hint="eastAsia"/>
          <w:sz w:val="20"/>
          <w:szCs w:val="20"/>
        </w:rPr>
        <w:t xml:space="preserve"> </w:t>
      </w:r>
      <w:r w:rsidRPr="008239DC">
        <w:rPr>
          <w:rFonts w:ascii="Century"/>
          <w:sz w:val="20"/>
          <w:szCs w:val="20"/>
        </w:rPr>
        <w:t>wer</w:t>
      </w:r>
      <w:r w:rsidRPr="001D57F5">
        <w:rPr>
          <w:rFonts w:ascii="Century"/>
          <w:sz w:val="20"/>
          <w:szCs w:val="20"/>
        </w:rPr>
        <w:t>e used</w:t>
      </w:r>
      <w:r w:rsidR="00295A70" w:rsidRPr="001D57F5">
        <w:rPr>
          <w:rFonts w:ascii="Century"/>
          <w:sz w:val="20"/>
          <w:szCs w:val="20"/>
        </w:rPr>
        <w:t xml:space="preserve"> as forward and reverse primers, respectively</w:t>
      </w:r>
      <w:r w:rsidR="00AE1B32" w:rsidRPr="001D57F5">
        <w:rPr>
          <w:rFonts w:ascii="Century"/>
          <w:sz w:val="20"/>
          <w:szCs w:val="20"/>
        </w:rPr>
        <w:t xml:space="preserve">. </w:t>
      </w:r>
      <w:r w:rsidR="00EE2D76" w:rsidRPr="001D57F5">
        <w:rPr>
          <w:rFonts w:ascii="Century" w:hAnsi="Century"/>
          <w:sz w:val="20"/>
          <w:szCs w:val="20"/>
        </w:rPr>
        <w:t xml:space="preserve">For </w:t>
      </w:r>
      <w:r w:rsidR="00E67BF8">
        <w:rPr>
          <w:rFonts w:ascii="Century" w:hAnsi="Century"/>
          <w:sz w:val="20"/>
          <w:szCs w:val="20"/>
        </w:rPr>
        <w:t>the polymerase chain reaction</w:t>
      </w:r>
      <w:r w:rsidR="00EE2D76" w:rsidRPr="001D57F5">
        <w:rPr>
          <w:rFonts w:ascii="Century" w:hAnsi="Century"/>
          <w:sz w:val="20"/>
          <w:szCs w:val="20"/>
        </w:rPr>
        <w:t xml:space="preserve">, </w:t>
      </w:r>
      <w:r w:rsidR="00AE1B32" w:rsidRPr="001D57F5">
        <w:rPr>
          <w:rFonts w:ascii="Century"/>
          <w:sz w:val="20"/>
          <w:szCs w:val="20"/>
        </w:rPr>
        <w:t xml:space="preserve">Illumina adapter sequences were attached to </w:t>
      </w:r>
      <w:r w:rsidR="00E67BF8">
        <w:rPr>
          <w:rFonts w:ascii="Century"/>
          <w:sz w:val="20"/>
          <w:szCs w:val="20"/>
        </w:rPr>
        <w:t xml:space="preserve">the </w:t>
      </w:r>
      <w:r w:rsidR="00AE1B32" w:rsidRPr="001D57F5">
        <w:rPr>
          <w:rFonts w:ascii="Century"/>
          <w:sz w:val="20"/>
          <w:szCs w:val="20"/>
        </w:rPr>
        <w:t>3</w:t>
      </w:r>
      <w:r w:rsidR="00AE1B32" w:rsidRPr="001D57F5">
        <w:rPr>
          <w:rFonts w:ascii="Century"/>
          <w:sz w:val="20"/>
          <w:szCs w:val="20"/>
        </w:rPr>
        <w:t>’</w:t>
      </w:r>
      <w:r w:rsidR="00AE1B32" w:rsidRPr="001D57F5">
        <w:rPr>
          <w:rFonts w:ascii="Century"/>
          <w:sz w:val="20"/>
          <w:szCs w:val="20"/>
        </w:rPr>
        <w:t xml:space="preserve"> </w:t>
      </w:r>
      <w:r w:rsidR="00E67BF8">
        <w:rPr>
          <w:rFonts w:ascii="Century"/>
          <w:sz w:val="20"/>
          <w:szCs w:val="20"/>
        </w:rPr>
        <w:t>ends</w:t>
      </w:r>
      <w:r w:rsidR="00E67BF8" w:rsidRPr="001D57F5">
        <w:rPr>
          <w:rFonts w:ascii="Century"/>
          <w:sz w:val="20"/>
          <w:szCs w:val="20"/>
        </w:rPr>
        <w:t xml:space="preserve"> </w:t>
      </w:r>
      <w:r w:rsidR="00295A70" w:rsidRPr="001D57F5">
        <w:rPr>
          <w:rFonts w:ascii="Century"/>
          <w:sz w:val="20"/>
          <w:szCs w:val="20"/>
        </w:rPr>
        <w:t>of both primers</w:t>
      </w:r>
      <w:r w:rsidR="00482752">
        <w:rPr>
          <w:rFonts w:ascii="Century"/>
          <w:sz w:val="20"/>
          <w:szCs w:val="20"/>
        </w:rPr>
        <w:t>,</w:t>
      </w:r>
      <w:r w:rsidR="00AE1B32" w:rsidRPr="001D57F5">
        <w:rPr>
          <w:rFonts w:ascii="Century"/>
          <w:sz w:val="20"/>
          <w:szCs w:val="20"/>
        </w:rPr>
        <w:t xml:space="preserve"> and </w:t>
      </w:r>
      <w:r w:rsidR="00AE1B32" w:rsidRPr="001D57F5">
        <w:rPr>
          <w:rFonts w:ascii="Century" w:hAnsi="Century"/>
          <w:sz w:val="20"/>
          <w:szCs w:val="20"/>
        </w:rPr>
        <w:t>12 bp of error</w:t>
      </w:r>
      <w:r w:rsidR="00E67BF8">
        <w:rPr>
          <w:rFonts w:ascii="Century" w:hAnsi="Century"/>
          <w:sz w:val="20"/>
          <w:szCs w:val="20"/>
        </w:rPr>
        <w:t>-</w:t>
      </w:r>
      <w:r w:rsidR="00AE1B32" w:rsidRPr="001D57F5">
        <w:rPr>
          <w:rFonts w:ascii="Century" w:hAnsi="Century"/>
          <w:sz w:val="20"/>
          <w:szCs w:val="20"/>
        </w:rPr>
        <w:t>correcting Go</w:t>
      </w:r>
      <w:r w:rsidR="00991A2F" w:rsidRPr="001D57F5">
        <w:rPr>
          <w:rFonts w:ascii="Century" w:hAnsi="Century"/>
          <w:sz w:val="20"/>
          <w:szCs w:val="20"/>
        </w:rPr>
        <w:t xml:space="preserve">lay barcode </w:t>
      </w:r>
      <w:r w:rsidR="001D57F5" w:rsidRPr="001D57F5">
        <w:rPr>
          <w:rFonts w:ascii="Century" w:hAnsi="Century"/>
          <w:sz w:val="20"/>
          <w:szCs w:val="20"/>
        </w:rPr>
        <w:t xml:space="preserve">sequences </w:t>
      </w:r>
      <w:r w:rsidR="00E67BF8">
        <w:rPr>
          <w:rFonts w:ascii="Century" w:hAnsi="Century"/>
          <w:sz w:val="20"/>
          <w:szCs w:val="20"/>
        </w:rPr>
        <w:t>were</w:t>
      </w:r>
      <w:r w:rsidR="00E67BF8" w:rsidRPr="001D57F5">
        <w:rPr>
          <w:rFonts w:ascii="Century" w:hAnsi="Century"/>
          <w:sz w:val="20"/>
          <w:szCs w:val="20"/>
        </w:rPr>
        <w:t xml:space="preserve"> </w:t>
      </w:r>
      <w:r w:rsidR="00991A2F" w:rsidRPr="001D57F5">
        <w:rPr>
          <w:rFonts w:ascii="Century" w:hAnsi="Century"/>
          <w:sz w:val="20"/>
          <w:szCs w:val="20"/>
        </w:rPr>
        <w:t>inserted in</w:t>
      </w:r>
      <w:r w:rsidR="002A0248">
        <w:rPr>
          <w:rFonts w:ascii="Century" w:hAnsi="Century"/>
          <w:sz w:val="20"/>
          <w:szCs w:val="20"/>
        </w:rPr>
        <w:t>to</w:t>
      </w:r>
      <w:r w:rsidR="00AE1B32" w:rsidRPr="001D57F5">
        <w:rPr>
          <w:rFonts w:ascii="Century" w:hAnsi="Century"/>
          <w:sz w:val="20"/>
          <w:szCs w:val="20"/>
        </w:rPr>
        <w:t xml:space="preserve"> </w:t>
      </w:r>
      <w:r w:rsidR="00E67BF8">
        <w:rPr>
          <w:rFonts w:ascii="Century" w:hAnsi="Century"/>
          <w:sz w:val="20"/>
          <w:szCs w:val="20"/>
        </w:rPr>
        <w:t xml:space="preserve">the </w:t>
      </w:r>
      <w:r w:rsidR="00AE1B32" w:rsidRPr="001D57F5">
        <w:rPr>
          <w:rFonts w:ascii="Century"/>
          <w:sz w:val="20"/>
          <w:szCs w:val="20"/>
        </w:rPr>
        <w:t xml:space="preserve">Illumina adapter sequence </w:t>
      </w:r>
      <w:r w:rsidR="00973C10">
        <w:rPr>
          <w:rFonts w:ascii="Century"/>
          <w:sz w:val="20"/>
          <w:szCs w:val="20"/>
        </w:rPr>
        <w:t>attached to</w:t>
      </w:r>
      <w:r w:rsidR="00991A2F" w:rsidRPr="001D57F5">
        <w:rPr>
          <w:rFonts w:ascii="Century"/>
          <w:sz w:val="20"/>
          <w:szCs w:val="20"/>
        </w:rPr>
        <w:t xml:space="preserve"> </w:t>
      </w:r>
      <w:r w:rsidR="00E67BF8">
        <w:rPr>
          <w:rFonts w:ascii="Century"/>
          <w:sz w:val="20"/>
          <w:szCs w:val="20"/>
        </w:rPr>
        <w:t xml:space="preserve">the </w:t>
      </w:r>
      <w:r w:rsidR="00991A2F" w:rsidRPr="001D57F5">
        <w:rPr>
          <w:rFonts w:ascii="Century"/>
          <w:sz w:val="20"/>
          <w:szCs w:val="20"/>
        </w:rPr>
        <w:t xml:space="preserve">reverse primer </w:t>
      </w:r>
      <w:r w:rsidR="002A0248">
        <w:rPr>
          <w:rFonts w:ascii="Century"/>
          <w:sz w:val="20"/>
          <w:szCs w:val="20"/>
        </w:rPr>
        <w:t xml:space="preserve">to facilitate </w:t>
      </w:r>
      <w:r w:rsidR="00973C10">
        <w:rPr>
          <w:rFonts w:ascii="Century"/>
          <w:sz w:val="20"/>
          <w:szCs w:val="20"/>
        </w:rPr>
        <w:t>sample</w:t>
      </w:r>
      <w:r w:rsidR="00AE1B32" w:rsidRPr="001D57F5">
        <w:rPr>
          <w:rFonts w:ascii="Century"/>
          <w:sz w:val="20"/>
          <w:szCs w:val="20"/>
        </w:rPr>
        <w:t xml:space="preserve"> assign</w:t>
      </w:r>
      <w:r w:rsidR="00973C10">
        <w:rPr>
          <w:rFonts w:ascii="Century"/>
          <w:sz w:val="20"/>
          <w:szCs w:val="20"/>
        </w:rPr>
        <w:t>ment</w:t>
      </w:r>
      <w:r w:rsidR="00AE1B32" w:rsidRPr="001D57F5">
        <w:rPr>
          <w:rFonts w:ascii="Century"/>
          <w:sz w:val="20"/>
          <w:szCs w:val="20"/>
        </w:rPr>
        <w:t>.</w:t>
      </w:r>
      <w:r w:rsidR="008E1623" w:rsidRPr="001D57F5">
        <w:rPr>
          <w:rFonts w:ascii="Century"/>
          <w:sz w:val="20"/>
          <w:szCs w:val="20"/>
        </w:rPr>
        <w:t xml:space="preserve"> </w:t>
      </w:r>
      <w:r w:rsidR="00E67BF8">
        <w:rPr>
          <w:rFonts w:ascii="Century"/>
          <w:sz w:val="20"/>
          <w:szCs w:val="20"/>
        </w:rPr>
        <w:t>The b</w:t>
      </w:r>
      <w:r w:rsidR="00973C10">
        <w:rPr>
          <w:rFonts w:ascii="Century"/>
          <w:sz w:val="20"/>
          <w:szCs w:val="20"/>
        </w:rPr>
        <w:t xml:space="preserve">acterial </w:t>
      </w:r>
      <w:r w:rsidR="008E1623" w:rsidRPr="001D57F5">
        <w:rPr>
          <w:rFonts w:ascii="Century"/>
          <w:sz w:val="20"/>
          <w:szCs w:val="20"/>
        </w:rPr>
        <w:t xml:space="preserve">16S rRNA gene was amplified </w:t>
      </w:r>
      <w:r w:rsidR="00482752">
        <w:rPr>
          <w:rFonts w:ascii="Century"/>
          <w:sz w:val="20"/>
          <w:szCs w:val="20"/>
        </w:rPr>
        <w:t>by following</w:t>
      </w:r>
      <w:r w:rsidR="00E67BF8">
        <w:rPr>
          <w:rFonts w:ascii="Century"/>
          <w:sz w:val="20"/>
          <w:szCs w:val="20"/>
        </w:rPr>
        <w:t xml:space="preserve"> the methods of</w:t>
      </w:r>
      <w:r w:rsidR="008E1623" w:rsidRPr="001D57F5">
        <w:rPr>
          <w:rFonts w:ascii="Century"/>
          <w:sz w:val="20"/>
          <w:szCs w:val="20"/>
        </w:rPr>
        <w:t xml:space="preserve"> </w:t>
      </w:r>
      <w:r w:rsidR="00DC76B2" w:rsidRPr="001D57F5">
        <w:rPr>
          <w:rFonts w:ascii="Century"/>
          <w:sz w:val="20"/>
          <w:szCs w:val="20"/>
        </w:rPr>
        <w:fldChar w:fldCharType="begin" w:fldLock="1"/>
      </w:r>
      <w:r w:rsidR="00E6244E">
        <w:rPr>
          <w:rFonts w:ascii="Century"/>
          <w:sz w:val="20"/>
          <w:szCs w:val="20"/>
        </w:rPr>
        <w:instrText>ADDIN CSL_CITATION { "citationItems" : [ { "id" : "ITEM-1", "itemData" : { "DOI" : "10.1093/dnares/dst006", "ISBN" : "1756-1663 (Electronic)\\r1340-2838 (Linking)", "ISSN" : "13402838", "PMID" : "23571675", "abstract" : "Probiotics are live microorganisms that potentially confer beneficial outcomes to host by modulating gut microbiota in the intestine. The aim of this study was to comprehensively investigate effects of probiotics on human intestinal microbiota using 454 pyrosequencing of bacterial 16S ribosomal RNA genes with an improved quantitative accuracy for evaluation of the bacterial composition. We obtained 158 faecal samples from 18 healthy adult Japanese who were subjected to intervention with 6 commercially available probiotics containing either Bifidobacterium or Lactobacillus strains. We then analysed and compared bacterial composition of the faecal samples collected before, during, and after probiotic intervention by Operational taxonomic units (OTUs) and UniFrac distances. The results showed no significant changes in the overall structure of gut microbiota in the samples with and without probiotic administration regardless of groups and types of the probiotics used. We noticed that 32 OTUs (2.7% of all analysed OTUs) assigned to the indigenous species showed a significant increase or decrease of \u226510-fold or a quantity difference in &gt;150 reads on probiotic administration. Such OTUs were found to be individual specific and tend to be unevenly distributed in the subjects. These data, thus, suggest robustness of the gut microbiota composition in healthy adults on probiotic administration.", "author" : [ { "dropping-particle" : "", "family" : "Kim", "given" : "Seok Won", "non-dropping-particle" : "", "parse-names" : false, "suffix" : "" }, { "dropping-particle" : "", "family" : "Suda", "given" : "Wataru", "non-dropping-particle" : "", "parse-names" : false, "suffix" : "" }, { "dropping-particle" : "", "family" : "Kim", "given" : "Sangwan", "non-dropping-particle" : "", "parse-names" : false, "suffix" : "" }, { "dropping-particle" : "", "family" : "Oshima", "given" : "Kenshiro", "non-dropping-particle" : "", "parse-names" : false, "suffix" : "" }, { "dropping-particle" : "", "family" : "Fukuda", "given" : "Shinji", "non-dropping-particle" : "", "parse-names" : false, "suffix" : "" }, { "dropping-particle" : "", "family" : "Ohno", "given" : "Hiroshi", "non-dropping-particle" : "", "parse-names" : false, "suffix" : "" }, { "dropping-particle" : "", "family" : "Morita", "given" : "Hidetoshi", "non-dropping-particle" : "", "parse-names" : false, "suffix" : "" }, { "dropping-particle" : "", "family" : "Hattori", "given" : "Masahira", "non-dropping-particle" : "", "parse-names" : false, "suffix" : "" } ], "container-title" : "DNA Research", "id" : "ITEM-1", "issue" : "3", "issued" : { "date-parts" : [ [ "2013" ] ] }, "note" : "27FMod-338R\u51fa\u5c55", "page" : "241-253", "title" : "Robustness of gut microbiota of healthy adults in response to probiotic intervention revealed by high-throughput pyrosequencing", "type" : "article-journal", "volume" : "20" }, "uris" : [ "http://www.mendeley.com/documents/?uuid=c16caffa-0c3a-46e0-833a-9f382219b7ff" ] } ], "mendeley" : { "formattedCitation" : "[2]", "manualFormatting" : "Kim et al. (2013", "plainTextFormattedCitation" : "[2]", "previouslyFormattedCitation" : "[2]" }, "properties" : { "noteIndex" : 0 }, "schema" : "https://github.com/citation-style-language/schema/raw/master/csl-citation.json" }</w:instrText>
      </w:r>
      <w:r w:rsidR="00DC76B2" w:rsidRPr="001D57F5">
        <w:rPr>
          <w:rFonts w:ascii="Century"/>
          <w:sz w:val="20"/>
          <w:szCs w:val="20"/>
        </w:rPr>
        <w:fldChar w:fldCharType="separate"/>
      </w:r>
      <w:r w:rsidR="008E1623" w:rsidRPr="001D57F5">
        <w:rPr>
          <w:rFonts w:ascii="Century"/>
          <w:noProof/>
          <w:sz w:val="20"/>
          <w:szCs w:val="20"/>
        </w:rPr>
        <w:t xml:space="preserve">Kim et al. </w:t>
      </w:r>
      <w:r w:rsidR="00E67BF8">
        <w:rPr>
          <w:rFonts w:ascii="Century"/>
          <w:noProof/>
          <w:sz w:val="20"/>
          <w:szCs w:val="20"/>
        </w:rPr>
        <w:t>(</w:t>
      </w:r>
      <w:r w:rsidR="008E1623" w:rsidRPr="001D57F5">
        <w:rPr>
          <w:rFonts w:ascii="Century"/>
          <w:noProof/>
          <w:sz w:val="20"/>
          <w:szCs w:val="20"/>
        </w:rPr>
        <w:t>2013</w:t>
      </w:r>
      <w:r w:rsidR="00DC76B2" w:rsidRPr="001D57F5">
        <w:rPr>
          <w:rFonts w:ascii="Century"/>
          <w:sz w:val="20"/>
          <w:szCs w:val="20"/>
        </w:rPr>
        <w:fldChar w:fldCharType="end"/>
      </w:r>
      <w:r w:rsidR="00E67BF8">
        <w:rPr>
          <w:rFonts w:ascii="Century"/>
          <w:sz w:val="20"/>
          <w:szCs w:val="20"/>
        </w:rPr>
        <w:t>)</w:t>
      </w:r>
      <w:r w:rsidR="00E6244E">
        <w:rPr>
          <w:rFonts w:ascii="Century"/>
          <w:sz w:val="20"/>
          <w:szCs w:val="20"/>
        </w:rPr>
        <w:t xml:space="preserve"> </w:t>
      </w:r>
      <w:r w:rsidR="00DC76B2">
        <w:rPr>
          <w:rFonts w:ascii="Century"/>
          <w:sz w:val="20"/>
          <w:szCs w:val="20"/>
        </w:rPr>
        <w:fldChar w:fldCharType="begin" w:fldLock="1"/>
      </w:r>
      <w:r w:rsidR="00736CD8">
        <w:rPr>
          <w:rFonts w:ascii="Century"/>
          <w:sz w:val="20"/>
          <w:szCs w:val="20"/>
        </w:rPr>
        <w:instrText>ADDIN CSL_CITATION { "citationItems" : [ { "id" : "ITEM-1", "itemData" : { "DOI" : "10.1093/dnares/dst006", "ISBN" : "1756-1663 (Electronic)\\r1340-2838 (Linking)", "ISSN" : "13402838", "PMID" : "23571675", "abstract" : "Probiotics are live microorganisms that potentially confer beneficial outcomes to host by modulating gut microbiota in the intestine. The aim of this study was to comprehensively investigate effects of probiotics on human intestinal microbiota using 454 pyrosequencing of bacterial 16S ribosomal RNA genes with an improved quantitative accuracy for evaluation of the bacterial composition. We obtained 158 faecal samples from 18 healthy adult Japanese who were subjected to intervention with 6 commercially available probiotics containing either Bifidobacterium or Lactobacillus strains. We then analysed and compared bacterial composition of the faecal samples collected before, during, and after probiotic intervention by Operational taxonomic units (OTUs) and UniFrac distances. The results showed no significant changes in the overall structure of gut microbiota in the samples with and without probiotic administration regardless of groups and types of the probiotics used. We noticed that 32 OTUs (2.7% of all analysed OTUs) assigned to the indigenous species showed a significant increase or decrease of \u226510-fold or a quantity difference in &gt;150 reads on probiotic administration. Such OTUs were found to be individual specific and tend to be unevenly distributed in the subjects. These data, thus, suggest robustness of the gut microbiota composition in healthy adults on probiotic administration.", "author" : [ { "dropping-particle" : "", "family" : "Kim", "given" : "Seok Won", "non-dropping-particle" : "", "parse-names" : false, "suffix" : "" }, { "dropping-particle" : "", "family" : "Suda", "given" : "Wataru", "non-dropping-particle" : "", "parse-names" : false, "suffix" : "" }, { "dropping-particle" : "", "family" : "Kim", "given" : "Sangwan", "non-dropping-particle" : "", "parse-names" : false, "suffix" : "" }, { "dropping-particle" : "", "family" : "Oshima", "given" : "Kenshiro", "non-dropping-particle" : "", "parse-names" : false, "suffix" : "" }, { "dropping-particle" : "", "family" : "Fukuda", "given" : "Shinji", "non-dropping-particle" : "", "parse-names" : false, "suffix" : "" }, { "dropping-particle" : "", "family" : "Ohno", "given" : "Hiroshi", "non-dropping-particle" : "", "parse-names" : false, "suffix" : "" }, { "dropping-particle" : "", "family" : "Morita", "given" : "Hidetoshi", "non-dropping-particle" : "", "parse-names" : false, "suffix" : "" }, { "dropping-particle" : "", "family" : "Hattori", "given" : "Masahira", "non-dropping-particle" : "", "parse-names" : false, "suffix" : "" } ], "container-title" : "DNA Research", "id" : "ITEM-1", "issue" : "3", "issued" : { "date-parts" : [ [ "2013" ] ] }, "note" : "27FMod-338R\u51fa\u5c55", "page" : "241-253", "title" : "Robustness of gut microbiota of healthy adults in response to probiotic intervention revealed by high-throughput pyrosequencing", "type" : "article-journal", "volume" : "20" }, "uris" : [ "http://www.mendeley.com/documents/?uuid=c16caffa-0c3a-46e0-833a-9f382219b7ff" ] } ], "mendeley" : { "formattedCitation" : "[2]", "plainTextFormattedCitation" : "[2]", "previouslyFormattedCitation" : "[2]" }, "properties" : { "noteIndex" : 0 }, "schema" : "https://github.com/citation-style-language/schema/raw/master/csl-citation.json" }</w:instrText>
      </w:r>
      <w:r w:rsidR="00DC76B2">
        <w:rPr>
          <w:rFonts w:ascii="Century"/>
          <w:sz w:val="20"/>
          <w:szCs w:val="20"/>
        </w:rPr>
        <w:fldChar w:fldCharType="separate"/>
      </w:r>
      <w:r w:rsidR="00E6244E" w:rsidRPr="00E6244E">
        <w:rPr>
          <w:rFonts w:ascii="Century"/>
          <w:noProof/>
          <w:sz w:val="20"/>
          <w:szCs w:val="20"/>
        </w:rPr>
        <w:t>[2]</w:t>
      </w:r>
      <w:r w:rsidR="00DC76B2">
        <w:rPr>
          <w:rFonts w:ascii="Century"/>
          <w:sz w:val="20"/>
          <w:szCs w:val="20"/>
        </w:rPr>
        <w:fldChar w:fldCharType="end"/>
      </w:r>
      <w:r w:rsidR="008E4BF4">
        <w:rPr>
          <w:rFonts w:ascii="Century"/>
          <w:sz w:val="20"/>
          <w:szCs w:val="20"/>
        </w:rPr>
        <w:t>,</w:t>
      </w:r>
      <w:r w:rsidR="008E1623" w:rsidRPr="001D57F5">
        <w:rPr>
          <w:rFonts w:ascii="Century"/>
          <w:sz w:val="20"/>
          <w:szCs w:val="20"/>
        </w:rPr>
        <w:t xml:space="preserve"> and amplicon</w:t>
      </w:r>
      <w:r w:rsidR="003C64F9">
        <w:rPr>
          <w:rFonts w:ascii="Century"/>
          <w:sz w:val="20"/>
          <w:szCs w:val="20"/>
        </w:rPr>
        <w:t>s</w:t>
      </w:r>
      <w:r w:rsidR="008E1623" w:rsidRPr="001D57F5">
        <w:rPr>
          <w:rFonts w:ascii="Century"/>
          <w:sz w:val="20"/>
          <w:szCs w:val="20"/>
        </w:rPr>
        <w:t xml:space="preserve"> </w:t>
      </w:r>
      <w:r w:rsidR="003C64F9">
        <w:rPr>
          <w:rFonts w:ascii="Century"/>
          <w:sz w:val="20"/>
          <w:szCs w:val="20"/>
        </w:rPr>
        <w:t>were</w:t>
      </w:r>
      <w:r w:rsidR="003C64F9" w:rsidRPr="001D57F5">
        <w:rPr>
          <w:rFonts w:ascii="Century"/>
          <w:sz w:val="20"/>
          <w:szCs w:val="20"/>
        </w:rPr>
        <w:t xml:space="preserve"> </w:t>
      </w:r>
      <w:r w:rsidR="008E1623" w:rsidRPr="001D57F5">
        <w:rPr>
          <w:rFonts w:ascii="Century"/>
          <w:sz w:val="20"/>
          <w:szCs w:val="20"/>
        </w:rPr>
        <w:t xml:space="preserve">purified with </w:t>
      </w:r>
      <w:r w:rsidR="00E67BF8">
        <w:rPr>
          <w:rFonts w:ascii="Century"/>
          <w:sz w:val="20"/>
          <w:szCs w:val="20"/>
        </w:rPr>
        <w:t>a</w:t>
      </w:r>
      <w:r w:rsidR="00482752">
        <w:rPr>
          <w:rFonts w:ascii="Century"/>
          <w:sz w:val="20"/>
          <w:szCs w:val="20"/>
        </w:rPr>
        <w:t>n</w:t>
      </w:r>
      <w:r w:rsidR="00E67BF8">
        <w:rPr>
          <w:rFonts w:ascii="Century"/>
          <w:sz w:val="20"/>
          <w:szCs w:val="20"/>
        </w:rPr>
        <w:t xml:space="preserve"> </w:t>
      </w:r>
      <w:r w:rsidR="00DC422F" w:rsidRPr="001D57F5">
        <w:rPr>
          <w:rFonts w:ascii="Century"/>
          <w:sz w:val="20"/>
          <w:szCs w:val="20"/>
        </w:rPr>
        <w:t>AMPure</w:t>
      </w:r>
      <w:r w:rsidR="00265E1A" w:rsidRPr="001D57F5">
        <w:rPr>
          <w:rFonts w:ascii="Century"/>
          <w:sz w:val="20"/>
          <w:szCs w:val="20"/>
        </w:rPr>
        <w:t xml:space="preserve"> XP Kit (Beckman </w:t>
      </w:r>
      <w:r w:rsidR="00DC422F" w:rsidRPr="001D57F5">
        <w:rPr>
          <w:rFonts w:ascii="Century"/>
          <w:sz w:val="20"/>
          <w:szCs w:val="20"/>
        </w:rPr>
        <w:t>Coulter, Brea, CA, USA)</w:t>
      </w:r>
      <w:r w:rsidR="008E1623" w:rsidRPr="001D57F5">
        <w:rPr>
          <w:rFonts w:ascii="Century"/>
          <w:sz w:val="20"/>
          <w:szCs w:val="20"/>
        </w:rPr>
        <w:t>.</w:t>
      </w:r>
      <w:r w:rsidR="00DC422F" w:rsidRPr="001D57F5">
        <w:rPr>
          <w:rFonts w:ascii="Century"/>
          <w:sz w:val="20"/>
          <w:szCs w:val="20"/>
        </w:rPr>
        <w:t xml:space="preserve"> </w:t>
      </w:r>
      <w:r w:rsidR="00A7743F">
        <w:rPr>
          <w:rFonts w:ascii="Century"/>
          <w:sz w:val="20"/>
          <w:szCs w:val="20"/>
        </w:rPr>
        <w:t>After</w:t>
      </w:r>
      <w:r w:rsidR="00265E1A" w:rsidRPr="001D57F5">
        <w:rPr>
          <w:rFonts w:ascii="Century"/>
          <w:sz w:val="20"/>
          <w:szCs w:val="20"/>
        </w:rPr>
        <w:t xml:space="preserve"> quantification </w:t>
      </w:r>
      <w:r w:rsidR="00482752">
        <w:rPr>
          <w:rFonts w:ascii="Century"/>
          <w:sz w:val="20"/>
          <w:szCs w:val="20"/>
        </w:rPr>
        <w:t>of</w:t>
      </w:r>
      <w:r w:rsidR="00A7743F">
        <w:rPr>
          <w:rFonts w:ascii="Century"/>
          <w:sz w:val="20"/>
          <w:szCs w:val="20"/>
        </w:rPr>
        <w:t xml:space="preserve"> the</w:t>
      </w:r>
      <w:r w:rsidR="00482752" w:rsidRPr="001D57F5">
        <w:rPr>
          <w:rFonts w:ascii="Century"/>
          <w:sz w:val="20"/>
          <w:szCs w:val="20"/>
        </w:rPr>
        <w:t xml:space="preserve"> </w:t>
      </w:r>
      <w:r w:rsidR="00265E1A" w:rsidRPr="001D57F5">
        <w:rPr>
          <w:rFonts w:ascii="Century"/>
          <w:sz w:val="20"/>
          <w:szCs w:val="20"/>
        </w:rPr>
        <w:t xml:space="preserve">dsDNA concentration </w:t>
      </w:r>
      <w:r w:rsidR="00A7743F">
        <w:rPr>
          <w:rFonts w:ascii="Century"/>
          <w:sz w:val="20"/>
          <w:szCs w:val="20"/>
        </w:rPr>
        <w:t>by using</w:t>
      </w:r>
      <w:r w:rsidR="00A7743F" w:rsidRPr="001D57F5">
        <w:rPr>
          <w:rFonts w:ascii="Century"/>
          <w:sz w:val="20"/>
          <w:szCs w:val="20"/>
        </w:rPr>
        <w:t xml:space="preserve"> </w:t>
      </w:r>
      <w:r w:rsidR="00482752">
        <w:rPr>
          <w:rFonts w:ascii="Century"/>
          <w:sz w:val="20"/>
          <w:szCs w:val="20"/>
        </w:rPr>
        <w:t xml:space="preserve">a </w:t>
      </w:r>
      <w:r w:rsidR="00DC422F" w:rsidRPr="001D57F5">
        <w:rPr>
          <w:rFonts w:ascii="Century"/>
          <w:sz w:val="20"/>
          <w:szCs w:val="20"/>
        </w:rPr>
        <w:t>Quant-iTTM PicoGreen dsDNA Assay Kit (Invitrogen,</w:t>
      </w:r>
      <w:r w:rsidR="002846F5">
        <w:rPr>
          <w:rFonts w:ascii="Century"/>
          <w:sz w:val="20"/>
          <w:szCs w:val="20"/>
        </w:rPr>
        <w:t xml:space="preserve"> Carlsbad, CA, USA),</w:t>
      </w:r>
      <w:r w:rsidR="00265E1A" w:rsidRPr="001D57F5">
        <w:rPr>
          <w:rFonts w:ascii="Century"/>
          <w:sz w:val="20"/>
          <w:szCs w:val="20"/>
        </w:rPr>
        <w:t xml:space="preserve"> </w:t>
      </w:r>
      <w:r w:rsidR="008E4BF4">
        <w:rPr>
          <w:rFonts w:ascii="Century"/>
          <w:sz w:val="20"/>
          <w:szCs w:val="20"/>
        </w:rPr>
        <w:t xml:space="preserve">equal amounts of </w:t>
      </w:r>
      <w:r w:rsidR="00265E1A" w:rsidRPr="003C64F9">
        <w:rPr>
          <w:rFonts w:ascii="Century"/>
          <w:sz w:val="20"/>
          <w:szCs w:val="20"/>
        </w:rPr>
        <w:t>dsDNA</w:t>
      </w:r>
      <w:r w:rsidR="008E4BF4">
        <w:rPr>
          <w:rFonts w:ascii="Century"/>
          <w:sz w:val="20"/>
          <w:szCs w:val="20"/>
        </w:rPr>
        <w:t xml:space="preserve"> and </w:t>
      </w:r>
      <w:r w:rsidR="00265E1A" w:rsidRPr="003C64F9">
        <w:rPr>
          <w:rFonts w:ascii="Century"/>
          <w:sz w:val="20"/>
          <w:szCs w:val="20"/>
        </w:rPr>
        <w:t>each am</w:t>
      </w:r>
      <w:r w:rsidR="002846F5" w:rsidRPr="003C64F9">
        <w:rPr>
          <w:rFonts w:ascii="Century"/>
          <w:sz w:val="20"/>
          <w:szCs w:val="20"/>
        </w:rPr>
        <w:t xml:space="preserve">plicon </w:t>
      </w:r>
      <w:r w:rsidR="008E4BF4">
        <w:rPr>
          <w:rFonts w:ascii="Century"/>
          <w:sz w:val="20"/>
          <w:szCs w:val="20"/>
        </w:rPr>
        <w:t>were</w:t>
      </w:r>
      <w:r w:rsidR="008E4BF4" w:rsidRPr="003C64F9">
        <w:rPr>
          <w:rFonts w:ascii="Century"/>
          <w:sz w:val="20"/>
          <w:szCs w:val="20"/>
        </w:rPr>
        <w:t xml:space="preserve"> </w:t>
      </w:r>
      <w:r w:rsidR="002846F5" w:rsidRPr="003C64F9">
        <w:rPr>
          <w:rFonts w:ascii="Century"/>
          <w:sz w:val="20"/>
          <w:szCs w:val="20"/>
        </w:rPr>
        <w:t>pooled</w:t>
      </w:r>
      <w:r w:rsidR="002846F5">
        <w:rPr>
          <w:rFonts w:ascii="Century"/>
          <w:sz w:val="20"/>
          <w:szCs w:val="20"/>
        </w:rPr>
        <w:t>.</w:t>
      </w:r>
      <w:r w:rsidR="00265E1A" w:rsidRPr="001D57F5">
        <w:rPr>
          <w:rFonts w:ascii="Century"/>
          <w:sz w:val="20"/>
          <w:szCs w:val="20"/>
        </w:rPr>
        <w:t xml:space="preserve"> </w:t>
      </w:r>
      <w:r w:rsidR="002846F5">
        <w:rPr>
          <w:rFonts w:ascii="Century"/>
          <w:sz w:val="20"/>
          <w:szCs w:val="20"/>
        </w:rPr>
        <w:t xml:space="preserve">The pooled dsDNA was mixed with the same amount of </w:t>
      </w:r>
      <w:r w:rsidR="00973C10">
        <w:rPr>
          <w:rFonts w:ascii="Century"/>
          <w:sz w:val="20"/>
          <w:szCs w:val="20"/>
        </w:rPr>
        <w:t xml:space="preserve">PhiX control (Illumina) </w:t>
      </w:r>
      <w:r w:rsidR="002846F5">
        <w:rPr>
          <w:rFonts w:ascii="Century"/>
          <w:sz w:val="20"/>
          <w:szCs w:val="20"/>
        </w:rPr>
        <w:t>and sequenced</w:t>
      </w:r>
      <w:r w:rsidR="005D5340">
        <w:rPr>
          <w:rFonts w:ascii="Century"/>
          <w:sz w:val="20"/>
          <w:szCs w:val="20"/>
        </w:rPr>
        <w:t xml:space="preserve"> </w:t>
      </w:r>
      <w:r w:rsidR="00A7743F">
        <w:rPr>
          <w:rFonts w:ascii="Century"/>
          <w:sz w:val="20"/>
          <w:szCs w:val="20"/>
        </w:rPr>
        <w:t xml:space="preserve">by using </w:t>
      </w:r>
      <w:r w:rsidR="00E67BF8">
        <w:rPr>
          <w:rFonts w:ascii="Century"/>
          <w:sz w:val="20"/>
          <w:szCs w:val="20"/>
        </w:rPr>
        <w:t>a</w:t>
      </w:r>
      <w:r w:rsidR="00265E1A" w:rsidRPr="001D57F5">
        <w:rPr>
          <w:rFonts w:ascii="Century"/>
          <w:sz w:val="20"/>
          <w:szCs w:val="20"/>
        </w:rPr>
        <w:t xml:space="preserve"> Miseq Reagent kit v2 (500 cycles) (Illumina).</w:t>
      </w:r>
    </w:p>
    <w:p w:rsidR="00146C46" w:rsidRPr="00146C46" w:rsidRDefault="00146C46" w:rsidP="00566004">
      <w:pPr>
        <w:autoSpaceDE w:val="0"/>
        <w:autoSpaceDN w:val="0"/>
        <w:spacing w:line="480" w:lineRule="auto"/>
        <w:ind w:right="144"/>
        <w:textAlignment w:val="bottom"/>
        <w:rPr>
          <w:rFonts w:ascii="Century"/>
          <w:sz w:val="20"/>
          <w:szCs w:val="20"/>
        </w:rPr>
      </w:pPr>
    </w:p>
    <w:p w:rsidR="00471CF8" w:rsidRPr="001D57F5" w:rsidRDefault="00471CF8" w:rsidP="003B5A2F">
      <w:pPr>
        <w:autoSpaceDE w:val="0"/>
        <w:autoSpaceDN w:val="0"/>
        <w:spacing w:line="480" w:lineRule="auto"/>
        <w:ind w:right="144"/>
        <w:textAlignment w:val="bottom"/>
        <w:outlineLvl w:val="1"/>
        <w:rPr>
          <w:rFonts w:ascii="Century" w:hAnsi="Century"/>
          <w:i/>
          <w:sz w:val="20"/>
          <w:szCs w:val="20"/>
        </w:rPr>
      </w:pPr>
      <w:r w:rsidRPr="001D57F5">
        <w:rPr>
          <w:rFonts w:ascii="Century" w:hAnsi="Century"/>
          <w:i/>
          <w:sz w:val="20"/>
          <w:szCs w:val="20"/>
        </w:rPr>
        <w:t>Data processing</w:t>
      </w:r>
    </w:p>
    <w:p w:rsidR="005E44B7" w:rsidRPr="00633B77" w:rsidRDefault="00720172" w:rsidP="009E4A17">
      <w:pPr>
        <w:autoSpaceDE w:val="0"/>
        <w:autoSpaceDN w:val="0"/>
        <w:spacing w:line="480" w:lineRule="auto"/>
        <w:ind w:right="144"/>
        <w:jc w:val="both"/>
        <w:textAlignment w:val="bottom"/>
        <w:rPr>
          <w:rFonts w:ascii="Century" w:hAnsi="Century"/>
          <w:sz w:val="20"/>
          <w:szCs w:val="20"/>
        </w:rPr>
      </w:pPr>
      <w:r w:rsidRPr="001D57F5">
        <w:rPr>
          <w:rFonts w:ascii="Century" w:hAnsi="Century"/>
          <w:sz w:val="20"/>
          <w:szCs w:val="20"/>
        </w:rPr>
        <w:tab/>
      </w:r>
      <w:r w:rsidRPr="00633B77">
        <w:rPr>
          <w:rFonts w:ascii="Century" w:hAnsi="Century"/>
          <w:sz w:val="20"/>
          <w:szCs w:val="20"/>
        </w:rPr>
        <w:t>All procedure</w:t>
      </w:r>
      <w:r w:rsidR="00E67BF8">
        <w:rPr>
          <w:rFonts w:ascii="Century" w:hAnsi="Century"/>
          <w:sz w:val="20"/>
          <w:szCs w:val="20"/>
        </w:rPr>
        <w:t>s</w:t>
      </w:r>
      <w:r w:rsidRPr="00633B77">
        <w:rPr>
          <w:rFonts w:ascii="Century" w:hAnsi="Century"/>
          <w:sz w:val="20"/>
          <w:szCs w:val="20"/>
        </w:rPr>
        <w:t xml:space="preserve"> </w:t>
      </w:r>
      <w:r w:rsidR="00E67BF8">
        <w:rPr>
          <w:rFonts w:ascii="Century" w:hAnsi="Century"/>
          <w:sz w:val="20"/>
          <w:szCs w:val="20"/>
        </w:rPr>
        <w:t>were</w:t>
      </w:r>
      <w:r w:rsidR="00E67BF8" w:rsidRPr="00633B77">
        <w:rPr>
          <w:rFonts w:ascii="Century" w:hAnsi="Century"/>
          <w:sz w:val="20"/>
          <w:szCs w:val="20"/>
        </w:rPr>
        <w:t xml:space="preserve"> </w:t>
      </w:r>
      <w:r w:rsidRPr="00633B77">
        <w:rPr>
          <w:rFonts w:ascii="Century" w:hAnsi="Century"/>
          <w:sz w:val="20"/>
          <w:szCs w:val="20"/>
        </w:rPr>
        <w:t xml:space="preserve">conducted </w:t>
      </w:r>
      <w:r w:rsidR="00E67BF8">
        <w:rPr>
          <w:rFonts w:ascii="Century" w:hAnsi="Century"/>
          <w:sz w:val="20"/>
          <w:szCs w:val="20"/>
        </w:rPr>
        <w:t xml:space="preserve">with </w:t>
      </w:r>
      <w:r w:rsidR="00482752">
        <w:rPr>
          <w:rFonts w:ascii="Century" w:hAnsi="Century"/>
          <w:sz w:val="20"/>
          <w:szCs w:val="20"/>
        </w:rPr>
        <w:t>the Q</w:t>
      </w:r>
      <w:r w:rsidR="00482752" w:rsidRPr="008519F3">
        <w:rPr>
          <w:rFonts w:ascii="Century" w:hAnsi="Century"/>
          <w:sz w:val="20"/>
          <w:szCs w:val="20"/>
        </w:rPr>
        <w:t xml:space="preserve">uantitative </w:t>
      </w:r>
      <w:r w:rsidR="00482752">
        <w:rPr>
          <w:rFonts w:ascii="Century" w:hAnsi="Century"/>
          <w:sz w:val="20"/>
          <w:szCs w:val="20"/>
        </w:rPr>
        <w:t>I</w:t>
      </w:r>
      <w:r w:rsidR="00482752" w:rsidRPr="008519F3">
        <w:rPr>
          <w:rFonts w:ascii="Century" w:hAnsi="Century"/>
          <w:sz w:val="20"/>
          <w:szCs w:val="20"/>
        </w:rPr>
        <w:t xml:space="preserve">nsights </w:t>
      </w:r>
      <w:r w:rsidR="00482752">
        <w:rPr>
          <w:rFonts w:ascii="Century" w:hAnsi="Century"/>
          <w:sz w:val="20"/>
          <w:szCs w:val="20"/>
        </w:rPr>
        <w:t>I</w:t>
      </w:r>
      <w:r w:rsidR="00482752" w:rsidRPr="008519F3">
        <w:rPr>
          <w:rFonts w:ascii="Century" w:hAnsi="Century"/>
          <w:sz w:val="20"/>
          <w:szCs w:val="20"/>
        </w:rPr>
        <w:t xml:space="preserve">nto </w:t>
      </w:r>
      <w:r w:rsidR="00482752">
        <w:rPr>
          <w:rFonts w:ascii="Century" w:hAnsi="Century"/>
          <w:sz w:val="20"/>
          <w:szCs w:val="20"/>
        </w:rPr>
        <w:t>M</w:t>
      </w:r>
      <w:r w:rsidR="00482752" w:rsidRPr="008519F3">
        <w:rPr>
          <w:rFonts w:ascii="Century" w:hAnsi="Century"/>
          <w:sz w:val="20"/>
          <w:szCs w:val="20"/>
        </w:rPr>
        <w:t xml:space="preserve">icrobial </w:t>
      </w:r>
      <w:r w:rsidR="00482752">
        <w:rPr>
          <w:rFonts w:ascii="Century" w:hAnsi="Century"/>
          <w:sz w:val="20"/>
          <w:szCs w:val="20"/>
        </w:rPr>
        <w:t>E</w:t>
      </w:r>
      <w:r w:rsidR="00482752" w:rsidRPr="008519F3">
        <w:rPr>
          <w:rFonts w:ascii="Century" w:hAnsi="Century"/>
          <w:sz w:val="20"/>
          <w:szCs w:val="20"/>
        </w:rPr>
        <w:t>cology</w:t>
      </w:r>
      <w:r w:rsidR="00482752">
        <w:rPr>
          <w:rFonts w:ascii="Century" w:hAnsi="Century"/>
          <w:sz w:val="20"/>
          <w:szCs w:val="20"/>
        </w:rPr>
        <w:t xml:space="preserve">  (QIIME) bioinformatics </w:t>
      </w:r>
      <w:r w:rsidRPr="00633B77">
        <w:rPr>
          <w:rFonts w:ascii="Century" w:hAnsi="Century"/>
          <w:sz w:val="20"/>
          <w:szCs w:val="20"/>
        </w:rPr>
        <w:t>pipeline</w:t>
      </w:r>
      <w:r w:rsidR="00AC2F1F" w:rsidRPr="00633B77">
        <w:rPr>
          <w:rFonts w:ascii="Century" w:hAnsi="Century"/>
          <w:sz w:val="20"/>
          <w:szCs w:val="20"/>
        </w:rPr>
        <w:t xml:space="preserve"> v1.8.0</w:t>
      </w:r>
      <w:r w:rsidRPr="00633B77">
        <w:rPr>
          <w:rFonts w:ascii="Century" w:hAnsi="Century"/>
          <w:sz w:val="20"/>
          <w:szCs w:val="20"/>
        </w:rPr>
        <w:t xml:space="preserve"> </w:t>
      </w:r>
      <w:r w:rsidR="00DC76B2" w:rsidRPr="00633B77">
        <w:rPr>
          <w:rFonts w:ascii="Century" w:hAnsi="Century"/>
          <w:sz w:val="20"/>
          <w:szCs w:val="20"/>
        </w:rPr>
        <w:fldChar w:fldCharType="begin" w:fldLock="1"/>
      </w:r>
      <w:r w:rsidR="007319D5">
        <w:rPr>
          <w:rFonts w:ascii="Century" w:hAnsi="Century"/>
          <w:sz w:val="20"/>
          <w:szCs w:val="20"/>
        </w:rPr>
        <w:instrText>ADDIN CSL_CITATION { "citationItems" : [ { "id" : "ITEM-1", "itemData" : { "author" : [ { "dropping-particle" : "", "family" : "Caporaso", "given" : "JG", "non-dropping-particle" : "", "parse-names" : false, "suffix" : "" }, { "dropping-particle" : "", "family" : "Kuczynski", "given" : "J", "non-dropping-particle" : "", "parse-names" : false, "suffix" : "" }, { "dropping-particle" : "", "family" : "Stombaugh", "given" : "J", "non-dropping-particle" : "", "parse-names" : false, "suffix" : "" }, { "dropping-particle" : "", "family" : "Bittinger", "given" : "K", "non-dropping-particle" : "", "parse-names" : false, "suffix" : "" }, { "dropping-particle" : "", "family" : "Bushman", "given" : "FD", "non-dropping-particle" : "", "parse-names" : false, "suffix" : "" }, { "dropping-particle" : "", "family" : "Costello", "given" : "EK", "non-dropping-particle" : "", "parse-names" : false, "suffix" : "" }, { "dropping-particle" : "", "family" : "Fierer", "given" : "N", "non-dropping-particle" : "", "parse-names" : false, "suffix" : "" }, { "dropping-particle" : "", "family" : "Pe\u00f1a", "given" : "AG", "non-dropping-particle" : "", "parse-names" : false, "suffix" : "" }, { "dropping-particle" : "", "family" : "Goodrich", "given" : "JK", "non-dropping-particle" : "", "parse-names" : false, "suffix" : "" }, { "dropping-particle" : "", "family" : "Gordon", "given" : "JI", "non-dropping-particle" : "", "parse-names" : false, "suffix" : "" }, { "dropping-particle" : "", "family" : "Huttley", "given" : "GA", "non-dropping-particle" : "", "parse-names" : false, "suffix" : "" }, { "dropping-particle" : "", "family" : "Kelley", "given" : "ST", "non-dropping-particle" : "", "parse-names" : false, "suffix" : "" }, { "dropping-particle" : "", "family" : "Knights", "given" : "D", "non-dropping-particle" : "", "parse-names" : false, "suffix" : "" }, { "dropping-particle" : "", "family" : "Koenig", "given" : "JE", "non-dropping-particle" : "", "parse-names" : false, "suffix" : "" }, { "dropping-particle" : "", "family" : "Ley", "given" : "RE", "non-dropping-particle" : "", "parse-names" : false, "suffix" : "" }, { "dropping-particle" : "", "family" : "Lozupone", "given" : "CA", "non-dropping-particle" : "", "parse-names" : false, "suffix" : "" }, { "dropping-particle" : "", "family" : "McDonald", "given" : "D", "non-dropping-particle" : "", "parse-names" : false, "suffix" : "" }, { "dropping-particle" : "", "family" : "Muegge", "given" : "BD", "non-dropping-particle" : "", "parse-names" : false, "suffix" : "" }, { "dropping-particle" : "", "family" : "Pirrung", "given" : "M", "non-dropping-particle" : "", "parse-names" : false, "suffix" : "" }, { "dropping-particle" : "", "family" : "Reeder", "given" : "J", "non-dropping-particle" : "", "parse-names" : false, "suffix" : "" }, { "dropping-particle" : "", "family" : "Sevinsky", "given" : "JR", "non-dropping-particle" : "", "parse-names" : false, "suffix" : "" }, { "dropping-particle" : "", "family" : "Turnbaugh", "given" : "PJ", "non-dropping-particle" : "", "parse-names" : false, "suffix" : "" }, { "dropping-particle" : "", "family" : "Walters", "given" : "WA", "non-dropping-particle" : "", "parse-names" : false, "suffix" : "" }, { "dropping-particle" : "", "family" : "Widmann", "given" : "J", "non-dropping-particle" : "", "parse-names" : false, "suffix" : "" }, { "dropping-particle" : "", "family" : "Yatsunenko", "given" : "T", "non-dropping-particle" : "", "parse-names" : false, "suffix" : "" }, { "dropping-particle" : "", "family" : "Zaneveld", "given" : "J", "non-dropping-particle" : "", "parse-names" : false, "suffix" : "" }, { "dropping-particle" : "", "family" : "Knight", "given" : "R", "non-dropping-particle" : "", "parse-names" : false, "suffix" : "" } ], "container-title" : "Nature Methods", "id" : "ITEM-1", "issue" : "5", "issued" : { "date-parts" : [ [ "2010" ] ] }, "note" : "Qiime \u51fa\u5178", "page" : "335-336", "title" : "QIIME allows analysis of high-throughput community sequencing data", "type" : "article-journal", "volume" : "7" }, "uris" : [ "http://www.mendeley.com/documents/?uuid=5761cec4-d8db-417d-ac50-7a9c3ed4e507" ] } ], "mendeley" : { "formattedCitation" : "[3]", "plainTextFormattedCitation" : "[3]", "previouslyFormattedCitation" : "[3]" }, "properties" : { "noteIndex" : 0 }, "schema" : "https://github.com/citation-style-language/schema/raw/master/csl-citation.json" }</w:instrText>
      </w:r>
      <w:r w:rsidR="00DC76B2" w:rsidRPr="00633B77">
        <w:rPr>
          <w:rFonts w:ascii="Century" w:hAnsi="Century"/>
          <w:sz w:val="20"/>
          <w:szCs w:val="20"/>
        </w:rPr>
        <w:fldChar w:fldCharType="separate"/>
      </w:r>
      <w:r w:rsidR="007319D5" w:rsidRPr="007319D5">
        <w:rPr>
          <w:rFonts w:ascii="Century" w:hAnsi="Century"/>
          <w:noProof/>
          <w:sz w:val="20"/>
          <w:szCs w:val="20"/>
        </w:rPr>
        <w:t>[3]</w:t>
      </w:r>
      <w:r w:rsidR="00DC76B2" w:rsidRPr="00633B77">
        <w:rPr>
          <w:rFonts w:ascii="Century" w:hAnsi="Century"/>
          <w:sz w:val="20"/>
          <w:szCs w:val="20"/>
        </w:rPr>
        <w:fldChar w:fldCharType="end"/>
      </w:r>
      <w:r w:rsidRPr="00633B77">
        <w:rPr>
          <w:rFonts w:ascii="Century" w:hAnsi="Century"/>
          <w:sz w:val="20"/>
          <w:szCs w:val="20"/>
        </w:rPr>
        <w:t xml:space="preserve">. </w:t>
      </w:r>
      <w:r w:rsidR="00353B70" w:rsidRPr="00633B77">
        <w:rPr>
          <w:rFonts w:ascii="Century" w:hAnsi="Century"/>
          <w:sz w:val="20"/>
          <w:szCs w:val="20"/>
        </w:rPr>
        <w:t xml:space="preserve">Detailed </w:t>
      </w:r>
      <w:r w:rsidR="00E67BF8">
        <w:rPr>
          <w:rFonts w:ascii="Century" w:hAnsi="Century"/>
          <w:sz w:val="20"/>
          <w:szCs w:val="20"/>
        </w:rPr>
        <w:t>settings</w:t>
      </w:r>
      <w:r w:rsidR="00E67BF8" w:rsidRPr="00633B77">
        <w:rPr>
          <w:rFonts w:ascii="Century" w:hAnsi="Century"/>
          <w:sz w:val="20"/>
          <w:szCs w:val="20"/>
        </w:rPr>
        <w:t xml:space="preserve"> </w:t>
      </w:r>
      <w:r w:rsidR="00353B70" w:rsidRPr="00633B77">
        <w:rPr>
          <w:rFonts w:ascii="Century" w:hAnsi="Century"/>
          <w:sz w:val="20"/>
          <w:szCs w:val="20"/>
        </w:rPr>
        <w:t xml:space="preserve">and references for the scripts used in </w:t>
      </w:r>
      <w:r w:rsidR="00D81330">
        <w:rPr>
          <w:rFonts w:ascii="Century" w:hAnsi="Century"/>
          <w:sz w:val="20"/>
          <w:szCs w:val="20"/>
        </w:rPr>
        <w:t>the</w:t>
      </w:r>
      <w:r w:rsidR="00D81330" w:rsidRPr="00633B77">
        <w:rPr>
          <w:rFonts w:ascii="Century" w:hAnsi="Century"/>
          <w:sz w:val="20"/>
          <w:szCs w:val="20"/>
        </w:rPr>
        <w:t xml:space="preserve"> </w:t>
      </w:r>
      <w:r w:rsidR="00353B70" w:rsidRPr="00633B77">
        <w:rPr>
          <w:rFonts w:ascii="Century" w:hAnsi="Century"/>
          <w:sz w:val="20"/>
          <w:szCs w:val="20"/>
        </w:rPr>
        <w:t xml:space="preserve">study </w:t>
      </w:r>
      <w:r w:rsidR="00E67BF8">
        <w:rPr>
          <w:rFonts w:ascii="Century" w:hAnsi="Century"/>
          <w:sz w:val="20"/>
          <w:szCs w:val="20"/>
        </w:rPr>
        <w:t>are</w:t>
      </w:r>
      <w:r w:rsidR="00E67BF8" w:rsidRPr="00633B77">
        <w:rPr>
          <w:rFonts w:ascii="Century" w:hAnsi="Century"/>
          <w:sz w:val="20"/>
          <w:szCs w:val="20"/>
        </w:rPr>
        <w:t xml:space="preserve"> </w:t>
      </w:r>
      <w:r w:rsidR="00E67BF8">
        <w:rPr>
          <w:rFonts w:ascii="Century" w:hAnsi="Century"/>
          <w:sz w:val="20"/>
          <w:szCs w:val="20"/>
        </w:rPr>
        <w:t>shown</w:t>
      </w:r>
      <w:r w:rsidR="00E67BF8" w:rsidRPr="00633B77">
        <w:rPr>
          <w:rFonts w:ascii="Century" w:hAnsi="Century"/>
          <w:sz w:val="20"/>
          <w:szCs w:val="20"/>
        </w:rPr>
        <w:t xml:space="preserve"> </w:t>
      </w:r>
      <w:r w:rsidR="00353B70" w:rsidRPr="00633B77">
        <w:rPr>
          <w:rFonts w:ascii="Century" w:hAnsi="Century"/>
          <w:sz w:val="20"/>
          <w:szCs w:val="20"/>
        </w:rPr>
        <w:t xml:space="preserve">in Supplemental Table S12. </w:t>
      </w:r>
      <w:r w:rsidR="003C64F9">
        <w:rPr>
          <w:rFonts w:ascii="Century" w:hAnsi="Century"/>
          <w:sz w:val="20"/>
          <w:szCs w:val="20"/>
        </w:rPr>
        <w:t>R</w:t>
      </w:r>
      <w:r w:rsidR="001D57F5" w:rsidRPr="00633B77">
        <w:rPr>
          <w:rFonts w:ascii="Century" w:hAnsi="Century"/>
          <w:sz w:val="20"/>
          <w:szCs w:val="20"/>
        </w:rPr>
        <w:t>ead</w:t>
      </w:r>
      <w:r w:rsidR="000E787E" w:rsidRPr="00633B77">
        <w:rPr>
          <w:rFonts w:ascii="Century" w:hAnsi="Century"/>
          <w:sz w:val="20"/>
          <w:szCs w:val="20"/>
        </w:rPr>
        <w:t xml:space="preserve"> data</w:t>
      </w:r>
      <w:r w:rsidRPr="00633B77">
        <w:rPr>
          <w:rFonts w:ascii="Century" w:hAnsi="Century"/>
          <w:sz w:val="20"/>
          <w:szCs w:val="20"/>
        </w:rPr>
        <w:t xml:space="preserve"> </w:t>
      </w:r>
      <w:r w:rsidR="003C64F9">
        <w:rPr>
          <w:rFonts w:ascii="Century" w:hAnsi="Century"/>
          <w:sz w:val="20"/>
          <w:szCs w:val="20"/>
        </w:rPr>
        <w:t>o</w:t>
      </w:r>
      <w:r w:rsidR="003C64F9" w:rsidRPr="00633B77">
        <w:rPr>
          <w:rFonts w:ascii="Century" w:hAnsi="Century"/>
          <w:sz w:val="20"/>
          <w:szCs w:val="20"/>
        </w:rPr>
        <w:t xml:space="preserve">btained </w:t>
      </w:r>
      <w:r w:rsidR="001D57F5" w:rsidRPr="00633B77">
        <w:rPr>
          <w:rFonts w:ascii="Century" w:hAnsi="Century"/>
          <w:sz w:val="20"/>
          <w:szCs w:val="20"/>
        </w:rPr>
        <w:t>for</w:t>
      </w:r>
      <w:r w:rsidRPr="00633B77">
        <w:rPr>
          <w:rFonts w:ascii="Century" w:hAnsi="Century"/>
          <w:sz w:val="20"/>
          <w:szCs w:val="20"/>
        </w:rPr>
        <w:t xml:space="preserve"> </w:t>
      </w:r>
      <w:r w:rsidR="00482752">
        <w:rPr>
          <w:rFonts w:ascii="Century" w:hAnsi="Century"/>
          <w:sz w:val="20"/>
          <w:szCs w:val="20"/>
        </w:rPr>
        <w:t xml:space="preserve">the </w:t>
      </w:r>
      <w:r w:rsidR="000E787E" w:rsidRPr="00633B77">
        <w:rPr>
          <w:rFonts w:ascii="Century" w:hAnsi="Century"/>
          <w:sz w:val="20"/>
          <w:szCs w:val="20"/>
        </w:rPr>
        <w:t>forward and reverse primers was</w:t>
      </w:r>
      <w:r w:rsidRPr="00633B77">
        <w:rPr>
          <w:rFonts w:ascii="Century" w:hAnsi="Century"/>
          <w:sz w:val="20"/>
          <w:szCs w:val="20"/>
        </w:rPr>
        <w:t xml:space="preserve"> connected </w:t>
      </w:r>
      <w:r w:rsidR="00E67BF8">
        <w:rPr>
          <w:rFonts w:ascii="Century" w:hAnsi="Century"/>
          <w:sz w:val="20"/>
          <w:szCs w:val="20"/>
        </w:rPr>
        <w:t>with the</w:t>
      </w:r>
      <w:r w:rsidR="00E67BF8" w:rsidRPr="00633B77">
        <w:rPr>
          <w:rFonts w:ascii="Century" w:hAnsi="Century"/>
          <w:sz w:val="20"/>
          <w:szCs w:val="20"/>
        </w:rPr>
        <w:t xml:space="preserve"> </w:t>
      </w:r>
      <w:r w:rsidRPr="00633B77">
        <w:rPr>
          <w:rFonts w:ascii="Century" w:eastAsia="MS PGothic" w:hAnsi="Century" w:cs="Times New Roman"/>
          <w:sz w:val="20"/>
          <w:szCs w:val="20"/>
        </w:rPr>
        <w:t>join_paired_ends.py</w:t>
      </w:r>
      <w:r w:rsidR="00934349" w:rsidRPr="00633B77">
        <w:rPr>
          <w:rFonts w:ascii="Century" w:eastAsia="MS PGothic" w:hAnsi="Century" w:cs="Times New Roman"/>
          <w:sz w:val="20"/>
          <w:szCs w:val="20"/>
        </w:rPr>
        <w:t xml:space="preserve"> </w:t>
      </w:r>
      <w:r w:rsidR="009E4A17" w:rsidRPr="00633B77">
        <w:rPr>
          <w:rFonts w:ascii="Century" w:eastAsia="MS PGothic" w:hAnsi="Century" w:cs="Times New Roman"/>
          <w:sz w:val="20"/>
          <w:szCs w:val="20"/>
        </w:rPr>
        <w:t>script</w:t>
      </w:r>
      <w:r w:rsidR="00E67BF8">
        <w:rPr>
          <w:rFonts w:ascii="Century" w:eastAsia="MS PGothic" w:hAnsi="Century" w:cs="Times New Roman"/>
          <w:sz w:val="20"/>
          <w:szCs w:val="20"/>
        </w:rPr>
        <w:t xml:space="preserve"> (settings:</w:t>
      </w:r>
      <w:r w:rsidR="00934349" w:rsidRPr="00633B77">
        <w:rPr>
          <w:rFonts w:ascii="Century" w:eastAsia="MS PGothic" w:hAnsi="Century" w:cs="Times New Roman"/>
          <w:sz w:val="20"/>
          <w:szCs w:val="20"/>
        </w:rPr>
        <w:t xml:space="preserve"> </w:t>
      </w:r>
      <w:r w:rsidR="00E67BF8" w:rsidRPr="00633B77">
        <w:rPr>
          <w:rFonts w:ascii="Century" w:eastAsia="MS PGothic" w:hAnsi="Century" w:cs="Times New Roman"/>
          <w:sz w:val="20"/>
          <w:szCs w:val="20"/>
        </w:rPr>
        <w:t>minim</w:t>
      </w:r>
      <w:r w:rsidR="00A7743F">
        <w:rPr>
          <w:rFonts w:ascii="Century" w:eastAsia="MS PGothic" w:hAnsi="Century" w:cs="Times New Roman"/>
          <w:sz w:val="20"/>
          <w:szCs w:val="20"/>
        </w:rPr>
        <w:t>al</w:t>
      </w:r>
      <w:r w:rsidR="00E67BF8" w:rsidRPr="00633B77">
        <w:rPr>
          <w:rFonts w:ascii="Century" w:eastAsia="MS PGothic" w:hAnsi="Century" w:cs="Times New Roman"/>
          <w:sz w:val="20"/>
          <w:szCs w:val="20"/>
        </w:rPr>
        <w:t xml:space="preserve"> overlap</w:t>
      </w:r>
      <w:r w:rsidR="00E67BF8">
        <w:rPr>
          <w:rFonts w:ascii="Century" w:eastAsia="MS PGothic" w:hAnsi="Century" w:cs="Times New Roman"/>
          <w:sz w:val="20"/>
          <w:szCs w:val="20"/>
        </w:rPr>
        <w:t>,</w:t>
      </w:r>
      <w:r w:rsidR="00E67BF8" w:rsidRPr="00633B77">
        <w:rPr>
          <w:rFonts w:ascii="Century" w:eastAsia="MS PGothic" w:hAnsi="Century" w:cs="Times New Roman"/>
          <w:sz w:val="20"/>
          <w:szCs w:val="20"/>
        </w:rPr>
        <w:t xml:space="preserve"> </w:t>
      </w:r>
      <w:r w:rsidR="00934349" w:rsidRPr="00633B77">
        <w:rPr>
          <w:rFonts w:ascii="Century" w:eastAsia="MS PGothic" w:hAnsi="Century" w:cs="Times New Roman"/>
          <w:sz w:val="20"/>
          <w:szCs w:val="20"/>
        </w:rPr>
        <w:t>120 bp</w:t>
      </w:r>
      <w:r w:rsidR="00E67BF8">
        <w:rPr>
          <w:rFonts w:ascii="Century" w:eastAsia="MS PGothic" w:hAnsi="Century" w:cs="Times New Roman"/>
          <w:sz w:val="20"/>
          <w:szCs w:val="20"/>
        </w:rPr>
        <w:t>;</w:t>
      </w:r>
      <w:r w:rsidR="00934349" w:rsidRPr="00633B77">
        <w:rPr>
          <w:rFonts w:ascii="Century" w:eastAsia="MS PGothic" w:hAnsi="Century" w:cs="Times New Roman"/>
          <w:sz w:val="20"/>
          <w:szCs w:val="20"/>
        </w:rPr>
        <w:t xml:space="preserve"> </w:t>
      </w:r>
      <w:r w:rsidR="00E67BF8" w:rsidRPr="00633B77">
        <w:rPr>
          <w:rFonts w:ascii="Century" w:eastAsia="MS PGothic" w:hAnsi="Century" w:cs="Times New Roman"/>
          <w:sz w:val="20"/>
          <w:szCs w:val="20"/>
        </w:rPr>
        <w:t>maxim</w:t>
      </w:r>
      <w:r w:rsidR="00A7743F">
        <w:rPr>
          <w:rFonts w:ascii="Century" w:eastAsia="MS PGothic" w:hAnsi="Century" w:cs="Times New Roman"/>
          <w:sz w:val="20"/>
          <w:szCs w:val="20"/>
        </w:rPr>
        <w:t>al</w:t>
      </w:r>
      <w:r w:rsidR="00E67BF8" w:rsidRPr="00633B77">
        <w:rPr>
          <w:rFonts w:ascii="Century" w:eastAsia="MS PGothic" w:hAnsi="Century" w:cs="Times New Roman"/>
          <w:sz w:val="20"/>
          <w:szCs w:val="20"/>
        </w:rPr>
        <w:t xml:space="preserve"> mismatch in overlap region</w:t>
      </w:r>
      <w:r w:rsidR="00E67BF8">
        <w:rPr>
          <w:rFonts w:ascii="Century" w:eastAsia="MS PGothic" w:hAnsi="Century" w:cs="Times New Roman"/>
          <w:sz w:val="20"/>
          <w:szCs w:val="20"/>
        </w:rPr>
        <w:t xml:space="preserve">, </w:t>
      </w:r>
      <w:r w:rsidR="00934349" w:rsidRPr="00633B77">
        <w:rPr>
          <w:rFonts w:ascii="Century" w:eastAsia="MS PGothic" w:hAnsi="Century" w:cs="Times New Roman"/>
          <w:sz w:val="20"/>
          <w:szCs w:val="20"/>
        </w:rPr>
        <w:t>8</w:t>
      </w:r>
      <w:r w:rsidR="000E787E" w:rsidRPr="00633B77">
        <w:rPr>
          <w:rFonts w:ascii="Century" w:eastAsia="MS PGothic" w:hAnsi="Century" w:cs="Times New Roman"/>
          <w:sz w:val="20"/>
          <w:szCs w:val="20"/>
        </w:rPr>
        <w:t>%</w:t>
      </w:r>
      <w:r w:rsidR="00E67BF8">
        <w:rPr>
          <w:rFonts w:ascii="Century" w:eastAsia="MS PGothic" w:hAnsi="Century" w:cs="Times New Roman"/>
          <w:sz w:val="20"/>
          <w:szCs w:val="20"/>
        </w:rPr>
        <w:t>)</w:t>
      </w:r>
      <w:r w:rsidR="000E787E" w:rsidRPr="00633B77">
        <w:rPr>
          <w:rFonts w:ascii="Century" w:eastAsia="MS PGothic" w:hAnsi="Century" w:cs="Times New Roman"/>
          <w:sz w:val="20"/>
          <w:szCs w:val="20"/>
        </w:rPr>
        <w:t>.</w:t>
      </w:r>
      <w:r w:rsidR="00471CF8" w:rsidRPr="00633B77">
        <w:rPr>
          <w:rFonts w:ascii="Century" w:eastAsia="MS PGothic" w:hAnsi="Century" w:cs="Times New Roman"/>
          <w:sz w:val="20"/>
          <w:szCs w:val="20"/>
        </w:rPr>
        <w:t xml:space="preserve"> </w:t>
      </w:r>
      <w:r w:rsidR="00F5429B">
        <w:rPr>
          <w:rFonts w:ascii="Century" w:eastAsia="MS PGothic" w:hAnsi="Century" w:cs="Times New Roman"/>
          <w:sz w:val="20"/>
          <w:szCs w:val="20"/>
        </w:rPr>
        <w:t>A q</w:t>
      </w:r>
      <w:r w:rsidR="00F5429B" w:rsidRPr="00633B77">
        <w:rPr>
          <w:rFonts w:ascii="Century" w:eastAsia="MS PGothic" w:hAnsi="Century" w:cs="Times New Roman"/>
          <w:sz w:val="20"/>
          <w:szCs w:val="20"/>
        </w:rPr>
        <w:t xml:space="preserve">uality </w:t>
      </w:r>
      <w:r w:rsidR="000E787E" w:rsidRPr="00633B77">
        <w:rPr>
          <w:rFonts w:ascii="Century" w:eastAsia="MS PGothic" w:hAnsi="Century" w:cs="Times New Roman"/>
          <w:sz w:val="20"/>
          <w:szCs w:val="20"/>
        </w:rPr>
        <w:t xml:space="preserve">check was conducted </w:t>
      </w:r>
      <w:r w:rsidR="00424A81" w:rsidRPr="00633B77">
        <w:rPr>
          <w:rFonts w:ascii="Century" w:hAnsi="Century"/>
          <w:sz w:val="20"/>
          <w:szCs w:val="20"/>
        </w:rPr>
        <w:t xml:space="preserve">by </w:t>
      </w:r>
      <w:r w:rsidR="00424A81">
        <w:rPr>
          <w:rFonts w:ascii="Century" w:hAnsi="Century"/>
          <w:sz w:val="20"/>
          <w:szCs w:val="20"/>
        </w:rPr>
        <w:t xml:space="preserve">using the </w:t>
      </w:r>
      <w:r w:rsidR="00424A81" w:rsidRPr="00633B77">
        <w:rPr>
          <w:rFonts w:ascii="Century" w:hAnsi="Century"/>
          <w:sz w:val="20"/>
          <w:szCs w:val="20"/>
        </w:rPr>
        <w:t>split_libraries_fastq.py script</w:t>
      </w:r>
      <w:r w:rsidR="00424A81">
        <w:rPr>
          <w:rFonts w:ascii="Century" w:hAnsi="Century"/>
          <w:sz w:val="20"/>
          <w:szCs w:val="20"/>
        </w:rPr>
        <w:t xml:space="preserve"> </w:t>
      </w:r>
      <w:r w:rsidR="000E787E" w:rsidRPr="00633B77">
        <w:rPr>
          <w:rFonts w:ascii="Century" w:eastAsia="MS PGothic" w:hAnsi="Century" w:cs="Times New Roman"/>
          <w:sz w:val="20"/>
          <w:szCs w:val="20"/>
        </w:rPr>
        <w:t xml:space="preserve">against </w:t>
      </w:r>
      <w:r w:rsidR="00424A81">
        <w:rPr>
          <w:rFonts w:ascii="Century" w:eastAsia="MS PGothic" w:hAnsi="Century" w:cs="Times New Roman"/>
          <w:sz w:val="20"/>
          <w:szCs w:val="20"/>
        </w:rPr>
        <w:t xml:space="preserve">the </w:t>
      </w:r>
      <w:r w:rsidR="00C2233A" w:rsidRPr="00C2233A">
        <w:rPr>
          <w:rFonts w:ascii="Century" w:hAnsi="Century"/>
          <w:sz w:val="20"/>
          <w:szCs w:val="20"/>
        </w:rPr>
        <w:t>5,907,418</w:t>
      </w:r>
      <w:r w:rsidR="00471CF8" w:rsidRPr="00633B77">
        <w:rPr>
          <w:rFonts w:ascii="Century" w:hAnsi="Century"/>
          <w:sz w:val="20"/>
          <w:szCs w:val="20"/>
        </w:rPr>
        <w:t xml:space="preserve"> </w:t>
      </w:r>
      <w:r w:rsidR="001D57F5" w:rsidRPr="00633B77">
        <w:rPr>
          <w:rFonts w:ascii="Century" w:hAnsi="Century"/>
          <w:sz w:val="20"/>
          <w:szCs w:val="20"/>
        </w:rPr>
        <w:t>read</w:t>
      </w:r>
      <w:r w:rsidR="00471CF8" w:rsidRPr="00633B77">
        <w:rPr>
          <w:rFonts w:ascii="Century" w:hAnsi="Century"/>
          <w:sz w:val="20"/>
          <w:szCs w:val="20"/>
        </w:rPr>
        <w:t xml:space="preserve">s </w:t>
      </w:r>
      <w:r w:rsidR="00485F4D" w:rsidRPr="00633B77">
        <w:rPr>
          <w:rFonts w:ascii="Century"/>
          <w:sz w:val="20"/>
          <w:szCs w:val="20"/>
        </w:rPr>
        <w:t>(</w:t>
      </w:r>
      <w:r w:rsidR="00C2233A" w:rsidRPr="00C2233A">
        <w:rPr>
          <w:rFonts w:ascii="Century"/>
          <w:sz w:val="20"/>
          <w:szCs w:val="20"/>
        </w:rPr>
        <w:t>11,</w:t>
      </w:r>
      <w:r w:rsidR="00C2233A" w:rsidRPr="003C64F9">
        <w:rPr>
          <w:rFonts w:ascii="Century" w:hAnsi="Century"/>
          <w:sz w:val="20"/>
          <w:szCs w:val="20"/>
        </w:rPr>
        <w:t>448</w:t>
      </w:r>
      <w:r w:rsidR="006E7836">
        <w:rPr>
          <w:rFonts w:ascii="Century" w:hAnsi="Century"/>
          <w:sz w:val="20"/>
          <w:szCs w:val="20"/>
        </w:rPr>
        <w:t xml:space="preserve"> ± </w:t>
      </w:r>
      <w:r w:rsidR="00C2233A" w:rsidRPr="003C64F9">
        <w:rPr>
          <w:rFonts w:ascii="Century" w:hAnsi="Century"/>
          <w:sz w:val="20"/>
          <w:szCs w:val="20"/>
        </w:rPr>
        <w:t>2</w:t>
      </w:r>
      <w:r w:rsidR="00C2233A" w:rsidRPr="00C2233A">
        <w:rPr>
          <w:rFonts w:ascii="Century"/>
          <w:sz w:val="20"/>
          <w:szCs w:val="20"/>
        </w:rPr>
        <w:t>624</w:t>
      </w:r>
      <w:r w:rsidR="001D57F5" w:rsidRPr="00633B77">
        <w:rPr>
          <w:rFonts w:ascii="Century"/>
          <w:sz w:val="20"/>
          <w:szCs w:val="20"/>
        </w:rPr>
        <w:t xml:space="preserve"> reads/sample) </w:t>
      </w:r>
      <w:r w:rsidR="000E787E" w:rsidRPr="00633B77">
        <w:rPr>
          <w:rFonts w:ascii="Century" w:hAnsi="Century"/>
          <w:sz w:val="20"/>
          <w:szCs w:val="20"/>
        </w:rPr>
        <w:t xml:space="preserve">generated </w:t>
      </w:r>
      <w:r w:rsidR="001D57F5" w:rsidRPr="00633B77">
        <w:rPr>
          <w:rFonts w:ascii="Century" w:hAnsi="Century"/>
          <w:sz w:val="20"/>
          <w:szCs w:val="20"/>
        </w:rPr>
        <w:t xml:space="preserve">in the </w:t>
      </w:r>
      <w:r w:rsidR="000E787E" w:rsidRPr="00633B77">
        <w:rPr>
          <w:rFonts w:ascii="Century" w:hAnsi="Century"/>
          <w:sz w:val="20"/>
          <w:szCs w:val="20"/>
        </w:rPr>
        <w:t>former process</w:t>
      </w:r>
      <w:r w:rsidR="001D57F5" w:rsidRPr="00633B77">
        <w:rPr>
          <w:rFonts w:ascii="Century" w:hAnsi="Century"/>
          <w:sz w:val="20"/>
          <w:szCs w:val="20"/>
        </w:rPr>
        <w:t>,</w:t>
      </w:r>
      <w:r w:rsidR="000E787E" w:rsidRPr="00633B77">
        <w:rPr>
          <w:rFonts w:ascii="Century" w:hAnsi="Century"/>
          <w:sz w:val="20"/>
          <w:szCs w:val="20"/>
        </w:rPr>
        <w:t xml:space="preserve"> </w:t>
      </w:r>
      <w:r w:rsidR="00424A81">
        <w:rPr>
          <w:rFonts w:ascii="Century" w:hAnsi="Century"/>
          <w:sz w:val="20"/>
          <w:szCs w:val="20"/>
        </w:rPr>
        <w:t xml:space="preserve">and </w:t>
      </w:r>
      <w:r w:rsidR="001D57F5" w:rsidRPr="00633B77">
        <w:rPr>
          <w:rFonts w:ascii="Century" w:hAnsi="Century"/>
          <w:sz w:val="20"/>
          <w:szCs w:val="20"/>
        </w:rPr>
        <w:t>read</w:t>
      </w:r>
      <w:r w:rsidR="000E787E" w:rsidRPr="00633B77">
        <w:rPr>
          <w:rFonts w:ascii="Century" w:hAnsi="Century"/>
          <w:sz w:val="20"/>
          <w:szCs w:val="20"/>
        </w:rPr>
        <w:t xml:space="preserve">s </w:t>
      </w:r>
      <w:r w:rsidR="00F5429B">
        <w:rPr>
          <w:rFonts w:ascii="Century" w:hAnsi="Century"/>
          <w:sz w:val="20"/>
          <w:szCs w:val="20"/>
        </w:rPr>
        <w:t>that</w:t>
      </w:r>
      <w:r w:rsidR="00F5429B" w:rsidRPr="00633B77">
        <w:rPr>
          <w:rFonts w:ascii="Century" w:hAnsi="Century"/>
          <w:sz w:val="20"/>
          <w:szCs w:val="20"/>
        </w:rPr>
        <w:t xml:space="preserve"> </w:t>
      </w:r>
      <w:r w:rsidR="00F5429B">
        <w:rPr>
          <w:rFonts w:ascii="Century" w:hAnsi="Century"/>
          <w:sz w:val="20"/>
          <w:szCs w:val="20"/>
        </w:rPr>
        <w:t>had</w:t>
      </w:r>
      <w:r w:rsidR="00F5429B" w:rsidRPr="00633B77">
        <w:rPr>
          <w:rFonts w:ascii="Century" w:hAnsi="Century"/>
          <w:sz w:val="20"/>
          <w:szCs w:val="20"/>
        </w:rPr>
        <w:t xml:space="preserve"> </w:t>
      </w:r>
      <w:r w:rsidR="000E787E" w:rsidRPr="00633B77">
        <w:rPr>
          <w:rFonts w:ascii="Century" w:hAnsi="Century"/>
          <w:sz w:val="20"/>
          <w:szCs w:val="20"/>
        </w:rPr>
        <w:t xml:space="preserve">incomplete </w:t>
      </w:r>
      <w:r w:rsidR="00934349" w:rsidRPr="00633B77">
        <w:rPr>
          <w:rFonts w:ascii="Century" w:hAnsi="Century"/>
          <w:sz w:val="20"/>
          <w:szCs w:val="20"/>
        </w:rPr>
        <w:t xml:space="preserve">forward </w:t>
      </w:r>
      <w:r w:rsidR="000E787E" w:rsidRPr="00633B77">
        <w:rPr>
          <w:rFonts w:ascii="Century" w:hAnsi="Century"/>
          <w:sz w:val="20"/>
          <w:szCs w:val="20"/>
        </w:rPr>
        <w:t xml:space="preserve">primer sequences or </w:t>
      </w:r>
      <w:r w:rsidR="001D57F5" w:rsidRPr="00633B77">
        <w:rPr>
          <w:rFonts w:ascii="Century" w:hAnsi="Century"/>
          <w:sz w:val="20"/>
          <w:szCs w:val="20"/>
        </w:rPr>
        <w:t xml:space="preserve">a sequence with </w:t>
      </w:r>
      <w:r w:rsidR="00F5429B">
        <w:rPr>
          <w:rFonts w:ascii="Century" w:hAnsi="Century"/>
          <w:sz w:val="20"/>
          <w:szCs w:val="20"/>
        </w:rPr>
        <w:t xml:space="preserve">a </w:t>
      </w:r>
      <w:r w:rsidR="00F5429B" w:rsidRPr="00633B77">
        <w:rPr>
          <w:rFonts w:ascii="Century" w:hAnsi="Century"/>
          <w:sz w:val="20"/>
          <w:szCs w:val="20"/>
        </w:rPr>
        <w:t>quality score</w:t>
      </w:r>
      <w:r w:rsidR="00F5429B">
        <w:rPr>
          <w:rFonts w:ascii="Century" w:hAnsi="Century"/>
          <w:sz w:val="20"/>
          <w:szCs w:val="20"/>
        </w:rPr>
        <w:t xml:space="preserve"> of </w:t>
      </w:r>
      <w:r w:rsidR="000E787E" w:rsidRPr="00633B77">
        <w:rPr>
          <w:rFonts w:ascii="Century" w:hAnsi="Century"/>
          <w:sz w:val="20"/>
          <w:szCs w:val="20"/>
        </w:rPr>
        <w:t>less than 25</w:t>
      </w:r>
      <w:r w:rsidR="00424A81">
        <w:rPr>
          <w:rFonts w:ascii="Century" w:hAnsi="Century"/>
          <w:sz w:val="20"/>
          <w:szCs w:val="20"/>
        </w:rPr>
        <w:t xml:space="preserve"> were filtered</w:t>
      </w:r>
      <w:r w:rsidR="001D57F5" w:rsidRPr="00633B77">
        <w:rPr>
          <w:rFonts w:ascii="Century" w:hAnsi="Century"/>
          <w:sz w:val="20"/>
          <w:szCs w:val="20"/>
        </w:rPr>
        <w:t xml:space="preserve">. </w:t>
      </w:r>
      <w:r w:rsidR="003C64F9">
        <w:rPr>
          <w:rFonts w:ascii="Century" w:hAnsi="Century"/>
          <w:sz w:val="20"/>
          <w:szCs w:val="20"/>
        </w:rPr>
        <w:t>During</w:t>
      </w:r>
      <w:r w:rsidR="003C64F9" w:rsidRPr="00633B77">
        <w:rPr>
          <w:rFonts w:ascii="Century" w:hAnsi="Century"/>
          <w:sz w:val="20"/>
          <w:szCs w:val="20"/>
        </w:rPr>
        <w:t xml:space="preserve"> </w:t>
      </w:r>
      <w:r w:rsidR="001D57F5" w:rsidRPr="00633B77">
        <w:rPr>
          <w:rFonts w:ascii="Century" w:hAnsi="Century"/>
          <w:sz w:val="20"/>
          <w:szCs w:val="20"/>
        </w:rPr>
        <w:t xml:space="preserve">this process, reads were also assigned to the samples based on the barcode sequences. </w:t>
      </w:r>
      <w:r w:rsidR="00934349" w:rsidRPr="00633B77">
        <w:rPr>
          <w:rFonts w:ascii="Century" w:hAnsi="Century"/>
          <w:sz w:val="20"/>
          <w:szCs w:val="20"/>
        </w:rPr>
        <w:t>To filter reads with incomplete reverse primer sequences</w:t>
      </w:r>
      <w:r w:rsidR="000B76D3" w:rsidRPr="00633B77">
        <w:rPr>
          <w:rFonts w:ascii="Century" w:hAnsi="Century"/>
          <w:sz w:val="20"/>
          <w:szCs w:val="20"/>
        </w:rPr>
        <w:t xml:space="preserve">, </w:t>
      </w:r>
      <w:r w:rsidR="00F5429B">
        <w:rPr>
          <w:rFonts w:ascii="Century" w:hAnsi="Century"/>
          <w:sz w:val="20"/>
          <w:szCs w:val="20"/>
        </w:rPr>
        <w:t xml:space="preserve">the </w:t>
      </w:r>
      <w:r w:rsidR="000B76D3" w:rsidRPr="00633B77">
        <w:rPr>
          <w:rFonts w:ascii="Century" w:hAnsi="Century"/>
          <w:sz w:val="20"/>
          <w:szCs w:val="20"/>
        </w:rPr>
        <w:t>truncate_reverse_primer.py</w:t>
      </w:r>
      <w:r w:rsidR="009E4A17" w:rsidRPr="00633B77">
        <w:rPr>
          <w:rFonts w:ascii="Century" w:hAnsi="Century"/>
          <w:sz w:val="20"/>
          <w:szCs w:val="20"/>
        </w:rPr>
        <w:t xml:space="preserve"> script </w:t>
      </w:r>
      <w:r w:rsidR="000B76D3" w:rsidRPr="00633B77">
        <w:rPr>
          <w:rFonts w:ascii="Century" w:hAnsi="Century"/>
          <w:sz w:val="20"/>
          <w:szCs w:val="20"/>
        </w:rPr>
        <w:t>was applied.</w:t>
      </w:r>
      <w:r w:rsidR="00F5429B">
        <w:rPr>
          <w:rFonts w:ascii="Century" w:hAnsi="Century"/>
          <w:sz w:val="20"/>
          <w:szCs w:val="20"/>
        </w:rPr>
        <w:t xml:space="preserve"> The</w:t>
      </w:r>
      <w:r w:rsidR="000B76D3" w:rsidRPr="00633B77">
        <w:rPr>
          <w:rFonts w:ascii="Century" w:hAnsi="Century"/>
          <w:sz w:val="20"/>
          <w:szCs w:val="20"/>
        </w:rPr>
        <w:t xml:space="preserve"> pick_otus.py </w:t>
      </w:r>
      <w:r w:rsidR="009E4A17" w:rsidRPr="00633B77">
        <w:rPr>
          <w:rFonts w:ascii="Century" w:hAnsi="Century"/>
          <w:sz w:val="20"/>
          <w:szCs w:val="20"/>
        </w:rPr>
        <w:t>script</w:t>
      </w:r>
      <w:r w:rsidR="00445F10">
        <w:rPr>
          <w:rFonts w:ascii="Century" w:hAnsi="Century"/>
          <w:sz w:val="20"/>
          <w:szCs w:val="20"/>
        </w:rPr>
        <w:t>, which uses the</w:t>
      </w:r>
      <w:r w:rsidR="00445F10" w:rsidRPr="00633B77">
        <w:rPr>
          <w:rFonts w:ascii="Century" w:hAnsi="Century"/>
          <w:sz w:val="20"/>
          <w:szCs w:val="20"/>
        </w:rPr>
        <w:t xml:space="preserve"> </w:t>
      </w:r>
      <w:r w:rsidR="003C64F9" w:rsidRPr="00633B77">
        <w:rPr>
          <w:rFonts w:ascii="Century" w:hAnsi="Century"/>
          <w:sz w:val="20"/>
          <w:szCs w:val="20"/>
        </w:rPr>
        <w:t xml:space="preserve">USEARCH </w:t>
      </w:r>
      <w:r w:rsidR="000B6507" w:rsidRPr="00633B77">
        <w:rPr>
          <w:rFonts w:ascii="Century" w:hAnsi="Century"/>
          <w:sz w:val="20"/>
          <w:szCs w:val="20"/>
        </w:rPr>
        <w:t xml:space="preserve">algorithm </w:t>
      </w:r>
      <w:r w:rsidR="007E47A7" w:rsidRPr="00633B77">
        <w:rPr>
          <w:rFonts w:ascii="Century" w:hAnsi="Century"/>
          <w:sz w:val="20"/>
          <w:szCs w:val="20"/>
        </w:rPr>
        <w:t xml:space="preserve">v5.2 </w:t>
      </w:r>
      <w:r w:rsidR="00DC76B2" w:rsidRPr="00633B77">
        <w:rPr>
          <w:rFonts w:ascii="Century" w:hAnsi="Century"/>
          <w:sz w:val="20"/>
          <w:szCs w:val="20"/>
        </w:rPr>
        <w:fldChar w:fldCharType="begin" w:fldLock="1"/>
      </w:r>
      <w:r w:rsidR="007319D5">
        <w:rPr>
          <w:rFonts w:ascii="Century" w:hAnsi="Century"/>
          <w:sz w:val="20"/>
          <w:szCs w:val="20"/>
        </w:rPr>
        <w:instrText>ADDIN CSL_CITATION { "citationItems" : [ { "id" : "ITEM-1", "itemData" : { "abstract" : "Motivation: Biological sequence data is accumulating rapidly, motivating the development of improved high-throughput methods for sequence classification. Results: UBLAST and USEARCH are new algorithms enabling sensitive local and global search of large sequence databases at exceptionally high speeds. They are often orders of magnitude faster than BLAST in practical applications, though sensitivity to distant protein relationships is lower. UCLUST is a new clustering method that exploits USEARCH to assign sequences to clusters. UCLUST offers several advantages over the widely used program CD-HIT, including higher speed, lower memory use, improved sensitivity, clustering at lower identities and classification of much larger datasets. Availability: Binaries are available at no charge for non-commercial use at http://www.drive5.com/usearch Contact: robert@drive5.com Supplementary information: Supplementary data are available at Bioinformatics online.", "author" : [ { "dropping-particle" : "", "family" : "Edgar", "given" : "Robert C.", "non-dropping-particle" : "", "parse-names" : false, "suffix" : "" } ], "container-title" : "Bioinformatics Applications Note", "id" : "ITEM-1", "issue" : "19", "issued" : { "date-parts" : [ [ "2010" ] ] }, "note" : "UCLUST\u51fa\u5178, USEARCH\u51fa\u5178", "page" : "2460-2461", "title" : "Search and clustering orders of magnitude faster than BLAST Robert C.", "type" : "article-journal", "volume" : "26" }, "uris" : [ "http://www.mendeley.com/documents/?uuid=be1d7134-5bf1-4b80-b534-7b2b3c49ebf3" ] } ], "mendeley" : { "formattedCitation" : "[4]", "plainTextFormattedCitation" : "[4]", "previouslyFormattedCitation" : "[4]" }, "properties" : { "noteIndex" : 0 }, "schema" : "https://github.com/citation-style-language/schema/raw/master/csl-citation.json" }</w:instrText>
      </w:r>
      <w:r w:rsidR="00DC76B2" w:rsidRPr="00633B77">
        <w:rPr>
          <w:rFonts w:ascii="Century" w:hAnsi="Century"/>
          <w:sz w:val="20"/>
          <w:szCs w:val="20"/>
        </w:rPr>
        <w:fldChar w:fldCharType="separate"/>
      </w:r>
      <w:r w:rsidR="007319D5" w:rsidRPr="007319D5">
        <w:rPr>
          <w:rFonts w:ascii="Century" w:hAnsi="Century"/>
          <w:noProof/>
          <w:sz w:val="20"/>
          <w:szCs w:val="20"/>
        </w:rPr>
        <w:t>[4]</w:t>
      </w:r>
      <w:r w:rsidR="00DC76B2" w:rsidRPr="00633B77">
        <w:rPr>
          <w:rFonts w:ascii="Century" w:hAnsi="Century"/>
          <w:sz w:val="20"/>
          <w:szCs w:val="20"/>
        </w:rPr>
        <w:fldChar w:fldCharType="end"/>
      </w:r>
      <w:r w:rsidR="00445F10">
        <w:rPr>
          <w:rFonts w:ascii="Century" w:hAnsi="Century"/>
          <w:sz w:val="20"/>
          <w:szCs w:val="20"/>
        </w:rPr>
        <w:t>,</w:t>
      </w:r>
      <w:r w:rsidR="000B76D3" w:rsidRPr="00633B77">
        <w:rPr>
          <w:rFonts w:ascii="Century" w:hAnsi="Century"/>
          <w:sz w:val="20"/>
          <w:szCs w:val="20"/>
        </w:rPr>
        <w:t xml:space="preserve"> was used to construct operational taxonomic unit</w:t>
      </w:r>
      <w:r w:rsidR="0088177F">
        <w:rPr>
          <w:rFonts w:ascii="Century" w:hAnsi="Century"/>
          <w:sz w:val="20"/>
          <w:szCs w:val="20"/>
        </w:rPr>
        <w:t>s</w:t>
      </w:r>
      <w:r w:rsidR="000B76D3" w:rsidRPr="00633B77">
        <w:rPr>
          <w:rFonts w:ascii="Century" w:hAnsi="Century"/>
          <w:sz w:val="20"/>
          <w:szCs w:val="20"/>
        </w:rPr>
        <w:t xml:space="preserve"> (OTU</w:t>
      </w:r>
      <w:r w:rsidR="0088177F">
        <w:rPr>
          <w:rFonts w:ascii="Century" w:hAnsi="Century"/>
          <w:sz w:val="20"/>
          <w:szCs w:val="20"/>
        </w:rPr>
        <w:t>s</w:t>
      </w:r>
      <w:r w:rsidR="000B76D3" w:rsidRPr="00633B77">
        <w:rPr>
          <w:rFonts w:ascii="Century" w:hAnsi="Century"/>
          <w:sz w:val="20"/>
          <w:szCs w:val="20"/>
        </w:rPr>
        <w:t>)</w:t>
      </w:r>
      <w:r w:rsidR="000B76D3" w:rsidRPr="00633B77">
        <w:rPr>
          <w:rFonts w:ascii="Century"/>
          <w:sz w:val="20"/>
          <w:szCs w:val="20"/>
        </w:rPr>
        <w:t xml:space="preserve"> composed of reads </w:t>
      </w:r>
      <w:r w:rsidR="0088177F">
        <w:rPr>
          <w:rFonts w:ascii="Century"/>
          <w:sz w:val="20"/>
          <w:szCs w:val="20"/>
        </w:rPr>
        <w:t>with</w:t>
      </w:r>
      <w:r w:rsidR="0088177F" w:rsidRPr="00633B77">
        <w:rPr>
          <w:rFonts w:ascii="Century"/>
          <w:sz w:val="20"/>
          <w:szCs w:val="20"/>
        </w:rPr>
        <w:t xml:space="preserve"> </w:t>
      </w:r>
      <w:r w:rsidR="00E6244E">
        <w:rPr>
          <w:rFonts w:ascii="Century"/>
          <w:sz w:val="20"/>
          <w:szCs w:val="20"/>
        </w:rPr>
        <w:t xml:space="preserve">more than </w:t>
      </w:r>
      <w:r w:rsidR="000B76D3" w:rsidRPr="00633B77">
        <w:rPr>
          <w:rFonts w:ascii="Century"/>
          <w:sz w:val="20"/>
          <w:szCs w:val="20"/>
        </w:rPr>
        <w:t>97% sequence</w:t>
      </w:r>
      <w:r w:rsidR="0088177F">
        <w:rPr>
          <w:rFonts w:ascii="Century"/>
          <w:sz w:val="20"/>
          <w:szCs w:val="20"/>
        </w:rPr>
        <w:t xml:space="preserve"> </w:t>
      </w:r>
      <w:r w:rsidR="00AD35E9" w:rsidRPr="00633B77">
        <w:rPr>
          <w:rFonts w:ascii="Century" w:hAnsi="Century"/>
          <w:sz w:val="20"/>
          <w:szCs w:val="20"/>
        </w:rPr>
        <w:t xml:space="preserve">similarity </w:t>
      </w:r>
      <w:r w:rsidR="000B76D3" w:rsidRPr="00633B77">
        <w:rPr>
          <w:rFonts w:ascii="Century"/>
          <w:sz w:val="20"/>
          <w:szCs w:val="20"/>
        </w:rPr>
        <w:t xml:space="preserve">with each other </w:t>
      </w:r>
      <w:r w:rsidR="000B76D3" w:rsidRPr="00633B77">
        <w:rPr>
          <w:rFonts w:ascii="Century" w:hAnsi="Century"/>
          <w:sz w:val="20"/>
          <w:szCs w:val="20"/>
        </w:rPr>
        <w:t xml:space="preserve">and </w:t>
      </w:r>
      <w:r w:rsidR="0088177F">
        <w:rPr>
          <w:rFonts w:ascii="Century" w:hAnsi="Century"/>
          <w:sz w:val="20"/>
          <w:szCs w:val="20"/>
        </w:rPr>
        <w:t xml:space="preserve">to </w:t>
      </w:r>
      <w:r w:rsidR="000B76D3" w:rsidRPr="00633B77">
        <w:rPr>
          <w:rFonts w:ascii="Century" w:hAnsi="Century"/>
          <w:sz w:val="20"/>
          <w:szCs w:val="20"/>
        </w:rPr>
        <w:t xml:space="preserve">remove OTUs composed of </w:t>
      </w:r>
      <w:r w:rsidR="00F264EC">
        <w:rPr>
          <w:rFonts w:ascii="Century" w:hAnsi="Century"/>
          <w:sz w:val="20"/>
          <w:szCs w:val="20"/>
        </w:rPr>
        <w:t xml:space="preserve">a </w:t>
      </w:r>
      <w:r w:rsidR="000B76D3" w:rsidRPr="00633B77">
        <w:rPr>
          <w:rFonts w:ascii="Century" w:hAnsi="Century"/>
          <w:sz w:val="20"/>
          <w:szCs w:val="20"/>
        </w:rPr>
        <w:t>single read (singletons).</w:t>
      </w:r>
      <w:r w:rsidR="007E36B2" w:rsidRPr="00633B77">
        <w:rPr>
          <w:rFonts w:ascii="Century" w:hAnsi="Century"/>
          <w:sz w:val="20"/>
          <w:szCs w:val="20"/>
        </w:rPr>
        <w:t xml:space="preserve"> OTU</w:t>
      </w:r>
      <w:r w:rsidR="00F264EC">
        <w:rPr>
          <w:rFonts w:ascii="Century" w:hAnsi="Century"/>
          <w:sz w:val="20"/>
          <w:szCs w:val="20"/>
        </w:rPr>
        <w:t>s</w:t>
      </w:r>
      <w:r w:rsidR="007E36B2" w:rsidRPr="00633B77">
        <w:rPr>
          <w:rFonts w:ascii="Century" w:hAnsi="Century"/>
          <w:sz w:val="20"/>
          <w:szCs w:val="20"/>
        </w:rPr>
        <w:t xml:space="preserve"> composed of reads </w:t>
      </w:r>
      <w:r w:rsidR="00AD35E9">
        <w:rPr>
          <w:rFonts w:ascii="Century" w:hAnsi="Century"/>
          <w:sz w:val="20"/>
          <w:szCs w:val="20"/>
        </w:rPr>
        <w:t>with more</w:t>
      </w:r>
      <w:r w:rsidR="00AD35E9" w:rsidRPr="00633B77">
        <w:rPr>
          <w:rFonts w:ascii="Century" w:hAnsi="Century"/>
          <w:sz w:val="20"/>
          <w:szCs w:val="20"/>
        </w:rPr>
        <w:t xml:space="preserve"> </w:t>
      </w:r>
      <w:r w:rsidR="00AD35E9">
        <w:rPr>
          <w:rFonts w:ascii="Century" w:hAnsi="Century"/>
          <w:sz w:val="20"/>
          <w:szCs w:val="20"/>
        </w:rPr>
        <w:t>than</w:t>
      </w:r>
      <w:r w:rsidR="00AD35E9" w:rsidRPr="00633B77">
        <w:rPr>
          <w:rFonts w:ascii="Century" w:hAnsi="Century"/>
          <w:sz w:val="20"/>
          <w:szCs w:val="20"/>
        </w:rPr>
        <w:t xml:space="preserve"> </w:t>
      </w:r>
      <w:r w:rsidR="007E36B2" w:rsidRPr="00633B77">
        <w:rPr>
          <w:rFonts w:ascii="Century" w:hAnsi="Century"/>
          <w:sz w:val="20"/>
          <w:szCs w:val="20"/>
        </w:rPr>
        <w:t xml:space="preserve">97% sequence similarity against </w:t>
      </w:r>
      <w:r w:rsidR="007E36B2" w:rsidRPr="00633B77">
        <w:rPr>
          <w:rFonts w:ascii="Century" w:hAnsi="Century"/>
          <w:sz w:val="20"/>
          <w:szCs w:val="20"/>
        </w:rPr>
        <w:lastRenderedPageBreak/>
        <w:t xml:space="preserve">Phi X control </w:t>
      </w:r>
      <w:r w:rsidR="00AD35E9">
        <w:rPr>
          <w:rFonts w:ascii="Century" w:hAnsi="Century"/>
          <w:sz w:val="20"/>
          <w:szCs w:val="20"/>
        </w:rPr>
        <w:t>were</w:t>
      </w:r>
      <w:r w:rsidR="00AD35E9" w:rsidRPr="00633B77">
        <w:rPr>
          <w:rFonts w:ascii="Century" w:hAnsi="Century"/>
          <w:sz w:val="20"/>
          <w:szCs w:val="20"/>
        </w:rPr>
        <w:t xml:space="preserve"> </w:t>
      </w:r>
      <w:r w:rsidR="007E36B2" w:rsidRPr="00633B77">
        <w:rPr>
          <w:rFonts w:ascii="Century" w:hAnsi="Century"/>
          <w:sz w:val="20"/>
          <w:szCs w:val="20"/>
        </w:rPr>
        <w:t xml:space="preserve">removed with </w:t>
      </w:r>
      <w:r w:rsidR="00AD35E9">
        <w:rPr>
          <w:rFonts w:ascii="Century" w:hAnsi="Century"/>
          <w:sz w:val="20"/>
          <w:szCs w:val="20"/>
        </w:rPr>
        <w:t xml:space="preserve">the </w:t>
      </w:r>
      <w:r w:rsidR="007E36B2" w:rsidRPr="00633B77">
        <w:rPr>
          <w:rFonts w:ascii="Century" w:hAnsi="Century"/>
          <w:sz w:val="20"/>
          <w:szCs w:val="20"/>
        </w:rPr>
        <w:t xml:space="preserve">exclude_seqs_by_blast.py </w:t>
      </w:r>
      <w:r w:rsidR="009E4A17" w:rsidRPr="00633B77">
        <w:rPr>
          <w:rFonts w:ascii="Century" w:hAnsi="Century"/>
          <w:sz w:val="20"/>
          <w:szCs w:val="20"/>
        </w:rPr>
        <w:t>script</w:t>
      </w:r>
      <w:r w:rsidR="007E36B2" w:rsidRPr="00633B77">
        <w:rPr>
          <w:rFonts w:ascii="Century" w:hAnsi="Century"/>
          <w:sz w:val="20"/>
          <w:szCs w:val="20"/>
        </w:rPr>
        <w:t xml:space="preserve">. </w:t>
      </w:r>
      <w:r w:rsidR="00AD35E9">
        <w:rPr>
          <w:rFonts w:ascii="Century" w:hAnsi="Century"/>
          <w:sz w:val="20"/>
          <w:szCs w:val="20"/>
        </w:rPr>
        <w:t xml:space="preserve">Finally, </w:t>
      </w:r>
      <w:r w:rsidR="00C2233A" w:rsidRPr="00C2233A">
        <w:rPr>
          <w:rFonts w:ascii="Century"/>
          <w:sz w:val="20"/>
          <w:szCs w:val="20"/>
        </w:rPr>
        <w:t>5,290,023</w:t>
      </w:r>
      <w:r w:rsidR="001D57F5" w:rsidRPr="00633B77">
        <w:rPr>
          <w:rFonts w:ascii="Century"/>
          <w:sz w:val="20"/>
          <w:szCs w:val="20"/>
        </w:rPr>
        <w:t xml:space="preserve"> high</w:t>
      </w:r>
      <w:r w:rsidR="00AD35E9">
        <w:rPr>
          <w:rFonts w:ascii="Century"/>
          <w:sz w:val="20"/>
          <w:szCs w:val="20"/>
        </w:rPr>
        <w:t>-</w:t>
      </w:r>
      <w:r w:rsidR="001D57F5" w:rsidRPr="00633B77">
        <w:rPr>
          <w:rFonts w:ascii="Century"/>
          <w:sz w:val="20"/>
          <w:szCs w:val="20"/>
        </w:rPr>
        <w:t>quality reads (</w:t>
      </w:r>
      <w:r w:rsidR="00C2233A" w:rsidRPr="00C2233A">
        <w:rPr>
          <w:rFonts w:ascii="Century"/>
          <w:sz w:val="20"/>
          <w:szCs w:val="20"/>
        </w:rPr>
        <w:t>10,</w:t>
      </w:r>
      <w:r w:rsidR="00AD35E9" w:rsidRPr="003C64F9">
        <w:rPr>
          <w:rFonts w:ascii="Century" w:hAnsi="Century"/>
          <w:sz w:val="20"/>
          <w:szCs w:val="20"/>
        </w:rPr>
        <w:t>252</w:t>
      </w:r>
      <w:r w:rsidR="006E7836">
        <w:rPr>
          <w:rFonts w:ascii="Century" w:hAnsi="Century"/>
          <w:sz w:val="20"/>
          <w:szCs w:val="20"/>
        </w:rPr>
        <w:t xml:space="preserve"> ± </w:t>
      </w:r>
      <w:r w:rsidR="00C2233A" w:rsidRPr="003C64F9">
        <w:rPr>
          <w:rFonts w:ascii="Century" w:hAnsi="Century"/>
          <w:sz w:val="20"/>
          <w:szCs w:val="20"/>
        </w:rPr>
        <w:t>2</w:t>
      </w:r>
      <w:r w:rsidR="00C2233A" w:rsidRPr="00C2233A">
        <w:rPr>
          <w:rFonts w:ascii="Century"/>
          <w:sz w:val="20"/>
          <w:szCs w:val="20"/>
        </w:rPr>
        <w:t>406</w:t>
      </w:r>
      <w:r w:rsidR="001D57F5" w:rsidRPr="00633B77">
        <w:rPr>
          <w:rFonts w:ascii="Century"/>
          <w:sz w:val="20"/>
          <w:szCs w:val="20"/>
        </w:rPr>
        <w:t xml:space="preserve"> reads/sample)</w:t>
      </w:r>
      <w:r w:rsidR="000B6507" w:rsidRPr="00633B77">
        <w:rPr>
          <w:rFonts w:ascii="Century"/>
          <w:sz w:val="20"/>
          <w:szCs w:val="20"/>
        </w:rPr>
        <w:t xml:space="preserve"> were</w:t>
      </w:r>
      <w:r w:rsidR="007319D5">
        <w:rPr>
          <w:rFonts w:ascii="Century"/>
          <w:sz w:val="20"/>
          <w:szCs w:val="20"/>
        </w:rPr>
        <w:t xml:space="preserve"> </w:t>
      </w:r>
      <w:r w:rsidR="000B6507" w:rsidRPr="00633B77">
        <w:rPr>
          <w:rFonts w:ascii="Century"/>
          <w:sz w:val="20"/>
          <w:szCs w:val="20"/>
        </w:rPr>
        <w:t xml:space="preserve">grouped </w:t>
      </w:r>
      <w:r w:rsidR="00AD35E9">
        <w:rPr>
          <w:rFonts w:ascii="Century"/>
          <w:sz w:val="20"/>
          <w:szCs w:val="20"/>
        </w:rPr>
        <w:t>into</w:t>
      </w:r>
      <w:r w:rsidR="00AD35E9" w:rsidRPr="00633B77">
        <w:rPr>
          <w:rFonts w:ascii="Century"/>
          <w:sz w:val="20"/>
          <w:szCs w:val="20"/>
        </w:rPr>
        <w:t xml:space="preserve"> </w:t>
      </w:r>
      <w:r w:rsidR="00AC2F1F" w:rsidRPr="00633B77">
        <w:rPr>
          <w:rFonts w:ascii="Century"/>
          <w:sz w:val="20"/>
          <w:szCs w:val="20"/>
        </w:rPr>
        <w:t>31</w:t>
      </w:r>
      <w:r w:rsidR="00C2233A">
        <w:rPr>
          <w:rFonts w:ascii="Century" w:hint="eastAsia"/>
          <w:sz w:val="20"/>
          <w:szCs w:val="20"/>
        </w:rPr>
        <w:t>20</w:t>
      </w:r>
      <w:r w:rsidR="00AC2F1F" w:rsidRPr="00633B77">
        <w:rPr>
          <w:rFonts w:ascii="Century"/>
          <w:sz w:val="20"/>
          <w:szCs w:val="20"/>
        </w:rPr>
        <w:t xml:space="preserve"> </w:t>
      </w:r>
      <w:r w:rsidR="000B6507" w:rsidRPr="00633B77">
        <w:rPr>
          <w:rFonts w:ascii="Century"/>
          <w:sz w:val="20"/>
          <w:szCs w:val="20"/>
        </w:rPr>
        <w:t>OTUs</w:t>
      </w:r>
      <w:r w:rsidR="000B76D3" w:rsidRPr="00633B77">
        <w:rPr>
          <w:rFonts w:ascii="Century"/>
          <w:sz w:val="20"/>
          <w:szCs w:val="20"/>
        </w:rPr>
        <w:t xml:space="preserve">, and </w:t>
      </w:r>
      <w:r w:rsidR="00AD35E9">
        <w:rPr>
          <w:rFonts w:ascii="Century"/>
          <w:sz w:val="20"/>
          <w:szCs w:val="20"/>
        </w:rPr>
        <w:t xml:space="preserve">the </w:t>
      </w:r>
      <w:r w:rsidR="000B76D3" w:rsidRPr="00633B77">
        <w:rPr>
          <w:rFonts w:ascii="Century"/>
          <w:sz w:val="20"/>
          <w:szCs w:val="20"/>
        </w:rPr>
        <w:t>m</w:t>
      </w:r>
      <w:r w:rsidR="000B6507" w:rsidRPr="00633B77">
        <w:rPr>
          <w:rFonts w:ascii="Century"/>
          <w:sz w:val="20"/>
          <w:szCs w:val="20"/>
        </w:rPr>
        <w:t>ost abundant sequences</w:t>
      </w:r>
      <w:r w:rsidR="000B76D3" w:rsidRPr="00633B77">
        <w:rPr>
          <w:rFonts w:ascii="Century"/>
          <w:sz w:val="20"/>
          <w:szCs w:val="20"/>
        </w:rPr>
        <w:t xml:space="preserve"> of each OTU</w:t>
      </w:r>
      <w:r w:rsidR="000B6507" w:rsidRPr="00633B77">
        <w:rPr>
          <w:rFonts w:ascii="Century"/>
          <w:sz w:val="20"/>
          <w:szCs w:val="20"/>
        </w:rPr>
        <w:t xml:space="preserve"> were selec</w:t>
      </w:r>
      <w:r w:rsidR="002D4C07" w:rsidRPr="00633B77">
        <w:rPr>
          <w:rFonts w:ascii="Century"/>
          <w:sz w:val="20"/>
          <w:szCs w:val="20"/>
        </w:rPr>
        <w:t>ted as representative sequences</w:t>
      </w:r>
      <w:r w:rsidR="00117213" w:rsidRPr="00633B77">
        <w:rPr>
          <w:rFonts w:ascii="Century"/>
          <w:sz w:val="20"/>
          <w:szCs w:val="20"/>
        </w:rPr>
        <w:t xml:space="preserve"> </w:t>
      </w:r>
      <w:r w:rsidR="00A7743F">
        <w:rPr>
          <w:rFonts w:ascii="Century"/>
          <w:sz w:val="20"/>
          <w:szCs w:val="20"/>
        </w:rPr>
        <w:t>by using</w:t>
      </w:r>
      <w:r w:rsidR="00A7743F" w:rsidRPr="00633B77">
        <w:rPr>
          <w:rFonts w:ascii="Century"/>
          <w:sz w:val="20"/>
          <w:szCs w:val="20"/>
        </w:rPr>
        <w:t xml:space="preserve"> </w:t>
      </w:r>
      <w:r w:rsidR="00AD35E9">
        <w:rPr>
          <w:rFonts w:ascii="Century"/>
          <w:sz w:val="20"/>
          <w:szCs w:val="20"/>
        </w:rPr>
        <w:t xml:space="preserve">the </w:t>
      </w:r>
      <w:r w:rsidR="00117213" w:rsidRPr="00633B77">
        <w:rPr>
          <w:rFonts w:ascii="Century"/>
          <w:sz w:val="20"/>
          <w:szCs w:val="20"/>
        </w:rPr>
        <w:t xml:space="preserve">pick_rep_set.py </w:t>
      </w:r>
      <w:r w:rsidR="009E4A17" w:rsidRPr="00633B77">
        <w:rPr>
          <w:rFonts w:ascii="Century"/>
          <w:sz w:val="20"/>
          <w:szCs w:val="20"/>
        </w:rPr>
        <w:t>script</w:t>
      </w:r>
      <w:r w:rsidR="000B6507" w:rsidRPr="00633B77">
        <w:rPr>
          <w:rFonts w:ascii="Century"/>
          <w:sz w:val="20"/>
          <w:szCs w:val="20"/>
        </w:rPr>
        <w:t>.</w:t>
      </w:r>
    </w:p>
    <w:p w:rsidR="00A74D29" w:rsidRPr="00633B77" w:rsidRDefault="00A74D29" w:rsidP="00146C46">
      <w:pPr>
        <w:autoSpaceDE w:val="0"/>
        <w:autoSpaceDN w:val="0"/>
        <w:spacing w:line="480" w:lineRule="auto"/>
        <w:ind w:right="144"/>
        <w:jc w:val="both"/>
        <w:textAlignment w:val="bottom"/>
        <w:rPr>
          <w:rFonts w:ascii="Century"/>
          <w:sz w:val="20"/>
          <w:szCs w:val="20"/>
        </w:rPr>
      </w:pPr>
    </w:p>
    <w:p w:rsidR="00A74D29" w:rsidRPr="00E6244E" w:rsidRDefault="00A74D29" w:rsidP="00A74D29">
      <w:pPr>
        <w:pStyle w:val="Heading2"/>
        <w:spacing w:before="0"/>
        <w:rPr>
          <w:rFonts w:ascii="Century" w:hAnsi="Century"/>
          <w:i/>
          <w:color w:val="auto"/>
          <w:sz w:val="20"/>
          <w:szCs w:val="20"/>
        </w:rPr>
      </w:pPr>
      <w:r w:rsidRPr="00E6244E">
        <w:rPr>
          <w:rFonts w:ascii="Century" w:hAnsi="Century"/>
          <w:i/>
          <w:color w:val="auto"/>
          <w:sz w:val="20"/>
          <w:szCs w:val="20"/>
        </w:rPr>
        <w:t>Taxonomic analysis</w:t>
      </w:r>
      <w:r w:rsidR="004935D8" w:rsidRPr="00E6244E">
        <w:rPr>
          <w:rFonts w:ascii="Century" w:hAnsi="Century"/>
          <w:i/>
          <w:color w:val="auto"/>
          <w:sz w:val="20"/>
          <w:szCs w:val="20"/>
        </w:rPr>
        <w:t xml:space="preserve"> and alpha diversity analysis</w:t>
      </w:r>
    </w:p>
    <w:p w:rsidR="003C3BF1" w:rsidRPr="00E6244E" w:rsidRDefault="00A74D29" w:rsidP="00E6244E">
      <w:pPr>
        <w:autoSpaceDE w:val="0"/>
        <w:autoSpaceDN w:val="0"/>
        <w:spacing w:line="480" w:lineRule="auto"/>
        <w:ind w:right="144"/>
        <w:jc w:val="both"/>
        <w:textAlignment w:val="bottom"/>
        <w:rPr>
          <w:rFonts w:ascii="Century" w:hAnsi="Century"/>
        </w:rPr>
      </w:pPr>
      <w:r w:rsidRPr="00E6244E">
        <w:rPr>
          <w:rFonts w:ascii="Century" w:hAnsi="Century"/>
          <w:sz w:val="20"/>
          <w:szCs w:val="20"/>
        </w:rPr>
        <w:tab/>
        <w:t xml:space="preserve">Alignment and taxonomic classification processes were conducted </w:t>
      </w:r>
      <w:r w:rsidR="00FC3CED" w:rsidRPr="00E6244E">
        <w:rPr>
          <w:rFonts w:ascii="Century" w:hAnsi="Century"/>
          <w:sz w:val="20"/>
          <w:szCs w:val="20"/>
        </w:rPr>
        <w:t xml:space="preserve">with </w:t>
      </w:r>
      <w:r w:rsidR="00AD35E9" w:rsidRPr="00E6244E">
        <w:rPr>
          <w:rFonts w:ascii="Century" w:hAnsi="Century"/>
          <w:sz w:val="20"/>
          <w:szCs w:val="20"/>
        </w:rPr>
        <w:t>the</w:t>
      </w:r>
      <w:r w:rsidR="000F4F31" w:rsidRPr="00E6244E">
        <w:rPr>
          <w:rFonts w:ascii="Century" w:hAnsi="Century"/>
          <w:sz w:val="20"/>
          <w:szCs w:val="20"/>
        </w:rPr>
        <w:t xml:space="preserve"> QIIME</w:t>
      </w:r>
      <w:r w:rsidR="00AD35E9" w:rsidRPr="00E6244E">
        <w:rPr>
          <w:rFonts w:ascii="Century" w:hAnsi="Century"/>
          <w:sz w:val="20"/>
          <w:szCs w:val="20"/>
        </w:rPr>
        <w:t xml:space="preserve"> bioinformatics pipeline </w:t>
      </w:r>
      <w:r w:rsidRPr="00E6244E">
        <w:rPr>
          <w:rFonts w:ascii="Century" w:hAnsi="Century"/>
          <w:sz w:val="20"/>
          <w:szCs w:val="20"/>
        </w:rPr>
        <w:t xml:space="preserve">v1.8.0 </w:t>
      </w:r>
      <w:r w:rsidR="00DC76B2" w:rsidRPr="00E6244E">
        <w:rPr>
          <w:rFonts w:ascii="Century" w:hAnsi="Century"/>
          <w:sz w:val="20"/>
          <w:szCs w:val="20"/>
        </w:rPr>
        <w:fldChar w:fldCharType="begin" w:fldLock="1"/>
      </w:r>
      <w:r w:rsidR="007319D5" w:rsidRPr="00E6244E">
        <w:rPr>
          <w:rFonts w:ascii="Century" w:hAnsi="Century"/>
          <w:sz w:val="20"/>
          <w:szCs w:val="20"/>
        </w:rPr>
        <w:instrText>ADDIN CSL_CITATION { "citationItems" : [ { "id" : "ITEM-1", "itemData" : { "author" : [ { "dropping-particle" : "", "family" : "Caporaso", "given" : "JG", "non-dropping-particle" : "", "parse-names" : false, "suffix" : "" }, { "dropping-particle" : "", "family" : "Kuczynski", "given" : "J", "non-dropping-particle" : "", "parse-names" : false, "suffix" : "" }, { "dropping-particle" : "", "family" : "Stombaugh", "given" : "J", "non-dropping-particle" : "", "parse-names" : false, "suffix" : "" }, { "dropping-particle" : "", "family" : "Bittinger", "given" : "K", "non-dropping-particle" : "", "parse-names" : false, "suffix" : "" }, { "dropping-particle" : "", "family" : "Bushman", "given" : "FD", "non-dropping-particle" : "", "parse-names" : false, "suffix" : "" }, { "dropping-particle" : "", "family" : "Costello", "given" : "EK", "non-dropping-particle" : "", "parse-names" : false, "suffix" : "" }, { "dropping-particle" : "", "family" : "Fierer", "given" : "N", "non-dropping-particle" : "", "parse-names" : false, "suffix" : "" }, { "dropping-particle" : "", "family" : "Pe\u00f1a", "given" : "AG", "non-dropping-particle" : "", "parse-names" : false, "suffix" : "" }, { "dropping-particle" : "", "family" : "Goodrich", "given" : "JK", "non-dropping-particle" : "", "parse-names" : false, "suffix" : "" }, { "dropping-particle" : "", "family" : "Gordon", "given" : "JI", "non-dropping-particle" : "", "parse-names" : false, "suffix" : "" }, { "dropping-particle" : "", "family" : "Huttley", "given" : "GA", "non-dropping-particle" : "", "parse-names" : false, "suffix" : "" }, { "dropping-particle" : "", "family" : "Kelley", "given" : "ST", "non-dropping-particle" : "", "parse-names" : false, "suffix" : "" }, { "dropping-particle" : "", "family" : "Knights", "given" : "D", "non-dropping-particle" : "", "parse-names" : false, "suffix" : "" }, { "dropping-particle" : "", "family" : "Koenig", "given" : "JE", "non-dropping-particle" : "", "parse-names" : false, "suffix" : "" }, { "dropping-particle" : "", "family" : "Ley", "given" : "RE", "non-dropping-particle" : "", "parse-names" : false, "suffix" : "" }, { "dropping-particle" : "", "family" : "Lozupone", "given" : "CA", "non-dropping-particle" : "", "parse-names" : false, "suffix" : "" }, { "dropping-particle" : "", "family" : "McDonald", "given" : "D", "non-dropping-particle" : "", "parse-names" : false, "suffix" : "" }, { "dropping-particle" : "", "family" : "Muegge", "given" : "BD", "non-dropping-particle" : "", "parse-names" : false, "suffix" : "" }, { "dropping-particle" : "", "family" : "Pirrung", "given" : "M", "non-dropping-particle" : "", "parse-names" : false, "suffix" : "" }, { "dropping-particle" : "", "family" : "Reeder", "given" : "J", "non-dropping-particle" : "", "parse-names" : false, "suffix" : "" }, { "dropping-particle" : "", "family" : "Sevinsky", "given" : "JR", "non-dropping-particle" : "", "parse-names" : false, "suffix" : "" }, { "dropping-particle" : "", "family" : "Turnbaugh", "given" : "PJ", "non-dropping-particle" : "", "parse-names" : false, "suffix" : "" }, { "dropping-particle" : "", "family" : "Walters", "given" : "WA", "non-dropping-particle" : "", "parse-names" : false, "suffix" : "" }, { "dropping-particle" : "", "family" : "Widmann", "given" : "J", "non-dropping-particle" : "", "parse-names" : false, "suffix" : "" }, { "dropping-particle" : "", "family" : "Yatsunenko", "given" : "T", "non-dropping-particle" : "", "parse-names" : false, "suffix" : "" }, { "dropping-particle" : "", "family" : "Zaneveld", "given" : "J", "non-dropping-particle" : "", "parse-names" : false, "suffix" : "" }, { "dropping-particle" : "", "family" : "Knight", "given" : "R", "non-dropping-particle" : "", "parse-names" : false, "suffix" : "" } ], "container-title" : "Nature Methods", "id" : "ITEM-1", "issue" : "5", "issued" : { "date-parts" : [ [ "2010" ] ] }, "note" : "Qiime \u51fa\u5178", "page" : "335-336", "title" : "QIIME allows analysis of high-throughput community sequencing data", "type" : "article-journal", "volume" : "7" }, "uris" : [ "http://www.mendeley.com/documents/?uuid=5761cec4-d8db-417d-ac50-7a9c3ed4e507" ] } ], "mendeley" : { "formattedCitation" : "[3]", "plainTextFormattedCitation" : "[3]", "previouslyFormattedCitation" : "[3]" }, "properties" : { "noteIndex" : 0 }, "schema" : "https://github.com/citation-style-language/schema/raw/master/csl-citation.json" }</w:instrText>
      </w:r>
      <w:r w:rsidR="00DC76B2" w:rsidRPr="00E6244E">
        <w:rPr>
          <w:rFonts w:ascii="Century" w:hAnsi="Century"/>
          <w:sz w:val="20"/>
          <w:szCs w:val="20"/>
        </w:rPr>
        <w:fldChar w:fldCharType="separate"/>
      </w:r>
      <w:r w:rsidR="007319D5" w:rsidRPr="00E6244E">
        <w:rPr>
          <w:rFonts w:ascii="Century" w:hAnsi="Century"/>
          <w:noProof/>
          <w:sz w:val="20"/>
          <w:szCs w:val="20"/>
        </w:rPr>
        <w:t>[3]</w:t>
      </w:r>
      <w:r w:rsidR="00DC76B2" w:rsidRPr="00E6244E">
        <w:rPr>
          <w:rFonts w:ascii="Century" w:hAnsi="Century"/>
          <w:sz w:val="20"/>
          <w:szCs w:val="20"/>
        </w:rPr>
        <w:fldChar w:fldCharType="end"/>
      </w:r>
      <w:r w:rsidRPr="00E6244E">
        <w:rPr>
          <w:rFonts w:ascii="Century" w:hAnsi="Century"/>
          <w:sz w:val="20"/>
          <w:szCs w:val="20"/>
        </w:rPr>
        <w:t xml:space="preserve">. </w:t>
      </w:r>
      <w:r w:rsidR="00FC3CED" w:rsidRPr="00E6244E">
        <w:rPr>
          <w:rFonts w:ascii="Century" w:hAnsi="Century"/>
          <w:sz w:val="20"/>
          <w:szCs w:val="20"/>
        </w:rPr>
        <w:t>R</w:t>
      </w:r>
      <w:r w:rsidRPr="00E6244E">
        <w:rPr>
          <w:rFonts w:ascii="Century" w:hAnsi="Century"/>
          <w:sz w:val="20"/>
          <w:szCs w:val="20"/>
        </w:rPr>
        <w:t xml:space="preserve">epresentative sequences for each OTU were aligned </w:t>
      </w:r>
      <w:r w:rsidR="00FC3CED" w:rsidRPr="00E6244E">
        <w:rPr>
          <w:rFonts w:ascii="Century" w:hAnsi="Century"/>
          <w:sz w:val="20"/>
          <w:szCs w:val="20"/>
        </w:rPr>
        <w:t xml:space="preserve">with the </w:t>
      </w:r>
      <w:r w:rsidRPr="00E6244E">
        <w:rPr>
          <w:rFonts w:ascii="Century" w:hAnsi="Century"/>
          <w:sz w:val="20"/>
          <w:szCs w:val="20"/>
        </w:rPr>
        <w:t xml:space="preserve">align_seqs.py </w:t>
      </w:r>
      <w:r w:rsidR="009E4A17" w:rsidRPr="00E6244E">
        <w:rPr>
          <w:rFonts w:ascii="Century" w:hAnsi="Century"/>
          <w:sz w:val="20"/>
          <w:szCs w:val="20"/>
        </w:rPr>
        <w:t>script</w:t>
      </w:r>
      <w:r w:rsidR="00790126" w:rsidRPr="00E6244E">
        <w:rPr>
          <w:rFonts w:ascii="Century" w:hAnsi="Century"/>
          <w:sz w:val="20"/>
          <w:szCs w:val="20"/>
        </w:rPr>
        <w:t xml:space="preserve"> </w:t>
      </w:r>
      <w:r w:rsidR="00FC3CED" w:rsidRPr="00E6244E">
        <w:rPr>
          <w:rFonts w:ascii="Century" w:hAnsi="Century"/>
          <w:sz w:val="20"/>
          <w:szCs w:val="20"/>
        </w:rPr>
        <w:t xml:space="preserve">and the </w:t>
      </w:r>
      <w:r w:rsidR="00790126" w:rsidRPr="00E6244E">
        <w:rPr>
          <w:rFonts w:ascii="Century" w:hAnsi="Century"/>
          <w:sz w:val="20"/>
          <w:szCs w:val="20"/>
        </w:rPr>
        <w:t xml:space="preserve">MUSCLE </w:t>
      </w:r>
      <w:r w:rsidR="00FC3CED" w:rsidRPr="00E6244E">
        <w:rPr>
          <w:rFonts w:ascii="Century" w:hAnsi="Century"/>
          <w:sz w:val="20"/>
          <w:szCs w:val="20"/>
        </w:rPr>
        <w:t xml:space="preserve">algorithm </w:t>
      </w:r>
      <w:r w:rsidR="00DC76B2" w:rsidRPr="00E6244E">
        <w:rPr>
          <w:rFonts w:ascii="Century" w:hAnsi="Century"/>
          <w:sz w:val="20"/>
          <w:szCs w:val="20"/>
        </w:rPr>
        <w:fldChar w:fldCharType="begin" w:fldLock="1"/>
      </w:r>
      <w:r w:rsidR="007319D5" w:rsidRPr="00E6244E">
        <w:rPr>
          <w:rFonts w:ascii="Century" w:hAnsi="Century"/>
          <w:sz w:val="20"/>
          <w:szCs w:val="20"/>
        </w:rPr>
        <w:instrText>ADDIN CSL_CITATION { "citationItems" : [ { "id" : "ITEM-1", "itemData" : { "DOI" : "10.1186/1471-2105-5-113", "ISSN" : "1471-2105", "PMID" : "15318951", "abstract" : "BACKGROUND: In a previous paper, we introduced MUSCLE, a new program for creating multiple alignments of protein sequences, giving a brief summary of the algorithm and showing MUSCLE to achieve the highest scores reported to date on four alignment accuracy benchmarks. Here we present a more complete discussion of the algorithm, describing several previously unpublished techniques that improve biological accuracy and / or computational complexity. We introduce a new option, MUSCLE-fast, designed for high-throughput applications. We also describe a new protocol for evaluating objective functions that align two profiles.\n\nRESULTS: We compare the speed and accuracy of MUSCLE with CLUSTALW, Progressive POA and the MAFFT script FFTNS1, the fastest previously published program known to the author. Accuracy is measured using four benchmarks: BAliBASE, PREFAB, SABmark and SMART. We test three variants that offer highest accuracy (MUSCLE with default settings), highest speed (MUSCLE-fast), and a carefully chosen compromise between the two (MUSCLE-prog). We find MUSCLE-fast to be the fastest algorithm on all test sets, achieving average alignment accuracy similar to CLUSTALW in times that are typically two to three orders of magnitude less. MUSCLE-fast is able to align 1,000 sequences of average length 282 in 21 seconds on a current desktop computer.\n\nCONCLUSIONS: MUSCLE offers a range of options that provide improved speed and / or alignment accuracy compared with currently available programs. MUSCLE is freely available at http://www.drive5.com/muscle.", "author" : [ { "dropping-particle" : "", "family" : "Edgar", "given" : "Robert C", "non-dropping-particle" : "", "parse-names" : false, "suffix" : "" } ], "container-title" : "BMC bioinformatics", "id" : "ITEM-1", "issued" : { "date-parts" : [ [ "2004", "8", "19" ] ] }, "note" : "MUSCLE\u51fa\u5178", "page" : "113", "title" : "MUSCLE: a multiple sequence alignment method with reduced time and space complexity.", "type" : "article-journal", "volume" : "5" }, "uris" : [ "http://www.mendeley.com/documents/?uuid=da4ce4fd-4120-4978-9f1e-b6e04158b91c" ] } ], "mendeley" : { "formattedCitation" : "[5]", "plainTextFormattedCitation" : "[5]", "previouslyFormattedCitation" : "[5]" }, "properties" : { "noteIndex" : 0 }, "schema" : "https://github.com/citation-style-language/schema/raw/master/csl-citation.json" }</w:instrText>
      </w:r>
      <w:r w:rsidR="00DC76B2" w:rsidRPr="00E6244E">
        <w:rPr>
          <w:rFonts w:ascii="Century" w:hAnsi="Century"/>
          <w:sz w:val="20"/>
          <w:szCs w:val="20"/>
        </w:rPr>
        <w:fldChar w:fldCharType="separate"/>
      </w:r>
      <w:r w:rsidR="007319D5" w:rsidRPr="00E6244E">
        <w:rPr>
          <w:rFonts w:ascii="Century" w:hAnsi="Century"/>
          <w:noProof/>
          <w:sz w:val="20"/>
          <w:szCs w:val="20"/>
        </w:rPr>
        <w:t>[5]</w:t>
      </w:r>
      <w:r w:rsidR="00DC76B2" w:rsidRPr="00E6244E">
        <w:rPr>
          <w:rFonts w:ascii="Century" w:hAnsi="Century"/>
          <w:sz w:val="20"/>
          <w:szCs w:val="20"/>
        </w:rPr>
        <w:fldChar w:fldCharType="end"/>
      </w:r>
      <w:r w:rsidR="00926414" w:rsidRPr="00E6244E">
        <w:rPr>
          <w:rFonts w:ascii="Century" w:hAnsi="Century"/>
          <w:sz w:val="20"/>
          <w:szCs w:val="20"/>
        </w:rPr>
        <w:t>.</w:t>
      </w:r>
      <w:r w:rsidRPr="00E6244E">
        <w:rPr>
          <w:rFonts w:ascii="Century" w:hAnsi="Century"/>
          <w:sz w:val="20"/>
          <w:szCs w:val="20"/>
        </w:rPr>
        <w:t xml:space="preserve"> </w:t>
      </w:r>
      <w:r w:rsidR="00A7743F" w:rsidRPr="00E6244E">
        <w:rPr>
          <w:rFonts w:ascii="Century" w:hAnsi="Century"/>
          <w:sz w:val="20"/>
          <w:szCs w:val="20"/>
        </w:rPr>
        <w:t>A</w:t>
      </w:r>
      <w:r w:rsidR="00FC3CED" w:rsidRPr="00E6244E">
        <w:rPr>
          <w:rFonts w:ascii="Century" w:hAnsi="Century"/>
          <w:sz w:val="20"/>
          <w:szCs w:val="20"/>
        </w:rPr>
        <w:t xml:space="preserve"> </w:t>
      </w:r>
      <w:r w:rsidR="00926414" w:rsidRPr="00E6244E">
        <w:rPr>
          <w:rFonts w:ascii="Century" w:hAnsi="Century"/>
          <w:sz w:val="20"/>
          <w:szCs w:val="20"/>
        </w:rPr>
        <w:t xml:space="preserve">phylogenetic tree was </w:t>
      </w:r>
      <w:r w:rsidR="001C750B" w:rsidRPr="00E6244E">
        <w:rPr>
          <w:rFonts w:ascii="Century" w:hAnsi="Century"/>
          <w:sz w:val="20"/>
          <w:szCs w:val="20"/>
        </w:rPr>
        <w:t xml:space="preserve">then </w:t>
      </w:r>
      <w:r w:rsidR="00926414" w:rsidRPr="00E6244E">
        <w:rPr>
          <w:rFonts w:ascii="Century" w:hAnsi="Century"/>
          <w:sz w:val="20"/>
          <w:szCs w:val="20"/>
        </w:rPr>
        <w:t xml:space="preserve">constructed </w:t>
      </w:r>
      <w:r w:rsidR="00A7743F" w:rsidRPr="00E6244E">
        <w:rPr>
          <w:rFonts w:ascii="Century" w:hAnsi="Century"/>
          <w:sz w:val="20"/>
          <w:szCs w:val="20"/>
        </w:rPr>
        <w:t>the aligned representative sequences</w:t>
      </w:r>
      <w:r w:rsidR="00A7743F" w:rsidRPr="00E6244E" w:rsidDel="00FC3CED">
        <w:rPr>
          <w:rFonts w:ascii="Century" w:hAnsi="Century"/>
          <w:sz w:val="20"/>
          <w:szCs w:val="20"/>
        </w:rPr>
        <w:t xml:space="preserve"> </w:t>
      </w:r>
      <w:r w:rsidR="00A7743F" w:rsidRPr="00E6244E">
        <w:rPr>
          <w:rFonts w:ascii="Century" w:hAnsi="Century"/>
          <w:sz w:val="20"/>
          <w:szCs w:val="20"/>
        </w:rPr>
        <w:t>by using</w:t>
      </w:r>
      <w:r w:rsidR="00FC3CED" w:rsidRPr="00E6244E">
        <w:rPr>
          <w:rFonts w:ascii="Century" w:hAnsi="Century"/>
          <w:sz w:val="20"/>
          <w:szCs w:val="20"/>
        </w:rPr>
        <w:t xml:space="preserve"> the </w:t>
      </w:r>
      <w:r w:rsidR="00926414" w:rsidRPr="00E6244E">
        <w:rPr>
          <w:rFonts w:ascii="Century" w:hAnsi="Century"/>
          <w:sz w:val="20"/>
          <w:szCs w:val="20"/>
        </w:rPr>
        <w:t xml:space="preserve">make_phylogeny.py </w:t>
      </w:r>
      <w:r w:rsidR="009E4A17" w:rsidRPr="00E6244E">
        <w:rPr>
          <w:rFonts w:ascii="Century" w:hAnsi="Century"/>
          <w:sz w:val="20"/>
          <w:szCs w:val="20"/>
        </w:rPr>
        <w:t>script</w:t>
      </w:r>
      <w:r w:rsidR="00926414" w:rsidRPr="00E6244E">
        <w:rPr>
          <w:rFonts w:ascii="Century" w:hAnsi="Century"/>
          <w:sz w:val="20"/>
          <w:szCs w:val="20"/>
        </w:rPr>
        <w:t xml:space="preserve"> </w:t>
      </w:r>
      <w:r w:rsidR="00FC3CED" w:rsidRPr="00E6244E">
        <w:rPr>
          <w:rFonts w:ascii="Century" w:hAnsi="Century"/>
          <w:sz w:val="20"/>
          <w:szCs w:val="20"/>
        </w:rPr>
        <w:t xml:space="preserve">and the </w:t>
      </w:r>
      <w:r w:rsidR="00926414" w:rsidRPr="00E6244E">
        <w:rPr>
          <w:rFonts w:ascii="Century" w:hAnsi="Century"/>
          <w:sz w:val="20"/>
          <w:szCs w:val="20"/>
        </w:rPr>
        <w:t xml:space="preserve">MUSCLE </w:t>
      </w:r>
      <w:r w:rsidR="00FC3CED" w:rsidRPr="00E6244E">
        <w:rPr>
          <w:rFonts w:ascii="Century" w:hAnsi="Century"/>
          <w:sz w:val="20"/>
          <w:szCs w:val="20"/>
        </w:rPr>
        <w:t>algorithm</w:t>
      </w:r>
      <w:r w:rsidR="00926414" w:rsidRPr="00E6244E">
        <w:rPr>
          <w:rFonts w:ascii="Century" w:hAnsi="Century"/>
          <w:sz w:val="20"/>
          <w:szCs w:val="20"/>
        </w:rPr>
        <w:t xml:space="preserve">. </w:t>
      </w:r>
      <w:r w:rsidR="00FC3CED" w:rsidRPr="00E6244E">
        <w:rPr>
          <w:rFonts w:ascii="Century" w:hAnsi="Century"/>
          <w:sz w:val="20"/>
          <w:szCs w:val="20"/>
        </w:rPr>
        <w:t>T</w:t>
      </w:r>
      <w:r w:rsidR="00926414" w:rsidRPr="00E6244E">
        <w:rPr>
          <w:rFonts w:ascii="Century" w:hAnsi="Century"/>
          <w:sz w:val="20"/>
          <w:szCs w:val="20"/>
        </w:rPr>
        <w:t>he represent</w:t>
      </w:r>
      <w:r w:rsidR="009E4A17" w:rsidRPr="00E6244E">
        <w:rPr>
          <w:rFonts w:ascii="Century" w:hAnsi="Century"/>
          <w:sz w:val="20"/>
          <w:szCs w:val="20"/>
        </w:rPr>
        <w:t>at</w:t>
      </w:r>
      <w:r w:rsidR="00926414" w:rsidRPr="00E6244E">
        <w:rPr>
          <w:rFonts w:ascii="Century" w:hAnsi="Century"/>
          <w:sz w:val="20"/>
          <w:szCs w:val="20"/>
        </w:rPr>
        <w:t>ive sequences were</w:t>
      </w:r>
      <w:r w:rsidRPr="00E6244E">
        <w:rPr>
          <w:rFonts w:ascii="Century" w:hAnsi="Century"/>
          <w:sz w:val="20"/>
          <w:szCs w:val="20"/>
        </w:rPr>
        <w:t xml:space="preserve"> taxonomically classified </w:t>
      </w:r>
      <w:r w:rsidR="00FC3CED" w:rsidRPr="00E6244E">
        <w:rPr>
          <w:rFonts w:ascii="Century" w:hAnsi="Century"/>
          <w:sz w:val="20"/>
          <w:szCs w:val="20"/>
        </w:rPr>
        <w:t xml:space="preserve">with the </w:t>
      </w:r>
      <w:r w:rsidRPr="00E6244E">
        <w:rPr>
          <w:rFonts w:ascii="Century" w:hAnsi="Century"/>
          <w:sz w:val="20"/>
          <w:szCs w:val="20"/>
        </w:rPr>
        <w:t>parallel</w:t>
      </w:r>
      <w:r w:rsidR="009E4A17" w:rsidRPr="00E6244E">
        <w:rPr>
          <w:rFonts w:ascii="Century" w:hAnsi="Century"/>
          <w:sz w:val="20"/>
          <w:szCs w:val="20"/>
        </w:rPr>
        <w:t>_assign_taxonomy_rdp.py script</w:t>
      </w:r>
      <w:r w:rsidRPr="00E6244E">
        <w:rPr>
          <w:rFonts w:ascii="Century" w:hAnsi="Century"/>
          <w:sz w:val="20"/>
          <w:szCs w:val="20"/>
        </w:rPr>
        <w:t xml:space="preserve"> </w:t>
      </w:r>
      <w:r w:rsidR="00FC3CED" w:rsidRPr="00E6244E">
        <w:rPr>
          <w:rFonts w:ascii="Century" w:hAnsi="Century"/>
          <w:sz w:val="20"/>
          <w:szCs w:val="20"/>
        </w:rPr>
        <w:t xml:space="preserve">and </w:t>
      </w:r>
      <w:r w:rsidRPr="00E6244E">
        <w:rPr>
          <w:rFonts w:ascii="Century" w:hAnsi="Century"/>
          <w:sz w:val="20"/>
          <w:szCs w:val="20"/>
        </w:rPr>
        <w:t xml:space="preserve">RDP classifier v2.2 </w:t>
      </w:r>
      <w:r w:rsidR="00DC76B2" w:rsidRPr="00E6244E">
        <w:rPr>
          <w:rFonts w:ascii="Century" w:hAnsi="Century"/>
          <w:sz w:val="20"/>
          <w:szCs w:val="20"/>
        </w:rPr>
        <w:fldChar w:fldCharType="begin" w:fldLock="1"/>
      </w:r>
      <w:r w:rsidR="007319D5" w:rsidRPr="00E6244E">
        <w:rPr>
          <w:rFonts w:ascii="Century" w:hAnsi="Century"/>
          <w:sz w:val="20"/>
          <w:szCs w:val="20"/>
        </w:rPr>
        <w:instrText>ADDIN CSL_CITATION { "citationItems" : [ { "id" : "ITEM-1", "itemData" : { "DOI" : "10.1093/nar/gkl889", "ISSN" : "1362-4962", "PMID" : "17090583", "abstract" : "Substantial new features have been implemented at the Ribosomal Database Project in response to the increased importance of high-throughput rRNA sequence analysis in microbial ecology and related disciplines. The most important changes include quality analysis, including chimera detection, for all available rRNA sequences and the introduction of myRDP Space, a new web component designed to help researchers place their own data in context with the RDP's data. In addition, new video tutorials describe how to use RDP features. Details about RDP data and analytical functions can be found at the RDP-II website (http://rdp.cme.msu.edu/).", "author" : [ { "dropping-particle" : "", "family" : "Cole", "given" : "J R", "non-dropping-particle" : "", "parse-names" : false, "suffix" : "" }, { "dropping-particle" : "", "family" : "Chai", "given" : "B", "non-dropping-particle" : "", "parse-names" : false, "suffix" : "" }, { "dropping-particle" : "", "family" : "Farris", "given" : "R J", "non-dropping-particle" : "", "parse-names" : false, "suffix" : "" }, { "dropping-particle" : "", "family" : "Wang", "given" : "Q", "non-dropping-particle" : "", "parse-names" : false, "suffix" : "" }, { "dropping-particle" : "", "family" : "Kulam-Syed-Mohideen", "given" : "A S", "non-dropping-particle" : "", "parse-names" : false, "suffix" : "" }, { "dropping-particle" : "", "family" : "McGarrell", "given" : "D M", "non-dropping-particle" : "", "parse-names" : false, "suffix" : "" }, { "dropping-particle" : "", "family" : "Bandela", "given" : "A M", "non-dropping-particle" : "", "parse-names" : false, "suffix" : "" }, { "dropping-particle" : "", "family" : "Cardenas", "given" : "E", "non-dropping-particle" : "", "parse-names" : false, "suffix" : "" }, { "dropping-particle" : "", "family" : "Garrity", "given" : "G M", "non-dropping-particle" : "", "parse-names" : false, "suffix" : "" }, { "dropping-particle" : "", "family" : "Tiedje", "given" : "J M", "non-dropping-particle" : "", "parse-names" : false, "suffix" : "" } ], "container-title" : "Nucleic acids research", "id" : "ITEM-1", "issue" : "Database issue", "issued" : { "date-parts" : [ [ "2007", "1" ] ] }, "note" : "RDP classifier\u51fa\u5178", "page" : "D169-72", "title" : "The ribosomal database project (RDP-II): introducing myRDP space and quality controlled public data.", "type" : "article-journal", "volume" : "35" }, "uris" : [ "http://www.mendeley.com/documents/?uuid=f9fd9732-907b-47b5-a258-c116b3e8e6bf" ] } ], "mendeley" : { "formattedCitation" : "[6]", "plainTextFormattedCitation" : "[6]", "previouslyFormattedCitation" : "[6]" }, "properties" : { "noteIndex" : 0 }, "schema" : "https://github.com/citation-style-language/schema/raw/master/csl-citation.json" }</w:instrText>
      </w:r>
      <w:r w:rsidR="00DC76B2" w:rsidRPr="00E6244E">
        <w:rPr>
          <w:rFonts w:ascii="Century" w:hAnsi="Century"/>
          <w:sz w:val="20"/>
          <w:szCs w:val="20"/>
        </w:rPr>
        <w:fldChar w:fldCharType="separate"/>
      </w:r>
      <w:r w:rsidR="007319D5" w:rsidRPr="00E6244E">
        <w:rPr>
          <w:rFonts w:ascii="Century" w:hAnsi="Century"/>
          <w:noProof/>
          <w:sz w:val="20"/>
          <w:szCs w:val="20"/>
        </w:rPr>
        <w:t>[6]</w:t>
      </w:r>
      <w:r w:rsidR="00DC76B2" w:rsidRPr="00E6244E">
        <w:rPr>
          <w:rFonts w:ascii="Century" w:hAnsi="Century"/>
          <w:sz w:val="20"/>
          <w:szCs w:val="20"/>
        </w:rPr>
        <w:fldChar w:fldCharType="end"/>
      </w:r>
      <w:r w:rsidRPr="00E6244E">
        <w:rPr>
          <w:rFonts w:ascii="Century" w:hAnsi="Century"/>
          <w:sz w:val="20"/>
          <w:szCs w:val="20"/>
        </w:rPr>
        <w:t xml:space="preserve"> against </w:t>
      </w:r>
      <w:r w:rsidR="00FC3CED" w:rsidRPr="00E6244E">
        <w:rPr>
          <w:rFonts w:ascii="Century" w:hAnsi="Century"/>
          <w:sz w:val="20"/>
          <w:szCs w:val="20"/>
        </w:rPr>
        <w:t xml:space="preserve">the </w:t>
      </w:r>
      <w:r w:rsidRPr="00E6244E">
        <w:rPr>
          <w:rFonts w:ascii="Century" w:hAnsi="Century"/>
          <w:sz w:val="20"/>
          <w:szCs w:val="20"/>
        </w:rPr>
        <w:t xml:space="preserve">GreenGenes 13_8 97% OTU </w:t>
      </w:r>
      <w:r w:rsidR="000F4F31" w:rsidRPr="00E6244E">
        <w:rPr>
          <w:rFonts w:ascii="Century" w:hAnsi="Century"/>
          <w:sz w:val="20"/>
          <w:szCs w:val="20"/>
        </w:rPr>
        <w:t xml:space="preserve">Representative Sequences Database </w:t>
      </w:r>
      <w:r w:rsidR="00DC76B2" w:rsidRPr="00E6244E">
        <w:rPr>
          <w:rFonts w:ascii="Century" w:hAnsi="Century"/>
          <w:sz w:val="20"/>
          <w:szCs w:val="20"/>
        </w:rPr>
        <w:fldChar w:fldCharType="begin" w:fldLock="1"/>
      </w:r>
      <w:r w:rsidR="007319D5" w:rsidRPr="00E6244E">
        <w:rPr>
          <w:rFonts w:ascii="Century" w:hAnsi="Century"/>
          <w:sz w:val="20"/>
          <w:szCs w:val="20"/>
        </w:rPr>
        <w:instrText>ADDIN CSL_CITATION { "citationItems" : [ { "id" : "ITEM-1", "itemData" : { "DOI" : "10.1128/AEM.03006-05", "ISSN" : "0099-2240", "PMID" : "16820507", "abstract" : "A 16S rRNA gene database (http://greengenes.lbl.gov) addresses limitations of public repositories by providing chimera screening, standard alignment, and taxonomic classification using multiple published taxonomies. It was found that there is incongruent taxonomic nomenclature among curators even at the phylum level. Putative chimeras were identified in 3% of environmental sequences and in 0.2% of records derived from isolates. Environmental sequences were classified into 100 phylum-level lineages in the Archaea and Bacteria.", "author" : [ { "dropping-particle" : "", "family" : "DeSantis", "given" : "T Z", "non-dropping-particle" : "", "parse-names" : false, "suffix" : "" }, { "dropping-particle" : "", "family" : "Hugenholtz", "given" : "P", "non-dropping-particle" : "", "parse-names" : false, "suffix" : "" }, { "dropping-particle" : "", "family" : "Larsen", "given" : "N", "non-dropping-particle" : "", "parse-names" : false, "suffix" : "" }, { "dropping-particle" : "", "family" : "Rojas", "given" : "M", "non-dropping-particle" : "", "parse-names" : false, "suffix" : "" }, { "dropping-particle" : "", "family" : "Brodie", "given" : "E L", "non-dropping-particle" : "", "parse-names" : false, "suffix" : "" }, { "dropping-particle" : "", "family" : "Keller", "given" : "K", "non-dropping-particle" : "", "parse-names" : false, "suffix" : "" }, { "dropping-particle" : "", "family" : "Huber", "given" : "T", "non-dropping-particle" : "", "parse-names" : false, "suffix" : "" }, { "dropping-particle" : "", "family" : "Dalevi", "given" : "D", "non-dropping-particle" : "", "parse-names" : false, "suffix" : "" }, { "dropping-particle" : "", "family" : "Hu", "given" : "P", "non-dropping-particle" : "", "parse-names" : false, "suffix" : "" }, { "dropping-particle" : "", "family" : "Andersen", "given" : "G L", "non-dropping-particle" : "", "parse-names" : false, "suffix" : "" } ], "container-title" : "Applied and environmental microbiology", "id" : "ITEM-1", "issue" : "7", "issued" : { "date-parts" : [ [ "2006", "7" ] ] }, "note" : "GreenGenes \u51fa\u5178", "page" : "5069-72", "title" : "Greengenes, a chimera-checked 16S rRNA gene database and workbench compatible with ARB.", "type" : "article-journal", "volume" : "72" }, "uris" : [ "http://www.mendeley.com/documents/?uuid=dee099da-786c-49fd-9a6c-210ba10e2bc3" ] } ], "mendeley" : { "formattedCitation" : "[7]", "plainTextFormattedCitation" : "[7]", "previouslyFormattedCitation" : "[7]" }, "properties" : { "noteIndex" : 0 }, "schema" : "https://github.com/citation-style-language/schema/raw/master/csl-citation.json" }</w:instrText>
      </w:r>
      <w:r w:rsidR="00DC76B2" w:rsidRPr="00E6244E">
        <w:rPr>
          <w:rFonts w:ascii="Century" w:hAnsi="Century"/>
          <w:sz w:val="20"/>
          <w:szCs w:val="20"/>
        </w:rPr>
        <w:fldChar w:fldCharType="separate"/>
      </w:r>
      <w:r w:rsidR="007319D5" w:rsidRPr="00E6244E">
        <w:rPr>
          <w:rFonts w:ascii="Century" w:hAnsi="Century"/>
          <w:noProof/>
          <w:sz w:val="20"/>
          <w:szCs w:val="20"/>
        </w:rPr>
        <w:t>[7]</w:t>
      </w:r>
      <w:r w:rsidR="00DC76B2" w:rsidRPr="00E6244E">
        <w:rPr>
          <w:rFonts w:ascii="Century" w:hAnsi="Century"/>
          <w:sz w:val="20"/>
          <w:szCs w:val="20"/>
        </w:rPr>
        <w:fldChar w:fldCharType="end"/>
      </w:r>
      <w:r w:rsidR="00926414" w:rsidRPr="00E6244E">
        <w:rPr>
          <w:rFonts w:ascii="Century" w:hAnsi="Century"/>
          <w:sz w:val="20"/>
          <w:szCs w:val="20"/>
        </w:rPr>
        <w:t xml:space="preserve">. </w:t>
      </w:r>
      <w:r w:rsidR="00832617" w:rsidRPr="00E6244E">
        <w:rPr>
          <w:rFonts w:ascii="Century" w:hAnsi="Century"/>
          <w:sz w:val="20"/>
          <w:szCs w:val="20"/>
        </w:rPr>
        <w:t>A</w:t>
      </w:r>
      <w:r w:rsidR="00AD35E9" w:rsidRPr="00E6244E">
        <w:rPr>
          <w:rFonts w:ascii="Century" w:hAnsi="Century"/>
          <w:sz w:val="20"/>
          <w:szCs w:val="20"/>
        </w:rPr>
        <w:t>n</w:t>
      </w:r>
      <w:r w:rsidR="00FC3CED" w:rsidRPr="00E6244E">
        <w:rPr>
          <w:rFonts w:ascii="Century" w:hAnsi="Century"/>
          <w:sz w:val="20"/>
          <w:szCs w:val="20"/>
        </w:rPr>
        <w:t xml:space="preserve"> </w:t>
      </w:r>
      <w:r w:rsidR="00926414" w:rsidRPr="00E6244E">
        <w:rPr>
          <w:rFonts w:ascii="Century" w:hAnsi="Century"/>
          <w:sz w:val="20"/>
          <w:szCs w:val="20"/>
        </w:rPr>
        <w:t xml:space="preserve">OTU table was constructed </w:t>
      </w:r>
      <w:r w:rsidR="00FC3CED" w:rsidRPr="00E6244E">
        <w:rPr>
          <w:rFonts w:ascii="Century" w:hAnsi="Century"/>
          <w:sz w:val="20"/>
          <w:szCs w:val="20"/>
        </w:rPr>
        <w:t>with the</w:t>
      </w:r>
      <w:r w:rsidR="00FC3CED" w:rsidRPr="00E6244E">
        <w:rPr>
          <w:rFonts w:ascii="Century" w:hAnsi="Century"/>
        </w:rPr>
        <w:t xml:space="preserve"> </w:t>
      </w:r>
      <w:r w:rsidR="00926414" w:rsidRPr="00E6244E">
        <w:rPr>
          <w:rFonts w:ascii="Century" w:hAnsi="Century"/>
          <w:sz w:val="20"/>
          <w:szCs w:val="20"/>
        </w:rPr>
        <w:t>make_otu_table.py</w:t>
      </w:r>
      <w:r w:rsidR="009E4A17" w:rsidRPr="00E6244E">
        <w:rPr>
          <w:rFonts w:ascii="Century" w:hAnsi="Century"/>
          <w:sz w:val="20"/>
          <w:szCs w:val="20"/>
        </w:rPr>
        <w:t xml:space="preserve"> script</w:t>
      </w:r>
      <w:r w:rsidR="00926414" w:rsidRPr="00E6244E">
        <w:rPr>
          <w:rFonts w:ascii="Century" w:hAnsi="Century"/>
          <w:sz w:val="20"/>
          <w:szCs w:val="20"/>
        </w:rPr>
        <w:t>.</w:t>
      </w:r>
      <w:r w:rsidRPr="00E6244E">
        <w:rPr>
          <w:rFonts w:ascii="Century" w:hAnsi="Century"/>
          <w:sz w:val="20"/>
          <w:szCs w:val="20"/>
        </w:rPr>
        <w:t xml:space="preserve"> </w:t>
      </w:r>
      <w:r w:rsidR="001816C0" w:rsidRPr="00E6244E">
        <w:rPr>
          <w:rFonts w:ascii="Century" w:hAnsi="Century"/>
          <w:sz w:val="20"/>
          <w:szCs w:val="20"/>
        </w:rPr>
        <w:t>For detailed species identification, t</w:t>
      </w:r>
      <w:r w:rsidRPr="00E6244E">
        <w:rPr>
          <w:rFonts w:ascii="Century" w:hAnsi="Century"/>
          <w:sz w:val="20"/>
          <w:szCs w:val="20"/>
        </w:rPr>
        <w:t>he representative sequences for each OTU wer</w:t>
      </w:r>
      <w:r w:rsidR="00995375" w:rsidRPr="00E6244E">
        <w:rPr>
          <w:rFonts w:ascii="Century" w:hAnsi="Century"/>
          <w:sz w:val="20"/>
          <w:szCs w:val="20"/>
        </w:rPr>
        <w:t xml:space="preserve">e identified </w:t>
      </w:r>
      <w:r w:rsidR="00FC3CED" w:rsidRPr="00E6244E">
        <w:rPr>
          <w:rFonts w:ascii="Century" w:hAnsi="Century"/>
          <w:sz w:val="20"/>
          <w:szCs w:val="20"/>
        </w:rPr>
        <w:t xml:space="preserve">by means of a </w:t>
      </w:r>
      <w:r w:rsidR="00AD35E9" w:rsidRPr="00E6244E">
        <w:rPr>
          <w:rFonts w:ascii="Century" w:hAnsi="Century"/>
          <w:color w:val="000000" w:themeColor="text1"/>
          <w:sz w:val="20"/>
          <w:szCs w:val="20"/>
        </w:rPr>
        <w:t xml:space="preserve">Basic Local Alignment Search Tool (BLAST) </w:t>
      </w:r>
      <w:r w:rsidRPr="00E6244E">
        <w:rPr>
          <w:rFonts w:ascii="Century" w:hAnsi="Century"/>
          <w:sz w:val="20"/>
          <w:szCs w:val="20"/>
        </w:rPr>
        <w:t>v2.2.29</w:t>
      </w:r>
      <w:r w:rsidR="00E6244E">
        <w:rPr>
          <w:rFonts w:ascii="Century" w:hAnsi="Century"/>
          <w:sz w:val="20"/>
          <w:szCs w:val="20"/>
        </w:rPr>
        <w:t>+</w:t>
      </w:r>
      <w:r w:rsidRPr="00E6244E">
        <w:rPr>
          <w:rFonts w:ascii="Century" w:hAnsi="Century"/>
          <w:sz w:val="20"/>
          <w:szCs w:val="20"/>
        </w:rPr>
        <w:t xml:space="preserve"> against the All-Species Living Tree databases (</w:t>
      </w:r>
      <w:r w:rsidR="00AD35E9" w:rsidRPr="00E6244E">
        <w:rPr>
          <w:rFonts w:ascii="Century" w:hAnsi="Century"/>
          <w:sz w:val="20"/>
          <w:szCs w:val="20"/>
        </w:rPr>
        <w:t>release LTP</w:t>
      </w:r>
      <w:r w:rsidRPr="00E6244E">
        <w:rPr>
          <w:rFonts w:ascii="Century" w:hAnsi="Century"/>
          <w:sz w:val="20"/>
          <w:szCs w:val="20"/>
        </w:rPr>
        <w:t>119)</w:t>
      </w:r>
      <w:r w:rsidR="00FC3CED" w:rsidRPr="00E6244E">
        <w:rPr>
          <w:rFonts w:ascii="Century" w:hAnsi="Century"/>
          <w:sz w:val="20"/>
          <w:szCs w:val="20"/>
        </w:rPr>
        <w:t xml:space="preserve"> </w:t>
      </w:r>
      <w:r w:rsidR="00DC76B2" w:rsidRPr="00E6244E">
        <w:rPr>
          <w:rFonts w:ascii="Century" w:hAnsi="Century"/>
          <w:sz w:val="20"/>
          <w:szCs w:val="20"/>
        </w:rPr>
        <w:fldChar w:fldCharType="begin" w:fldLock="1"/>
      </w:r>
      <w:r w:rsidR="007319D5" w:rsidRPr="00E6244E">
        <w:rPr>
          <w:rFonts w:ascii="Century" w:hAnsi="Century"/>
          <w:sz w:val="20"/>
          <w:szCs w:val="20"/>
        </w:rPr>
        <w:instrText>ADDIN CSL_CITATION { "citationItems" : [ { "id" : "ITEM-1", "itemData" : { "DOI" : "10.1093/nar/gks1219", "ISSN" : "1362-4962", "PMID" : "23193283", "abstract" : "SILVA (from Latin silva, forest, http://www.arb-silva.de) is a comprehensive web resource for up to date, quality-controlled databases of aligned ribosomal RNA (rRNA) gene sequences from the Bacteria, Archaea and Eukaryota domains and supplementary online services. The referred database release 111 (July 2012) contains 3 194 778 small subunit and 288 717 large subunit rRNA gene sequences. Since the initial description of the project, substantial new features have been introduced, including advanced quality control procedures, an improved rRNA gene aligner, online tools for probe and primer evaluation and optimized browsing, searching and downloading on the website. Furthermore, the extensively curated SILVA taxonomy and the new non-redundant SILVA datasets provide an ideal reference for high-throughput classification of data from next-generation sequencing approaches.", "author" : [ { "dropping-particle" : "", "family" : "Quast", "given" : "Christian", "non-dropping-particle" : "", "parse-names" : false, "suffix" : "" }, { "dropping-particle" : "", "family" : "Pruesse", "given" : "Elmar", "non-dropping-particle" : "", "parse-names" : false, "suffix" : "" }, { "dropping-particle" : "", "family" : "Yilmaz", "given" : "Pelin", "non-dropping-particle" : "", "parse-names" : false, "suffix" : "" }, { "dropping-particle" : "", "family" : "Gerken", "given" : "Jan", "non-dropping-particle" : "", "parse-names" : false, "suffix" : "" }, { "dropping-particle" : "", "family" : "Schweer", "given" : "Timmy", "non-dropping-particle" : "", "parse-names" : false, "suffix" : "" }, { "dropping-particle" : "", "family" : "Yarza", "given" : "Pablo", "non-dropping-particle" : "", "parse-names" : false, "suffix" : "" }, { "dropping-particle" : "", "family" : "Peplies", "given" : "J\u00f6rg", "non-dropping-particle" : "", "parse-names" : false, "suffix" : "" }, { "dropping-particle" : "", "family" : "Gl\u00f6ckner", "given" : "Frank Oliver", "non-dropping-particle" : "", "parse-names" : false, "suffix" : "" } ], "container-title" : "Nucleic acids research", "id" : "ITEM-1", "issue" : "Database issue", "issued" : { "date-parts" : [ [ "2013", "1", "1" ] ] }, "note" : "SILVA \u51fa\u5178", "page" : "D590-6", "title" : "The SILVA ribosomal RNA gene database project: improved data processing and web-based tools.", "type" : "article-journal", "volume" : "41" }, "uris" : [ "http://www.mendeley.com/documents/?uuid=e221831c-0df9-425b-9121-32a24d6c3afa" ] } ], "mendeley" : { "formattedCitation" : "[8]", "plainTextFormattedCitation" : "[8]", "previouslyFormattedCitation" : "[8]" }, "properties" : { "noteIndex" : 0 }, "schema" : "https://github.com/citation-style-language/schema/raw/master/csl-citation.json" }</w:instrText>
      </w:r>
      <w:r w:rsidR="00DC76B2" w:rsidRPr="00E6244E">
        <w:rPr>
          <w:rFonts w:ascii="Century" w:hAnsi="Century"/>
          <w:sz w:val="20"/>
          <w:szCs w:val="20"/>
        </w:rPr>
        <w:fldChar w:fldCharType="separate"/>
      </w:r>
      <w:r w:rsidR="007319D5" w:rsidRPr="00E6244E">
        <w:rPr>
          <w:rFonts w:ascii="Century" w:hAnsi="Century"/>
          <w:noProof/>
          <w:sz w:val="20"/>
          <w:szCs w:val="20"/>
        </w:rPr>
        <w:t>[8]</w:t>
      </w:r>
      <w:r w:rsidR="00DC76B2" w:rsidRPr="00E6244E">
        <w:rPr>
          <w:rFonts w:ascii="Century" w:hAnsi="Century"/>
          <w:sz w:val="20"/>
          <w:szCs w:val="20"/>
        </w:rPr>
        <w:fldChar w:fldCharType="end"/>
      </w:r>
      <w:r w:rsidR="00A7743F" w:rsidRPr="00E6244E">
        <w:rPr>
          <w:rFonts w:ascii="Century" w:hAnsi="Century"/>
          <w:sz w:val="20"/>
          <w:szCs w:val="20"/>
        </w:rPr>
        <w:t>,</w:t>
      </w:r>
      <w:r w:rsidR="001816C0" w:rsidRPr="00E6244E">
        <w:rPr>
          <w:rFonts w:ascii="Century" w:hAnsi="Century"/>
          <w:sz w:val="20"/>
          <w:szCs w:val="20"/>
        </w:rPr>
        <w:t xml:space="preserve"> with the threshold </w:t>
      </w:r>
      <w:r w:rsidR="00AD35E9" w:rsidRPr="00E6244E">
        <w:rPr>
          <w:rFonts w:ascii="Century" w:hAnsi="Century"/>
          <w:sz w:val="20"/>
          <w:szCs w:val="20"/>
        </w:rPr>
        <w:t xml:space="preserve">for </w:t>
      </w:r>
      <w:r w:rsidR="001816C0" w:rsidRPr="00E6244E">
        <w:rPr>
          <w:rFonts w:ascii="Century" w:hAnsi="Century"/>
          <w:sz w:val="20"/>
          <w:szCs w:val="20"/>
        </w:rPr>
        <w:t xml:space="preserve">sequence identity </w:t>
      </w:r>
      <w:r w:rsidR="00FC3CED" w:rsidRPr="00E6244E">
        <w:rPr>
          <w:rFonts w:ascii="Century" w:hAnsi="Century"/>
          <w:sz w:val="20"/>
          <w:szCs w:val="20"/>
        </w:rPr>
        <w:t xml:space="preserve">set </w:t>
      </w:r>
      <w:r w:rsidR="001816C0" w:rsidRPr="00E6244E">
        <w:rPr>
          <w:rFonts w:ascii="Century" w:hAnsi="Century"/>
          <w:sz w:val="20"/>
          <w:szCs w:val="20"/>
        </w:rPr>
        <w:t>at 97%</w:t>
      </w:r>
      <w:r w:rsidRPr="00E6244E">
        <w:rPr>
          <w:rFonts w:ascii="Century" w:hAnsi="Century"/>
          <w:sz w:val="20"/>
          <w:szCs w:val="20"/>
        </w:rPr>
        <w:t>.</w:t>
      </w:r>
      <w:r w:rsidR="00C864D0" w:rsidRPr="00E6244E">
        <w:rPr>
          <w:rFonts w:ascii="Century" w:hAnsi="Century"/>
          <w:sz w:val="20"/>
          <w:szCs w:val="20"/>
        </w:rPr>
        <w:t xml:space="preserve"> To determine the </w:t>
      </w:r>
      <w:r w:rsidR="004935D8" w:rsidRPr="00E6244E">
        <w:rPr>
          <w:rFonts w:ascii="Century" w:hAnsi="Century"/>
          <w:sz w:val="20"/>
          <w:szCs w:val="20"/>
        </w:rPr>
        <w:t xml:space="preserve">alpha diversity, 4114 representative reads </w:t>
      </w:r>
      <w:r w:rsidR="001C750B" w:rsidRPr="00E6244E">
        <w:rPr>
          <w:rFonts w:ascii="Century" w:hAnsi="Century"/>
          <w:sz w:val="20"/>
          <w:szCs w:val="20"/>
        </w:rPr>
        <w:t xml:space="preserve">were </w:t>
      </w:r>
      <w:r w:rsidR="004935D8" w:rsidRPr="00E6244E">
        <w:rPr>
          <w:rFonts w:ascii="Century" w:hAnsi="Century"/>
          <w:sz w:val="20"/>
          <w:szCs w:val="20"/>
        </w:rPr>
        <w:t xml:space="preserve">randomly selected for each sample </w:t>
      </w:r>
      <w:r w:rsidR="001C750B" w:rsidRPr="00E6244E">
        <w:rPr>
          <w:rFonts w:ascii="Century" w:hAnsi="Century"/>
          <w:sz w:val="20"/>
          <w:szCs w:val="20"/>
        </w:rPr>
        <w:t>and the alpha_rarefaction.py script was</w:t>
      </w:r>
      <w:r w:rsidR="00712D39" w:rsidRPr="00E6244E">
        <w:rPr>
          <w:rFonts w:ascii="Century" w:hAnsi="Century"/>
          <w:sz w:val="20"/>
          <w:szCs w:val="20"/>
        </w:rPr>
        <w:t xml:space="preserve"> used to calculate </w:t>
      </w:r>
      <w:r w:rsidR="00832617" w:rsidRPr="00E6244E">
        <w:rPr>
          <w:rFonts w:ascii="Century" w:hAnsi="Century"/>
          <w:sz w:val="20"/>
          <w:szCs w:val="20"/>
        </w:rPr>
        <w:t xml:space="preserve">the </w:t>
      </w:r>
      <w:r w:rsidR="00712D39" w:rsidRPr="00E6244E">
        <w:rPr>
          <w:rFonts w:ascii="Century" w:hAnsi="Century"/>
          <w:sz w:val="20"/>
          <w:szCs w:val="20"/>
        </w:rPr>
        <w:t xml:space="preserve">chao1 </w:t>
      </w:r>
      <w:r w:rsidR="00832617" w:rsidRPr="00E6244E">
        <w:rPr>
          <w:rFonts w:ascii="Century" w:hAnsi="Century"/>
          <w:sz w:val="20"/>
          <w:szCs w:val="20"/>
        </w:rPr>
        <w:t xml:space="preserve">index </w:t>
      </w:r>
      <w:r w:rsidR="00DC76B2" w:rsidRPr="00E6244E">
        <w:rPr>
          <w:rFonts w:ascii="Century" w:hAnsi="Century"/>
          <w:sz w:val="20"/>
          <w:szCs w:val="20"/>
        </w:rPr>
        <w:fldChar w:fldCharType="begin" w:fldLock="1"/>
      </w:r>
      <w:r w:rsidR="007319D5" w:rsidRPr="00E6244E">
        <w:rPr>
          <w:rFonts w:ascii="Century" w:hAnsi="Century"/>
          <w:sz w:val="20"/>
          <w:szCs w:val="20"/>
        </w:rPr>
        <w:instrText>ADDIN CSL_CITATION { "citationItems" : [ { "id" : "ITEM-1", "itemData" : { "author" : [ { "dropping-particle" : "", "family" : "Chao", "given" : "A", "non-dropping-particle" : "", "parse-names" : false, "suffix" : "" } ], "container-title" : "Scandinavian Journal of statistics", "id" : "ITEM-1", "issued" : { "date-parts" : [ [ "1984" ] ] }, "note" : "Chao1 index \u51fa\u5c55", "page" : "265-270", "title" : "Nonparametric estimation of the number of classes in population", "type" : "article-journal", "volume" : "11" }, "uris" : [ "http://www.mendeley.com/documents/?uuid=8d4f64db-a524-4b68-bbd1-79942ea2633a" ] } ], "mendeley" : { "formattedCitation" : "[9]", "plainTextFormattedCitation" : "[9]", "previouslyFormattedCitation" : "[9]" }, "properties" : { "noteIndex" : 0 }, "schema" : "https://github.com/citation-style-language/schema/raw/master/csl-citation.json" }</w:instrText>
      </w:r>
      <w:r w:rsidR="00DC76B2" w:rsidRPr="00E6244E">
        <w:rPr>
          <w:rFonts w:ascii="Century" w:hAnsi="Century"/>
          <w:sz w:val="20"/>
          <w:szCs w:val="20"/>
        </w:rPr>
        <w:fldChar w:fldCharType="separate"/>
      </w:r>
      <w:r w:rsidR="007319D5" w:rsidRPr="00E6244E">
        <w:rPr>
          <w:rFonts w:ascii="Century" w:hAnsi="Century"/>
          <w:noProof/>
          <w:sz w:val="20"/>
          <w:szCs w:val="20"/>
        </w:rPr>
        <w:t>[9]</w:t>
      </w:r>
      <w:r w:rsidR="00DC76B2" w:rsidRPr="00E6244E">
        <w:rPr>
          <w:rFonts w:ascii="Century" w:hAnsi="Century"/>
          <w:sz w:val="20"/>
          <w:szCs w:val="20"/>
        </w:rPr>
        <w:fldChar w:fldCharType="end"/>
      </w:r>
      <w:r w:rsidR="00712D39" w:rsidRPr="00E6244E">
        <w:rPr>
          <w:rFonts w:ascii="Century" w:hAnsi="Century"/>
          <w:sz w:val="20"/>
          <w:szCs w:val="20"/>
        </w:rPr>
        <w:t xml:space="preserve">, Shannon </w:t>
      </w:r>
      <w:r w:rsidR="00832617" w:rsidRPr="00E6244E">
        <w:rPr>
          <w:rFonts w:ascii="Century" w:hAnsi="Century"/>
          <w:sz w:val="20"/>
          <w:szCs w:val="20"/>
        </w:rPr>
        <w:t xml:space="preserve">index </w:t>
      </w:r>
      <w:r w:rsidR="00DC76B2" w:rsidRPr="00E6244E">
        <w:rPr>
          <w:rFonts w:ascii="Century" w:hAnsi="Century"/>
          <w:sz w:val="20"/>
          <w:szCs w:val="20"/>
        </w:rPr>
        <w:fldChar w:fldCharType="begin" w:fldLock="1"/>
      </w:r>
      <w:r w:rsidR="007319D5" w:rsidRPr="00E6244E">
        <w:rPr>
          <w:rFonts w:ascii="Century" w:hAnsi="Century"/>
          <w:sz w:val="20"/>
          <w:szCs w:val="20"/>
        </w:rPr>
        <w:instrText>ADDIN CSL_CITATION { "citationItems" : [ { "id" : "ITEM-1", "itemData" : { "ISSN" : "0724-6811", "PMID" : "9230594", "author" : [ { "dropping-particle" : "", "family" : "Shannon", "given" : "C E", "non-dropping-particle" : "", "parse-names" : false, "suffix" : "" } ], "container-title" : "The Bell System Technical Journal", "id" : "ITEM-1", "issued" : { "date-parts" : [ [ "1948", "1" ] ] }, "note" : "Shannon index \u51fa\u5178", "page" : "623-656", "title" : "The mathematical theory of communication.", "type" : "article-journal", "volume" : "27" }, "uris" : [ "http://www.mendeley.com/documents/?uuid=15a1ed45-dfb8-437f-93f3-3e48ab4134b8" ] } ], "mendeley" : { "formattedCitation" : "[10]", "plainTextFormattedCitation" : "[10]", "previouslyFormattedCitation" : "[10]" }, "properties" : { "noteIndex" : 0 }, "schema" : "https://github.com/citation-style-language/schema/raw/master/csl-citation.json" }</w:instrText>
      </w:r>
      <w:r w:rsidR="00DC76B2" w:rsidRPr="00E6244E">
        <w:rPr>
          <w:rFonts w:ascii="Century" w:hAnsi="Century"/>
          <w:sz w:val="20"/>
          <w:szCs w:val="20"/>
        </w:rPr>
        <w:fldChar w:fldCharType="separate"/>
      </w:r>
      <w:r w:rsidR="007319D5" w:rsidRPr="00E6244E">
        <w:rPr>
          <w:rFonts w:ascii="Century" w:hAnsi="Century"/>
          <w:noProof/>
          <w:sz w:val="20"/>
          <w:szCs w:val="20"/>
        </w:rPr>
        <w:t>[10]</w:t>
      </w:r>
      <w:r w:rsidR="00DC76B2" w:rsidRPr="00E6244E">
        <w:rPr>
          <w:rFonts w:ascii="Century" w:hAnsi="Century"/>
          <w:sz w:val="20"/>
          <w:szCs w:val="20"/>
        </w:rPr>
        <w:fldChar w:fldCharType="end"/>
      </w:r>
      <w:r w:rsidR="00712D39" w:rsidRPr="00E6244E">
        <w:rPr>
          <w:rFonts w:ascii="Century" w:hAnsi="Century"/>
          <w:sz w:val="20"/>
          <w:szCs w:val="20"/>
        </w:rPr>
        <w:t>,</w:t>
      </w:r>
      <w:r w:rsidR="004935D8" w:rsidRPr="00E6244E">
        <w:rPr>
          <w:rFonts w:ascii="Century" w:hAnsi="Century"/>
          <w:sz w:val="20"/>
          <w:szCs w:val="20"/>
        </w:rPr>
        <w:t xml:space="preserve"> phylogenetic diversity </w:t>
      </w:r>
      <w:r w:rsidR="00DC76B2" w:rsidRPr="00E6244E">
        <w:rPr>
          <w:rFonts w:ascii="Century" w:hAnsi="Century"/>
          <w:sz w:val="20"/>
          <w:szCs w:val="20"/>
        </w:rPr>
        <w:fldChar w:fldCharType="begin" w:fldLock="1"/>
      </w:r>
      <w:r w:rsidR="007319D5" w:rsidRPr="00E6244E">
        <w:rPr>
          <w:rFonts w:ascii="Century" w:hAnsi="Century"/>
          <w:sz w:val="20"/>
          <w:szCs w:val="20"/>
        </w:rPr>
        <w:instrText>ADDIN CSL_CITATION { "citationItems" : [ { "id" : "ITEM-1", "itemData" : { "DOI" : "10.1016/0006-3207(92)91201-3", "ISSN" : "00063207", "abstract" : "Protecting biological diversity with limited resources may require placing conservation priorities on different taxa. A system of priorities that reflects the value of taxonomic diversity can be achieved by setting priorities such that the subset of taxa that is protected has maximum underlying feature diversity. Such feature diversity of taxon subsets is difficult to estimate directly, but can be predicted by the cladistic/phylogenetic relationships among the taxa. In this study, a simple measure of phylogenetic diversity is defined based on cladistic information. The measure of phylogenetic diversity, PD, is contrasted with a measure of taxic diversity recently developed by Vane-Wright et al. (Biol. Conserv., 55, 1991). In re-examining reserve-selection scenarios based on a phylogeny of bumble bees (Apidae), PD produces quite different priorities for species conservation, relative to taxic diversity. The potential application of PD at levels below that of the species is then illustrated using a mtDNA phylogeny for populations of crested newts Triturus cristatus. Calculation of PD for different population subsets shows that protection of populations at either of two extremes of the geographic range of the group can significantly increase the phylogenetic diversity that is protected.", "author" : [ { "dropping-particle" : "", "family" : "Faith", "given" : "Daniel P", "non-dropping-particle" : "", "parse-names" : false, "suffix" : "" } ], "container-title" : "Biological Conservation", "id" : "ITEM-1", "issue" : "1", "issued" : { "date-parts" : [ [ "1992", "1" ] ] }, "note" : "PD whole tree \u51fa\u5178", "page" : "1-10", "title" : "Conservation evaluation and phylogenetic diversity", "type" : "article-journal", "volume" : "61" }, "uris" : [ "http://www.mendeley.com/documents/?uuid=2af4865f-9c9a-4c02-899c-fd3e5d55e0c5" ] } ], "mendeley" : { "formattedCitation" : "[11]", "plainTextFormattedCitation" : "[11]", "previouslyFormattedCitation" : "[11]" }, "properties" : { "noteIndex" : 0 }, "schema" : "https://github.com/citation-style-language/schema/raw/master/csl-citation.json" }</w:instrText>
      </w:r>
      <w:r w:rsidR="00DC76B2" w:rsidRPr="00E6244E">
        <w:rPr>
          <w:rFonts w:ascii="Century" w:hAnsi="Century"/>
          <w:sz w:val="20"/>
          <w:szCs w:val="20"/>
        </w:rPr>
        <w:fldChar w:fldCharType="separate"/>
      </w:r>
      <w:r w:rsidR="007319D5" w:rsidRPr="00E6244E">
        <w:rPr>
          <w:rFonts w:ascii="Century" w:hAnsi="Century"/>
          <w:noProof/>
          <w:sz w:val="20"/>
          <w:szCs w:val="20"/>
        </w:rPr>
        <w:t>[11]</w:t>
      </w:r>
      <w:r w:rsidR="00DC76B2" w:rsidRPr="00E6244E">
        <w:rPr>
          <w:rFonts w:ascii="Century" w:hAnsi="Century"/>
          <w:sz w:val="20"/>
          <w:szCs w:val="20"/>
        </w:rPr>
        <w:fldChar w:fldCharType="end"/>
      </w:r>
      <w:r w:rsidR="00FC3CED" w:rsidRPr="00E6244E">
        <w:rPr>
          <w:rFonts w:ascii="Century" w:hAnsi="Century"/>
          <w:sz w:val="20"/>
          <w:szCs w:val="20"/>
        </w:rPr>
        <w:t>,</w:t>
      </w:r>
      <w:r w:rsidR="00712D39" w:rsidRPr="00E6244E">
        <w:rPr>
          <w:rFonts w:ascii="Century" w:hAnsi="Century"/>
          <w:sz w:val="20"/>
          <w:szCs w:val="20"/>
        </w:rPr>
        <w:t xml:space="preserve"> and </w:t>
      </w:r>
      <w:r w:rsidR="00FC3CED" w:rsidRPr="00E6244E">
        <w:rPr>
          <w:rFonts w:ascii="Century" w:hAnsi="Century"/>
          <w:sz w:val="20"/>
          <w:szCs w:val="20"/>
        </w:rPr>
        <w:t xml:space="preserve">Good’s </w:t>
      </w:r>
      <w:r w:rsidR="00712D39" w:rsidRPr="00E6244E">
        <w:rPr>
          <w:rFonts w:ascii="Century" w:hAnsi="Century"/>
          <w:sz w:val="20"/>
          <w:szCs w:val="20"/>
        </w:rPr>
        <w:t>coverage</w:t>
      </w:r>
      <w:r w:rsidR="006E7836">
        <w:rPr>
          <w:rFonts w:ascii="Century" w:hAnsi="Century"/>
          <w:sz w:val="20"/>
          <w:szCs w:val="20"/>
        </w:rPr>
        <w:t xml:space="preserve"> estimate</w:t>
      </w:r>
      <w:r w:rsidR="00567D97" w:rsidRPr="00E6244E">
        <w:rPr>
          <w:rFonts w:ascii="Century" w:hAnsi="Century"/>
          <w:sz w:val="20"/>
          <w:szCs w:val="20"/>
        </w:rPr>
        <w:t xml:space="preserve"> </w:t>
      </w:r>
      <w:r w:rsidR="00DC76B2" w:rsidRPr="00E6244E">
        <w:rPr>
          <w:rFonts w:ascii="Century" w:hAnsi="Century"/>
          <w:sz w:val="20"/>
          <w:szCs w:val="20"/>
        </w:rPr>
        <w:fldChar w:fldCharType="begin" w:fldLock="1"/>
      </w:r>
      <w:r w:rsidR="007319D5" w:rsidRPr="00E6244E">
        <w:rPr>
          <w:rFonts w:ascii="Century" w:hAnsi="Century"/>
          <w:sz w:val="20"/>
          <w:szCs w:val="20"/>
        </w:rPr>
        <w:instrText>ADDIN CSL_CITATION { "citationItems" : [ { "id" : "ITEM-1", "itemData" : { "author" : [ { "dropping-particle" : "", "family" : "Good", "given" : "IJ", "non-dropping-particle" : "", "parse-names" : false, "suffix" : "" } ], "container-title" : "Biometrika", "id" : "ITEM-1", "issue" : "3/4", "issued" : { "date-parts" : [ [ "1953" ] ] }, "note" : "Good&amp;#039;s coverage \u51fa\u5178", "page" : "237-264", "title" : "The population frequencies of species and the estimation of population parameters", "type" : "article-journal", "volume" : "40" }, "uris" : [ "http://www.mendeley.com/documents/?uuid=1d3795b7-ac41-474a-85a9-bbdb005168a4" ] } ], "mendeley" : { "formattedCitation" : "[12]", "plainTextFormattedCitation" : "[12]", "previouslyFormattedCitation" : "[12]" }, "properties" : { "noteIndex" : 0 }, "schema" : "https://github.com/citation-style-language/schema/raw/master/csl-citation.json" }</w:instrText>
      </w:r>
      <w:r w:rsidR="00DC76B2" w:rsidRPr="00E6244E">
        <w:rPr>
          <w:rFonts w:ascii="Century" w:hAnsi="Century"/>
          <w:sz w:val="20"/>
          <w:szCs w:val="20"/>
        </w:rPr>
        <w:fldChar w:fldCharType="separate"/>
      </w:r>
      <w:r w:rsidR="007319D5" w:rsidRPr="00E6244E">
        <w:rPr>
          <w:rFonts w:ascii="Century" w:hAnsi="Century"/>
          <w:noProof/>
          <w:sz w:val="20"/>
          <w:szCs w:val="20"/>
        </w:rPr>
        <w:t>[12]</w:t>
      </w:r>
      <w:r w:rsidR="00DC76B2" w:rsidRPr="00E6244E">
        <w:rPr>
          <w:rFonts w:ascii="Century" w:hAnsi="Century"/>
          <w:sz w:val="20"/>
          <w:szCs w:val="20"/>
        </w:rPr>
        <w:fldChar w:fldCharType="end"/>
      </w:r>
      <w:r w:rsidR="004935D8" w:rsidRPr="00E6244E">
        <w:rPr>
          <w:rFonts w:ascii="Century" w:hAnsi="Century"/>
          <w:sz w:val="20"/>
          <w:szCs w:val="20"/>
        </w:rPr>
        <w:t>.</w:t>
      </w:r>
    </w:p>
    <w:p w:rsidR="003B5A2F" w:rsidRPr="007E36B2" w:rsidRDefault="003B5A2F" w:rsidP="00386007">
      <w:pPr>
        <w:autoSpaceDE w:val="0"/>
        <w:autoSpaceDN w:val="0"/>
        <w:spacing w:line="480" w:lineRule="auto"/>
        <w:ind w:right="144"/>
        <w:jc w:val="both"/>
        <w:textAlignment w:val="bottom"/>
        <w:rPr>
          <w:rFonts w:ascii="Century"/>
          <w:sz w:val="20"/>
          <w:szCs w:val="20"/>
        </w:rPr>
      </w:pPr>
    </w:p>
    <w:p w:rsidR="00295A70" w:rsidRPr="003B5A2F" w:rsidRDefault="003B5A2F" w:rsidP="00386007">
      <w:pPr>
        <w:autoSpaceDE w:val="0"/>
        <w:autoSpaceDN w:val="0"/>
        <w:spacing w:line="480" w:lineRule="auto"/>
        <w:ind w:right="144"/>
        <w:textAlignment w:val="bottom"/>
        <w:outlineLvl w:val="0"/>
        <w:rPr>
          <w:rFonts w:ascii="Century" w:hAnsi="Century"/>
          <w:sz w:val="20"/>
          <w:szCs w:val="20"/>
          <w:u w:val="single"/>
        </w:rPr>
      </w:pPr>
      <w:r w:rsidRPr="003B5A2F">
        <w:rPr>
          <w:rFonts w:ascii="Century" w:hAnsi="Century"/>
          <w:sz w:val="20"/>
          <w:szCs w:val="20"/>
          <w:u w:val="single"/>
        </w:rPr>
        <w:t>References</w:t>
      </w:r>
    </w:p>
    <w:p w:rsidR="00736CD8" w:rsidRPr="00736CD8" w:rsidRDefault="00DC76B2" w:rsidP="00736CD8">
      <w:pPr>
        <w:widowControl w:val="0"/>
        <w:autoSpaceDE w:val="0"/>
        <w:autoSpaceDN w:val="0"/>
        <w:adjustRightInd w:val="0"/>
        <w:spacing w:line="480" w:lineRule="auto"/>
        <w:rPr>
          <w:rFonts w:ascii="Century" w:hAnsi="Century" w:cs="Times New Roman"/>
          <w:noProof/>
          <w:sz w:val="20"/>
          <w:szCs w:val="24"/>
        </w:rPr>
      </w:pPr>
      <w:r w:rsidRPr="001D57F5">
        <w:rPr>
          <w:rFonts w:ascii="Century" w:hAnsi="Century"/>
          <w:sz w:val="20"/>
          <w:szCs w:val="20"/>
        </w:rPr>
        <w:fldChar w:fldCharType="begin" w:fldLock="1"/>
      </w:r>
      <w:r w:rsidR="005011E2" w:rsidRPr="001D57F5">
        <w:rPr>
          <w:rFonts w:ascii="Century" w:hAnsi="Century"/>
          <w:sz w:val="20"/>
          <w:szCs w:val="20"/>
        </w:rPr>
        <w:instrText xml:space="preserve">ADDIN Mendeley Bibliography CSL_BIBLIOGRAPHY </w:instrText>
      </w:r>
      <w:r w:rsidRPr="001D57F5">
        <w:rPr>
          <w:rFonts w:ascii="Century" w:hAnsi="Century"/>
          <w:sz w:val="20"/>
          <w:szCs w:val="20"/>
        </w:rPr>
        <w:fldChar w:fldCharType="separate"/>
      </w:r>
      <w:r w:rsidR="00736CD8" w:rsidRPr="00736CD8">
        <w:rPr>
          <w:rFonts w:ascii="Century" w:hAnsi="Century" w:cs="Times New Roman"/>
          <w:noProof/>
          <w:sz w:val="20"/>
          <w:szCs w:val="24"/>
        </w:rPr>
        <w:t>1. Kato-Kataoka A, Nishida K, Takada M, Kawai M, Kikuchi-Hayakawa H, Suda K, et al. Fermented milk containing Lactobacillus casei strain Shirota preserves the diversity of the gut microbiota and relieves abdominal dysfunction in healthy medical students exposed to academic stress. Appl Environ Microbiol. 2016;AEM.04134</w:t>
      </w:r>
      <w:r w:rsidR="00736CD8">
        <w:rPr>
          <w:rFonts w:ascii="Century" w:hAnsi="Century" w:cs="Times New Roman"/>
          <w:noProof/>
          <w:sz w:val="20"/>
          <w:szCs w:val="24"/>
        </w:rPr>
        <w:t>-</w:t>
      </w:r>
      <w:r w:rsidR="00736CD8" w:rsidRPr="00736CD8">
        <w:rPr>
          <w:rFonts w:ascii="Century" w:hAnsi="Century" w:cs="Times New Roman"/>
          <w:noProof/>
          <w:sz w:val="20"/>
          <w:szCs w:val="24"/>
        </w:rPr>
        <w:t xml:space="preserve">15. </w:t>
      </w:r>
    </w:p>
    <w:p w:rsidR="00736CD8" w:rsidRPr="00736CD8" w:rsidRDefault="00736CD8" w:rsidP="00736CD8">
      <w:pPr>
        <w:widowControl w:val="0"/>
        <w:autoSpaceDE w:val="0"/>
        <w:autoSpaceDN w:val="0"/>
        <w:adjustRightInd w:val="0"/>
        <w:spacing w:line="480" w:lineRule="auto"/>
        <w:rPr>
          <w:rFonts w:ascii="Century" w:hAnsi="Century" w:cs="Times New Roman"/>
          <w:noProof/>
          <w:sz w:val="20"/>
          <w:szCs w:val="24"/>
        </w:rPr>
      </w:pPr>
      <w:r w:rsidRPr="00736CD8">
        <w:rPr>
          <w:rFonts w:ascii="Century" w:hAnsi="Century" w:cs="Times New Roman"/>
          <w:noProof/>
          <w:sz w:val="20"/>
          <w:szCs w:val="24"/>
        </w:rPr>
        <w:t xml:space="preserve">2. Kim SW, Suda W, Kim S, Oshima K, Fukuda S, Ohno H, et al. Robustness of gut microbiota of healthy adults in response to probiotic intervention revealed by high-throughput pyrosequencing. </w:t>
      </w:r>
      <w:r w:rsidRPr="00736CD8">
        <w:rPr>
          <w:rFonts w:ascii="Century" w:hAnsi="Century" w:cs="Times New Roman"/>
          <w:noProof/>
          <w:sz w:val="20"/>
          <w:szCs w:val="24"/>
        </w:rPr>
        <w:lastRenderedPageBreak/>
        <w:t>DNA Res. 2013;20:241</w:t>
      </w:r>
      <w:r>
        <w:rPr>
          <w:rFonts w:ascii="Century" w:hAnsi="Century" w:cs="Times New Roman"/>
          <w:noProof/>
          <w:sz w:val="20"/>
          <w:szCs w:val="24"/>
        </w:rPr>
        <w:t>-</w:t>
      </w:r>
      <w:r w:rsidRPr="00736CD8">
        <w:rPr>
          <w:rFonts w:ascii="Century" w:hAnsi="Century" w:cs="Times New Roman"/>
          <w:noProof/>
          <w:sz w:val="20"/>
          <w:szCs w:val="24"/>
        </w:rPr>
        <w:t xml:space="preserve">53. </w:t>
      </w:r>
    </w:p>
    <w:p w:rsidR="00736CD8" w:rsidRPr="00736CD8" w:rsidRDefault="00736CD8" w:rsidP="00736CD8">
      <w:pPr>
        <w:widowControl w:val="0"/>
        <w:autoSpaceDE w:val="0"/>
        <w:autoSpaceDN w:val="0"/>
        <w:adjustRightInd w:val="0"/>
        <w:spacing w:line="480" w:lineRule="auto"/>
        <w:rPr>
          <w:rFonts w:ascii="Century" w:hAnsi="Century" w:cs="Times New Roman"/>
          <w:noProof/>
          <w:sz w:val="20"/>
          <w:szCs w:val="24"/>
        </w:rPr>
      </w:pPr>
      <w:r w:rsidRPr="00736CD8">
        <w:rPr>
          <w:rFonts w:ascii="Century" w:hAnsi="Century" w:cs="Times New Roman"/>
          <w:noProof/>
          <w:sz w:val="20"/>
          <w:szCs w:val="24"/>
        </w:rPr>
        <w:t>3. Caporaso J, Kuczynski J, Stombaugh J, Bittinger K, Bushman F, Costello E, et al. QIIME allows analysis of high-throughput community sequencing data. Nat Methods. 2010;7:335</w:t>
      </w:r>
      <w:r>
        <w:rPr>
          <w:rFonts w:ascii="Century" w:hAnsi="Century" w:cs="Times New Roman"/>
          <w:noProof/>
          <w:sz w:val="20"/>
          <w:szCs w:val="24"/>
        </w:rPr>
        <w:t>-</w:t>
      </w:r>
      <w:r w:rsidRPr="00736CD8">
        <w:rPr>
          <w:rFonts w:ascii="Century" w:hAnsi="Century" w:cs="Times New Roman"/>
          <w:noProof/>
          <w:sz w:val="20"/>
          <w:szCs w:val="24"/>
        </w:rPr>
        <w:t xml:space="preserve">6. </w:t>
      </w:r>
    </w:p>
    <w:p w:rsidR="00736CD8" w:rsidRPr="00736CD8" w:rsidRDefault="00736CD8" w:rsidP="00736CD8">
      <w:pPr>
        <w:widowControl w:val="0"/>
        <w:autoSpaceDE w:val="0"/>
        <w:autoSpaceDN w:val="0"/>
        <w:adjustRightInd w:val="0"/>
        <w:spacing w:line="480" w:lineRule="auto"/>
        <w:rPr>
          <w:rFonts w:ascii="Century" w:hAnsi="Century" w:cs="Times New Roman"/>
          <w:noProof/>
          <w:sz w:val="20"/>
          <w:szCs w:val="24"/>
        </w:rPr>
      </w:pPr>
      <w:r w:rsidRPr="00736CD8">
        <w:rPr>
          <w:rFonts w:ascii="Century" w:hAnsi="Century" w:cs="Times New Roman"/>
          <w:noProof/>
          <w:sz w:val="20"/>
          <w:szCs w:val="24"/>
        </w:rPr>
        <w:t>4. Edgar RC. Search and clustering orders of magnitude faster than BLAST Robert C. Bioinforma Appl Note. 2010;26:2460</w:t>
      </w:r>
      <w:r>
        <w:rPr>
          <w:rFonts w:ascii="Century" w:hAnsi="Century" w:cs="Times New Roman"/>
          <w:noProof/>
          <w:sz w:val="20"/>
          <w:szCs w:val="24"/>
        </w:rPr>
        <w:t>-</w:t>
      </w:r>
      <w:r w:rsidRPr="00736CD8">
        <w:rPr>
          <w:rFonts w:ascii="Century" w:hAnsi="Century" w:cs="Times New Roman"/>
          <w:noProof/>
          <w:sz w:val="20"/>
          <w:szCs w:val="24"/>
        </w:rPr>
        <w:t xml:space="preserve">1. </w:t>
      </w:r>
    </w:p>
    <w:p w:rsidR="00736CD8" w:rsidRPr="00736CD8" w:rsidRDefault="00736CD8" w:rsidP="00736CD8">
      <w:pPr>
        <w:widowControl w:val="0"/>
        <w:autoSpaceDE w:val="0"/>
        <w:autoSpaceDN w:val="0"/>
        <w:adjustRightInd w:val="0"/>
        <w:spacing w:line="480" w:lineRule="auto"/>
        <w:rPr>
          <w:rFonts w:ascii="Century" w:hAnsi="Century" w:cs="Times New Roman"/>
          <w:noProof/>
          <w:sz w:val="20"/>
          <w:szCs w:val="24"/>
        </w:rPr>
      </w:pPr>
      <w:r w:rsidRPr="00736CD8">
        <w:rPr>
          <w:rFonts w:ascii="Century" w:hAnsi="Century" w:cs="Times New Roman"/>
          <w:noProof/>
          <w:sz w:val="20"/>
          <w:szCs w:val="24"/>
        </w:rPr>
        <w:t xml:space="preserve">5. Edgar RC. MUSCLE: a multiple sequence alignment method with reduced time and space complexity. BMC Bioinformatics. 2004;5:113. </w:t>
      </w:r>
    </w:p>
    <w:p w:rsidR="00736CD8" w:rsidRPr="005A672F" w:rsidRDefault="00736CD8" w:rsidP="00736CD8">
      <w:pPr>
        <w:widowControl w:val="0"/>
        <w:autoSpaceDE w:val="0"/>
        <w:autoSpaceDN w:val="0"/>
        <w:adjustRightInd w:val="0"/>
        <w:spacing w:line="480" w:lineRule="auto"/>
        <w:rPr>
          <w:rFonts w:ascii="Century" w:hAnsi="Century" w:cs="Times New Roman"/>
          <w:noProof/>
          <w:sz w:val="20"/>
          <w:szCs w:val="24"/>
        </w:rPr>
      </w:pPr>
      <w:r w:rsidRPr="00736CD8">
        <w:rPr>
          <w:rFonts w:ascii="Century" w:hAnsi="Century" w:cs="Times New Roman"/>
          <w:noProof/>
          <w:sz w:val="20"/>
          <w:szCs w:val="24"/>
        </w:rPr>
        <w:t xml:space="preserve">6. Cole JR, Chai B, Farris RJ, Wang Q, Kulam-Syed-Mohideen AS, McGarrell DM, et al. The ribosomal database project (RDP-II): introducing myRDP space and quality controlled public data. </w:t>
      </w:r>
      <w:r w:rsidRPr="005A672F">
        <w:rPr>
          <w:rFonts w:ascii="Century" w:hAnsi="Century" w:cs="Times New Roman"/>
          <w:noProof/>
          <w:sz w:val="20"/>
          <w:szCs w:val="24"/>
        </w:rPr>
        <w:t xml:space="preserve">Nucleic Acids Res. 2007;35:D169-72. </w:t>
      </w:r>
    </w:p>
    <w:p w:rsidR="00736CD8" w:rsidRPr="00736CD8" w:rsidRDefault="00736CD8" w:rsidP="00736CD8">
      <w:pPr>
        <w:widowControl w:val="0"/>
        <w:autoSpaceDE w:val="0"/>
        <w:autoSpaceDN w:val="0"/>
        <w:adjustRightInd w:val="0"/>
        <w:spacing w:line="480" w:lineRule="auto"/>
        <w:rPr>
          <w:rFonts w:ascii="Century" w:hAnsi="Century" w:cs="Times New Roman"/>
          <w:noProof/>
          <w:sz w:val="20"/>
          <w:szCs w:val="24"/>
        </w:rPr>
      </w:pPr>
      <w:r w:rsidRPr="005A672F">
        <w:rPr>
          <w:rFonts w:ascii="Century" w:hAnsi="Century" w:cs="Times New Roman"/>
          <w:noProof/>
          <w:sz w:val="20"/>
          <w:szCs w:val="24"/>
        </w:rPr>
        <w:t xml:space="preserve">7. DeSantis TZ, Hugenholtz P, Larsen N, Rojas M, Brodie EL, Keller K, et al. </w:t>
      </w:r>
      <w:r w:rsidRPr="00736CD8">
        <w:rPr>
          <w:rFonts w:ascii="Century" w:hAnsi="Century" w:cs="Times New Roman"/>
          <w:noProof/>
          <w:sz w:val="20"/>
          <w:szCs w:val="24"/>
        </w:rPr>
        <w:t>Greengenes, a chimera-checked 16S rRNA gene database and workbench compatible with ARB. Appl Environ Microbiol. 2006;72:5069</w:t>
      </w:r>
      <w:r>
        <w:rPr>
          <w:rFonts w:ascii="Century" w:hAnsi="Century" w:cs="Times New Roman"/>
          <w:noProof/>
          <w:sz w:val="20"/>
          <w:szCs w:val="24"/>
        </w:rPr>
        <w:t>-</w:t>
      </w:r>
      <w:r w:rsidRPr="00736CD8">
        <w:rPr>
          <w:rFonts w:ascii="Century" w:hAnsi="Century" w:cs="Times New Roman"/>
          <w:noProof/>
          <w:sz w:val="20"/>
          <w:szCs w:val="24"/>
        </w:rPr>
        <w:t xml:space="preserve">72. </w:t>
      </w:r>
    </w:p>
    <w:p w:rsidR="00736CD8" w:rsidRPr="00736CD8" w:rsidRDefault="00736CD8" w:rsidP="00736CD8">
      <w:pPr>
        <w:widowControl w:val="0"/>
        <w:autoSpaceDE w:val="0"/>
        <w:autoSpaceDN w:val="0"/>
        <w:adjustRightInd w:val="0"/>
        <w:spacing w:line="480" w:lineRule="auto"/>
        <w:rPr>
          <w:rFonts w:ascii="Century" w:hAnsi="Century" w:cs="Times New Roman"/>
          <w:noProof/>
          <w:sz w:val="20"/>
          <w:szCs w:val="24"/>
        </w:rPr>
      </w:pPr>
      <w:r w:rsidRPr="00736CD8">
        <w:rPr>
          <w:rFonts w:ascii="Century" w:hAnsi="Century" w:cs="Times New Roman"/>
          <w:noProof/>
          <w:sz w:val="20"/>
          <w:szCs w:val="24"/>
        </w:rPr>
        <w:t>8. Quast C, Pruesse E, Yilmaz P, Gerken J, Schweer T, Yarza P, et al. The SILVA ribosomal RNA gene database project: improved data processing and web-based tools. Nucleic Acids Res. 2013;41:D590</w:t>
      </w:r>
      <w:r>
        <w:rPr>
          <w:rFonts w:ascii="Century" w:hAnsi="Century" w:cs="Times New Roman"/>
          <w:noProof/>
          <w:sz w:val="20"/>
          <w:szCs w:val="24"/>
        </w:rPr>
        <w:t>-</w:t>
      </w:r>
      <w:r w:rsidRPr="00736CD8">
        <w:rPr>
          <w:rFonts w:ascii="Century" w:hAnsi="Century" w:cs="Times New Roman"/>
          <w:noProof/>
          <w:sz w:val="20"/>
          <w:szCs w:val="24"/>
        </w:rPr>
        <w:t xml:space="preserve">6. </w:t>
      </w:r>
    </w:p>
    <w:p w:rsidR="00736CD8" w:rsidRPr="00736CD8" w:rsidRDefault="00736CD8" w:rsidP="00736CD8">
      <w:pPr>
        <w:widowControl w:val="0"/>
        <w:autoSpaceDE w:val="0"/>
        <w:autoSpaceDN w:val="0"/>
        <w:adjustRightInd w:val="0"/>
        <w:spacing w:line="480" w:lineRule="auto"/>
        <w:rPr>
          <w:rFonts w:ascii="Century" w:hAnsi="Century" w:cs="Times New Roman"/>
          <w:noProof/>
          <w:sz w:val="20"/>
          <w:szCs w:val="24"/>
        </w:rPr>
      </w:pPr>
      <w:r w:rsidRPr="00736CD8">
        <w:rPr>
          <w:rFonts w:ascii="Century" w:hAnsi="Century" w:cs="Times New Roman"/>
          <w:noProof/>
          <w:sz w:val="20"/>
          <w:szCs w:val="24"/>
        </w:rPr>
        <w:t>9. Chao A. Nonparametric estimation of the number of classes in population. Scand J Stat. 1984;11:265</w:t>
      </w:r>
      <w:r>
        <w:rPr>
          <w:rFonts w:ascii="Century" w:hAnsi="Century" w:cs="Times New Roman"/>
          <w:noProof/>
          <w:sz w:val="20"/>
          <w:szCs w:val="24"/>
        </w:rPr>
        <w:t>-</w:t>
      </w:r>
      <w:r w:rsidRPr="00736CD8">
        <w:rPr>
          <w:rFonts w:ascii="Century" w:hAnsi="Century" w:cs="Times New Roman"/>
          <w:noProof/>
          <w:sz w:val="20"/>
          <w:szCs w:val="24"/>
        </w:rPr>
        <w:t xml:space="preserve">70. </w:t>
      </w:r>
    </w:p>
    <w:p w:rsidR="00736CD8" w:rsidRPr="00736CD8" w:rsidRDefault="00736CD8" w:rsidP="00736CD8">
      <w:pPr>
        <w:widowControl w:val="0"/>
        <w:autoSpaceDE w:val="0"/>
        <w:autoSpaceDN w:val="0"/>
        <w:adjustRightInd w:val="0"/>
        <w:spacing w:line="480" w:lineRule="auto"/>
        <w:rPr>
          <w:rFonts w:ascii="Century" w:hAnsi="Century" w:cs="Times New Roman"/>
          <w:noProof/>
          <w:sz w:val="20"/>
          <w:szCs w:val="24"/>
        </w:rPr>
      </w:pPr>
      <w:r w:rsidRPr="00736CD8">
        <w:rPr>
          <w:rFonts w:ascii="Century" w:hAnsi="Century" w:cs="Times New Roman"/>
          <w:noProof/>
          <w:sz w:val="20"/>
          <w:szCs w:val="24"/>
        </w:rPr>
        <w:t>10. Shannon CE. The mathematical theory of communication. Bell Syst Tech J. 1948;27:623</w:t>
      </w:r>
      <w:r>
        <w:rPr>
          <w:rFonts w:ascii="Century" w:hAnsi="Century" w:cs="Times New Roman"/>
          <w:noProof/>
          <w:sz w:val="20"/>
          <w:szCs w:val="24"/>
        </w:rPr>
        <w:t>-</w:t>
      </w:r>
      <w:r w:rsidRPr="00736CD8">
        <w:rPr>
          <w:rFonts w:ascii="Century" w:hAnsi="Century" w:cs="Times New Roman"/>
          <w:noProof/>
          <w:sz w:val="20"/>
          <w:szCs w:val="24"/>
        </w:rPr>
        <w:t xml:space="preserve">56. </w:t>
      </w:r>
    </w:p>
    <w:p w:rsidR="00736CD8" w:rsidRPr="00736CD8" w:rsidRDefault="00736CD8" w:rsidP="00736CD8">
      <w:pPr>
        <w:widowControl w:val="0"/>
        <w:autoSpaceDE w:val="0"/>
        <w:autoSpaceDN w:val="0"/>
        <w:adjustRightInd w:val="0"/>
        <w:spacing w:line="480" w:lineRule="auto"/>
        <w:rPr>
          <w:rFonts w:ascii="Century" w:hAnsi="Century" w:cs="Times New Roman"/>
          <w:noProof/>
          <w:sz w:val="20"/>
          <w:szCs w:val="24"/>
        </w:rPr>
      </w:pPr>
      <w:r w:rsidRPr="00736CD8">
        <w:rPr>
          <w:rFonts w:ascii="Century" w:hAnsi="Century" w:cs="Times New Roman"/>
          <w:noProof/>
          <w:sz w:val="20"/>
          <w:szCs w:val="24"/>
        </w:rPr>
        <w:t>11. Faith DP. Conservation evaluation and phylogenetic diversity. Biol Conserv. 1992;61:1</w:t>
      </w:r>
      <w:r>
        <w:rPr>
          <w:rFonts w:ascii="Century" w:hAnsi="Century" w:cs="Times New Roman"/>
          <w:noProof/>
          <w:sz w:val="20"/>
          <w:szCs w:val="24"/>
        </w:rPr>
        <w:t>-</w:t>
      </w:r>
      <w:r w:rsidRPr="00736CD8">
        <w:rPr>
          <w:rFonts w:ascii="Century" w:hAnsi="Century" w:cs="Times New Roman"/>
          <w:noProof/>
          <w:sz w:val="20"/>
          <w:szCs w:val="24"/>
        </w:rPr>
        <w:t xml:space="preserve">10. </w:t>
      </w:r>
    </w:p>
    <w:p w:rsidR="00736CD8" w:rsidRPr="00736CD8" w:rsidRDefault="00736CD8" w:rsidP="00736CD8">
      <w:pPr>
        <w:widowControl w:val="0"/>
        <w:autoSpaceDE w:val="0"/>
        <w:autoSpaceDN w:val="0"/>
        <w:adjustRightInd w:val="0"/>
        <w:spacing w:line="480" w:lineRule="auto"/>
        <w:rPr>
          <w:rFonts w:ascii="Century" w:hAnsi="Century"/>
          <w:noProof/>
          <w:sz w:val="20"/>
        </w:rPr>
      </w:pPr>
      <w:r w:rsidRPr="00736CD8">
        <w:rPr>
          <w:rFonts w:ascii="Century" w:hAnsi="Century" w:cs="Times New Roman"/>
          <w:noProof/>
          <w:sz w:val="20"/>
          <w:szCs w:val="24"/>
        </w:rPr>
        <w:t>12. Good I. The population frequencies of species and the estimation of population parameters. Biometrika. 1953;40:237</w:t>
      </w:r>
      <w:r>
        <w:rPr>
          <w:rFonts w:ascii="Century" w:hAnsi="Century" w:cs="Times New Roman"/>
          <w:noProof/>
          <w:sz w:val="20"/>
          <w:szCs w:val="24"/>
        </w:rPr>
        <w:t>-</w:t>
      </w:r>
      <w:r w:rsidRPr="00736CD8">
        <w:rPr>
          <w:rFonts w:ascii="Century" w:hAnsi="Century" w:cs="Times New Roman"/>
          <w:noProof/>
          <w:sz w:val="20"/>
          <w:szCs w:val="24"/>
        </w:rPr>
        <w:t xml:space="preserve">64. </w:t>
      </w:r>
    </w:p>
    <w:p w:rsidR="00AA4791" w:rsidRPr="001D57F5" w:rsidRDefault="00DC76B2" w:rsidP="007319D5">
      <w:pPr>
        <w:pStyle w:val="NormalWeb"/>
        <w:spacing w:before="0" w:beforeAutospacing="0" w:after="0" w:afterAutospacing="0" w:line="480" w:lineRule="auto"/>
        <w:divId w:val="2100326682"/>
        <w:rPr>
          <w:rFonts w:ascii="Century" w:hAnsi="Century"/>
          <w:sz w:val="20"/>
          <w:szCs w:val="20"/>
        </w:rPr>
      </w:pPr>
      <w:r w:rsidRPr="001D57F5">
        <w:rPr>
          <w:rFonts w:ascii="Century" w:hAnsi="Century"/>
          <w:sz w:val="20"/>
          <w:szCs w:val="20"/>
        </w:rPr>
        <w:fldChar w:fldCharType="end"/>
      </w:r>
    </w:p>
    <w:sectPr w:rsidR="00AA4791" w:rsidRPr="001D57F5" w:rsidSect="004A75C0">
      <w:foot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9E9" w:rsidRDefault="009E19E9" w:rsidP="00E12F05">
      <w:r>
        <w:separator/>
      </w:r>
    </w:p>
  </w:endnote>
  <w:endnote w:type="continuationSeparator" w:id="0">
    <w:p w:rsidR="009E19E9" w:rsidRDefault="009E19E9" w:rsidP="00E12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PGothic">
    <w:panose1 w:val="020B0600070205080204"/>
    <w:charset w:val="80"/>
    <w:family w:val="swiss"/>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163232"/>
      <w:docPartObj>
        <w:docPartGallery w:val="Page Numbers (Bottom of Page)"/>
        <w:docPartUnique/>
      </w:docPartObj>
    </w:sdtPr>
    <w:sdtEndPr>
      <w:rPr>
        <w:noProof/>
      </w:rPr>
    </w:sdtEndPr>
    <w:sdtContent>
      <w:p w:rsidR="00E12F05" w:rsidRDefault="00DC76B2">
        <w:pPr>
          <w:pStyle w:val="Footer"/>
          <w:jc w:val="center"/>
        </w:pPr>
        <w:r>
          <w:fldChar w:fldCharType="begin"/>
        </w:r>
        <w:r w:rsidR="00E12F05">
          <w:instrText xml:space="preserve"> PAGE   \* MERGEFORMAT </w:instrText>
        </w:r>
        <w:r>
          <w:fldChar w:fldCharType="separate"/>
        </w:r>
        <w:r w:rsidR="004A75C0">
          <w:rPr>
            <w:noProof/>
          </w:rPr>
          <w:t>2</w:t>
        </w:r>
        <w:r>
          <w:rPr>
            <w:noProof/>
          </w:rPr>
          <w:fldChar w:fldCharType="end"/>
        </w:r>
      </w:p>
    </w:sdtContent>
  </w:sdt>
  <w:p w:rsidR="00E12F05" w:rsidRDefault="00E12F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9E9" w:rsidRDefault="009E19E9" w:rsidP="00E12F05">
      <w:r>
        <w:separator/>
      </w:r>
    </w:p>
  </w:footnote>
  <w:footnote w:type="continuationSeparator" w:id="0">
    <w:p w:rsidR="009E19E9" w:rsidRDefault="009E19E9" w:rsidP="00E12F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BE3E3F"/>
    <w:multiLevelType w:val="hybridMultilevel"/>
    <w:tmpl w:val="51D82C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944"/>
    <w:rsid w:val="000179C2"/>
    <w:rsid w:val="00043AEC"/>
    <w:rsid w:val="000641F2"/>
    <w:rsid w:val="000769D8"/>
    <w:rsid w:val="000959E0"/>
    <w:rsid w:val="000A178D"/>
    <w:rsid w:val="000B6507"/>
    <w:rsid w:val="000B76D3"/>
    <w:rsid w:val="000E286B"/>
    <w:rsid w:val="000E5B00"/>
    <w:rsid w:val="000E787E"/>
    <w:rsid w:val="000F4F31"/>
    <w:rsid w:val="00113B00"/>
    <w:rsid w:val="00117213"/>
    <w:rsid w:val="001366FD"/>
    <w:rsid w:val="00142021"/>
    <w:rsid w:val="00146C46"/>
    <w:rsid w:val="001816C0"/>
    <w:rsid w:val="001B563B"/>
    <w:rsid w:val="001B6604"/>
    <w:rsid w:val="001C554A"/>
    <w:rsid w:val="001C6571"/>
    <w:rsid w:val="001C750B"/>
    <w:rsid w:val="001D57F5"/>
    <w:rsid w:val="00214CDF"/>
    <w:rsid w:val="00236F3A"/>
    <w:rsid w:val="00262C14"/>
    <w:rsid w:val="00265E1A"/>
    <w:rsid w:val="00267ED5"/>
    <w:rsid w:val="00282313"/>
    <w:rsid w:val="00284698"/>
    <w:rsid w:val="002846F5"/>
    <w:rsid w:val="002872E1"/>
    <w:rsid w:val="00295A70"/>
    <w:rsid w:val="002A0248"/>
    <w:rsid w:val="002A2A84"/>
    <w:rsid w:val="002B67BB"/>
    <w:rsid w:val="002C0E2B"/>
    <w:rsid w:val="002C30FB"/>
    <w:rsid w:val="002D4C07"/>
    <w:rsid w:val="002D6FDB"/>
    <w:rsid w:val="00307DBB"/>
    <w:rsid w:val="00314FA1"/>
    <w:rsid w:val="00323098"/>
    <w:rsid w:val="00334F6C"/>
    <w:rsid w:val="00341A55"/>
    <w:rsid w:val="00353B70"/>
    <w:rsid w:val="0036439A"/>
    <w:rsid w:val="00366E8D"/>
    <w:rsid w:val="00371790"/>
    <w:rsid w:val="0037372B"/>
    <w:rsid w:val="003768FA"/>
    <w:rsid w:val="00380EE3"/>
    <w:rsid w:val="00386007"/>
    <w:rsid w:val="003A120D"/>
    <w:rsid w:val="003A221A"/>
    <w:rsid w:val="003B5A2F"/>
    <w:rsid w:val="003C3BF1"/>
    <w:rsid w:val="003C64F9"/>
    <w:rsid w:val="003D5008"/>
    <w:rsid w:val="003F1FA5"/>
    <w:rsid w:val="003F29A2"/>
    <w:rsid w:val="0041204C"/>
    <w:rsid w:val="0041791E"/>
    <w:rsid w:val="00424A81"/>
    <w:rsid w:val="00425597"/>
    <w:rsid w:val="00445F10"/>
    <w:rsid w:val="00471CF8"/>
    <w:rsid w:val="00482752"/>
    <w:rsid w:val="00485F4D"/>
    <w:rsid w:val="004935D8"/>
    <w:rsid w:val="00497F2A"/>
    <w:rsid w:val="004A75C0"/>
    <w:rsid w:val="004C107A"/>
    <w:rsid w:val="004F2E85"/>
    <w:rsid w:val="005011E2"/>
    <w:rsid w:val="005155FB"/>
    <w:rsid w:val="005213F6"/>
    <w:rsid w:val="00562F7F"/>
    <w:rsid w:val="00566004"/>
    <w:rsid w:val="00567D97"/>
    <w:rsid w:val="00582509"/>
    <w:rsid w:val="0058492D"/>
    <w:rsid w:val="005A31FC"/>
    <w:rsid w:val="005A672F"/>
    <w:rsid w:val="005B0141"/>
    <w:rsid w:val="005B3676"/>
    <w:rsid w:val="005C37D2"/>
    <w:rsid w:val="005C4E31"/>
    <w:rsid w:val="005C5EBC"/>
    <w:rsid w:val="005D225A"/>
    <w:rsid w:val="005D5340"/>
    <w:rsid w:val="005E44B7"/>
    <w:rsid w:val="005F0EA8"/>
    <w:rsid w:val="00620F5E"/>
    <w:rsid w:val="00622261"/>
    <w:rsid w:val="00633B77"/>
    <w:rsid w:val="00642921"/>
    <w:rsid w:val="00671BC9"/>
    <w:rsid w:val="006767E9"/>
    <w:rsid w:val="006809E4"/>
    <w:rsid w:val="006A2EF4"/>
    <w:rsid w:val="006A3ADC"/>
    <w:rsid w:val="006A5AB1"/>
    <w:rsid w:val="006E7836"/>
    <w:rsid w:val="006F454C"/>
    <w:rsid w:val="00712D39"/>
    <w:rsid w:val="007171F2"/>
    <w:rsid w:val="00720172"/>
    <w:rsid w:val="007319D5"/>
    <w:rsid w:val="00734338"/>
    <w:rsid w:val="00736CD8"/>
    <w:rsid w:val="00755E97"/>
    <w:rsid w:val="00757EFE"/>
    <w:rsid w:val="00780FBC"/>
    <w:rsid w:val="00790126"/>
    <w:rsid w:val="007A6D23"/>
    <w:rsid w:val="007B4069"/>
    <w:rsid w:val="007C7E95"/>
    <w:rsid w:val="007D7EA3"/>
    <w:rsid w:val="007E36B2"/>
    <w:rsid w:val="007E47A7"/>
    <w:rsid w:val="00806EEA"/>
    <w:rsid w:val="00821AB2"/>
    <w:rsid w:val="00821CC4"/>
    <w:rsid w:val="008239DC"/>
    <w:rsid w:val="008239E0"/>
    <w:rsid w:val="008249C7"/>
    <w:rsid w:val="00830CC4"/>
    <w:rsid w:val="00831B58"/>
    <w:rsid w:val="00832617"/>
    <w:rsid w:val="00836D3A"/>
    <w:rsid w:val="008479A9"/>
    <w:rsid w:val="008570C6"/>
    <w:rsid w:val="00865D28"/>
    <w:rsid w:val="0088177F"/>
    <w:rsid w:val="00885DE1"/>
    <w:rsid w:val="008A2BDF"/>
    <w:rsid w:val="008A4FC0"/>
    <w:rsid w:val="008E0E92"/>
    <w:rsid w:val="008E1623"/>
    <w:rsid w:val="008E3411"/>
    <w:rsid w:val="008E4B55"/>
    <w:rsid w:val="008E4BF4"/>
    <w:rsid w:val="008F6BF0"/>
    <w:rsid w:val="0090172C"/>
    <w:rsid w:val="0090376F"/>
    <w:rsid w:val="00905514"/>
    <w:rsid w:val="009151D8"/>
    <w:rsid w:val="00921E3C"/>
    <w:rsid w:val="00926414"/>
    <w:rsid w:val="00934349"/>
    <w:rsid w:val="00936A94"/>
    <w:rsid w:val="00937904"/>
    <w:rsid w:val="00940122"/>
    <w:rsid w:val="00945CB9"/>
    <w:rsid w:val="0095557E"/>
    <w:rsid w:val="009619AD"/>
    <w:rsid w:val="00973C10"/>
    <w:rsid w:val="00991A2F"/>
    <w:rsid w:val="00993EEA"/>
    <w:rsid w:val="00995375"/>
    <w:rsid w:val="009D3129"/>
    <w:rsid w:val="009D3A53"/>
    <w:rsid w:val="009D4A78"/>
    <w:rsid w:val="009D5944"/>
    <w:rsid w:val="009D62D2"/>
    <w:rsid w:val="009E19E9"/>
    <w:rsid w:val="009E4053"/>
    <w:rsid w:val="009E437F"/>
    <w:rsid w:val="009E4A17"/>
    <w:rsid w:val="00A21438"/>
    <w:rsid w:val="00A34E9B"/>
    <w:rsid w:val="00A74D29"/>
    <w:rsid w:val="00A7743F"/>
    <w:rsid w:val="00AA1051"/>
    <w:rsid w:val="00AA4791"/>
    <w:rsid w:val="00AC2F1F"/>
    <w:rsid w:val="00AD10E7"/>
    <w:rsid w:val="00AD35E9"/>
    <w:rsid w:val="00AE1B32"/>
    <w:rsid w:val="00B35EE7"/>
    <w:rsid w:val="00B50D47"/>
    <w:rsid w:val="00B81203"/>
    <w:rsid w:val="00B852FE"/>
    <w:rsid w:val="00BC6938"/>
    <w:rsid w:val="00BD6C15"/>
    <w:rsid w:val="00BF72C3"/>
    <w:rsid w:val="00C10419"/>
    <w:rsid w:val="00C2233A"/>
    <w:rsid w:val="00C37394"/>
    <w:rsid w:val="00C41C48"/>
    <w:rsid w:val="00C4634A"/>
    <w:rsid w:val="00C864D0"/>
    <w:rsid w:val="00C92CBF"/>
    <w:rsid w:val="00CC2DB1"/>
    <w:rsid w:val="00CC46E6"/>
    <w:rsid w:val="00CC5BAB"/>
    <w:rsid w:val="00CD09EC"/>
    <w:rsid w:val="00CE620F"/>
    <w:rsid w:val="00D81330"/>
    <w:rsid w:val="00DC3C17"/>
    <w:rsid w:val="00DC422F"/>
    <w:rsid w:val="00DC76B2"/>
    <w:rsid w:val="00DF18ED"/>
    <w:rsid w:val="00DF352E"/>
    <w:rsid w:val="00E10BCF"/>
    <w:rsid w:val="00E12F05"/>
    <w:rsid w:val="00E155D4"/>
    <w:rsid w:val="00E27C6F"/>
    <w:rsid w:val="00E53393"/>
    <w:rsid w:val="00E6244E"/>
    <w:rsid w:val="00E67BF8"/>
    <w:rsid w:val="00E743B7"/>
    <w:rsid w:val="00E92939"/>
    <w:rsid w:val="00EE2D76"/>
    <w:rsid w:val="00F000B6"/>
    <w:rsid w:val="00F00F0E"/>
    <w:rsid w:val="00F11D69"/>
    <w:rsid w:val="00F264EC"/>
    <w:rsid w:val="00F5429B"/>
    <w:rsid w:val="00F64513"/>
    <w:rsid w:val="00F86620"/>
    <w:rsid w:val="00FA161E"/>
    <w:rsid w:val="00FB17FA"/>
    <w:rsid w:val="00FB722F"/>
    <w:rsid w:val="00FC3CED"/>
    <w:rsid w:val="00FE53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6B2"/>
  </w:style>
  <w:style w:type="paragraph" w:styleId="Heading2">
    <w:name w:val="heading 2"/>
    <w:basedOn w:val="Normal"/>
    <w:next w:val="Normal"/>
    <w:link w:val="Heading2Char"/>
    <w:uiPriority w:val="9"/>
    <w:semiHidden/>
    <w:unhideWhenUsed/>
    <w:qFormat/>
    <w:rsid w:val="00A74D29"/>
    <w:pPr>
      <w:keepNext/>
      <w:keepLines/>
      <w:spacing w:before="40" w:line="48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286B"/>
    <w:rPr>
      <w:color w:val="0563C1" w:themeColor="hyperlink"/>
      <w:u w:val="single"/>
    </w:rPr>
  </w:style>
  <w:style w:type="paragraph" w:styleId="Header">
    <w:name w:val="header"/>
    <w:basedOn w:val="Normal"/>
    <w:link w:val="HeaderChar"/>
    <w:uiPriority w:val="99"/>
    <w:unhideWhenUsed/>
    <w:rsid w:val="00E12F05"/>
    <w:pPr>
      <w:tabs>
        <w:tab w:val="center" w:pos="4703"/>
        <w:tab w:val="right" w:pos="9406"/>
      </w:tabs>
    </w:pPr>
  </w:style>
  <w:style w:type="character" w:customStyle="1" w:styleId="HeaderChar">
    <w:name w:val="Header Char"/>
    <w:basedOn w:val="DefaultParagraphFont"/>
    <w:link w:val="Header"/>
    <w:uiPriority w:val="99"/>
    <w:rsid w:val="00E12F05"/>
  </w:style>
  <w:style w:type="paragraph" w:styleId="Footer">
    <w:name w:val="footer"/>
    <w:basedOn w:val="Normal"/>
    <w:link w:val="FooterChar"/>
    <w:uiPriority w:val="99"/>
    <w:unhideWhenUsed/>
    <w:rsid w:val="00E12F05"/>
    <w:pPr>
      <w:tabs>
        <w:tab w:val="center" w:pos="4703"/>
        <w:tab w:val="right" w:pos="9406"/>
      </w:tabs>
    </w:pPr>
  </w:style>
  <w:style w:type="character" w:customStyle="1" w:styleId="FooterChar">
    <w:name w:val="Footer Char"/>
    <w:basedOn w:val="DefaultParagraphFont"/>
    <w:link w:val="Footer"/>
    <w:uiPriority w:val="99"/>
    <w:rsid w:val="00E12F05"/>
  </w:style>
  <w:style w:type="character" w:styleId="LineNumber">
    <w:name w:val="line number"/>
    <w:basedOn w:val="DefaultParagraphFont"/>
    <w:uiPriority w:val="99"/>
    <w:semiHidden/>
    <w:unhideWhenUsed/>
    <w:rsid w:val="00E12F05"/>
  </w:style>
  <w:style w:type="paragraph" w:styleId="ListParagraph">
    <w:name w:val="List Paragraph"/>
    <w:basedOn w:val="Normal"/>
    <w:uiPriority w:val="34"/>
    <w:qFormat/>
    <w:rsid w:val="00334F6C"/>
    <w:pPr>
      <w:ind w:leftChars="400" w:left="840"/>
    </w:pPr>
    <w:rPr>
      <w:rFonts w:ascii="Times New Roman" w:hAnsi="Times New Roman" w:cs="Times New Roman"/>
      <w:sz w:val="20"/>
      <w:szCs w:val="20"/>
      <w:lang w:eastAsia="en-US"/>
    </w:rPr>
  </w:style>
  <w:style w:type="character" w:styleId="CommentReference">
    <w:name w:val="annotation reference"/>
    <w:basedOn w:val="DefaultParagraphFont"/>
    <w:uiPriority w:val="99"/>
    <w:semiHidden/>
    <w:unhideWhenUsed/>
    <w:rsid w:val="00934349"/>
    <w:rPr>
      <w:sz w:val="16"/>
      <w:szCs w:val="16"/>
    </w:rPr>
  </w:style>
  <w:style w:type="paragraph" w:styleId="CommentText">
    <w:name w:val="annotation text"/>
    <w:basedOn w:val="Normal"/>
    <w:link w:val="CommentTextChar"/>
    <w:uiPriority w:val="99"/>
    <w:semiHidden/>
    <w:unhideWhenUsed/>
    <w:rsid w:val="00934349"/>
    <w:rPr>
      <w:sz w:val="20"/>
      <w:szCs w:val="20"/>
    </w:rPr>
  </w:style>
  <w:style w:type="character" w:customStyle="1" w:styleId="CommentTextChar">
    <w:name w:val="Comment Text Char"/>
    <w:basedOn w:val="DefaultParagraphFont"/>
    <w:link w:val="CommentText"/>
    <w:uiPriority w:val="99"/>
    <w:semiHidden/>
    <w:rsid w:val="00934349"/>
    <w:rPr>
      <w:sz w:val="20"/>
      <w:szCs w:val="20"/>
    </w:rPr>
  </w:style>
  <w:style w:type="paragraph" w:styleId="CommentSubject">
    <w:name w:val="annotation subject"/>
    <w:basedOn w:val="CommentText"/>
    <w:next w:val="CommentText"/>
    <w:link w:val="CommentSubjectChar"/>
    <w:uiPriority w:val="99"/>
    <w:semiHidden/>
    <w:unhideWhenUsed/>
    <w:rsid w:val="00934349"/>
    <w:rPr>
      <w:b/>
      <w:bCs/>
    </w:rPr>
  </w:style>
  <w:style w:type="character" w:customStyle="1" w:styleId="CommentSubjectChar">
    <w:name w:val="Comment Subject Char"/>
    <w:basedOn w:val="CommentTextChar"/>
    <w:link w:val="CommentSubject"/>
    <w:uiPriority w:val="99"/>
    <w:semiHidden/>
    <w:rsid w:val="00934349"/>
    <w:rPr>
      <w:b/>
      <w:bCs/>
      <w:sz w:val="20"/>
      <w:szCs w:val="20"/>
    </w:rPr>
  </w:style>
  <w:style w:type="paragraph" w:styleId="BalloonText">
    <w:name w:val="Balloon Text"/>
    <w:basedOn w:val="Normal"/>
    <w:link w:val="BalloonTextChar"/>
    <w:uiPriority w:val="99"/>
    <w:semiHidden/>
    <w:unhideWhenUsed/>
    <w:rsid w:val="009343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349"/>
    <w:rPr>
      <w:rFonts w:ascii="Segoe UI" w:hAnsi="Segoe UI" w:cs="Segoe UI"/>
      <w:sz w:val="18"/>
      <w:szCs w:val="18"/>
    </w:rPr>
  </w:style>
  <w:style w:type="character" w:customStyle="1" w:styleId="Heading2Char">
    <w:name w:val="Heading 2 Char"/>
    <w:basedOn w:val="DefaultParagraphFont"/>
    <w:link w:val="Heading2"/>
    <w:uiPriority w:val="9"/>
    <w:semiHidden/>
    <w:rsid w:val="00A74D29"/>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386007"/>
    <w:pPr>
      <w:spacing w:before="100" w:beforeAutospacing="1" w:after="100" w:afterAutospacing="1"/>
    </w:pPr>
    <w:rPr>
      <w:rFonts w:ascii="MS PGothic" w:eastAsia="MS PGothic" w:hAnsi="MS PGothic" w:cs="MS PGothic"/>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6B2"/>
  </w:style>
  <w:style w:type="paragraph" w:styleId="Heading2">
    <w:name w:val="heading 2"/>
    <w:basedOn w:val="Normal"/>
    <w:next w:val="Normal"/>
    <w:link w:val="Heading2Char"/>
    <w:uiPriority w:val="9"/>
    <w:semiHidden/>
    <w:unhideWhenUsed/>
    <w:qFormat/>
    <w:rsid w:val="00A74D29"/>
    <w:pPr>
      <w:keepNext/>
      <w:keepLines/>
      <w:spacing w:before="40" w:line="48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286B"/>
    <w:rPr>
      <w:color w:val="0563C1" w:themeColor="hyperlink"/>
      <w:u w:val="single"/>
    </w:rPr>
  </w:style>
  <w:style w:type="paragraph" w:styleId="Header">
    <w:name w:val="header"/>
    <w:basedOn w:val="Normal"/>
    <w:link w:val="HeaderChar"/>
    <w:uiPriority w:val="99"/>
    <w:unhideWhenUsed/>
    <w:rsid w:val="00E12F05"/>
    <w:pPr>
      <w:tabs>
        <w:tab w:val="center" w:pos="4703"/>
        <w:tab w:val="right" w:pos="9406"/>
      </w:tabs>
    </w:pPr>
  </w:style>
  <w:style w:type="character" w:customStyle="1" w:styleId="HeaderChar">
    <w:name w:val="Header Char"/>
    <w:basedOn w:val="DefaultParagraphFont"/>
    <w:link w:val="Header"/>
    <w:uiPriority w:val="99"/>
    <w:rsid w:val="00E12F05"/>
  </w:style>
  <w:style w:type="paragraph" w:styleId="Footer">
    <w:name w:val="footer"/>
    <w:basedOn w:val="Normal"/>
    <w:link w:val="FooterChar"/>
    <w:uiPriority w:val="99"/>
    <w:unhideWhenUsed/>
    <w:rsid w:val="00E12F05"/>
    <w:pPr>
      <w:tabs>
        <w:tab w:val="center" w:pos="4703"/>
        <w:tab w:val="right" w:pos="9406"/>
      </w:tabs>
    </w:pPr>
  </w:style>
  <w:style w:type="character" w:customStyle="1" w:styleId="FooterChar">
    <w:name w:val="Footer Char"/>
    <w:basedOn w:val="DefaultParagraphFont"/>
    <w:link w:val="Footer"/>
    <w:uiPriority w:val="99"/>
    <w:rsid w:val="00E12F05"/>
  </w:style>
  <w:style w:type="character" w:styleId="LineNumber">
    <w:name w:val="line number"/>
    <w:basedOn w:val="DefaultParagraphFont"/>
    <w:uiPriority w:val="99"/>
    <w:semiHidden/>
    <w:unhideWhenUsed/>
    <w:rsid w:val="00E12F05"/>
  </w:style>
  <w:style w:type="paragraph" w:styleId="ListParagraph">
    <w:name w:val="List Paragraph"/>
    <w:basedOn w:val="Normal"/>
    <w:uiPriority w:val="34"/>
    <w:qFormat/>
    <w:rsid w:val="00334F6C"/>
    <w:pPr>
      <w:ind w:leftChars="400" w:left="840"/>
    </w:pPr>
    <w:rPr>
      <w:rFonts w:ascii="Times New Roman" w:hAnsi="Times New Roman" w:cs="Times New Roman"/>
      <w:sz w:val="20"/>
      <w:szCs w:val="20"/>
      <w:lang w:eastAsia="en-US"/>
    </w:rPr>
  </w:style>
  <w:style w:type="character" w:styleId="CommentReference">
    <w:name w:val="annotation reference"/>
    <w:basedOn w:val="DefaultParagraphFont"/>
    <w:uiPriority w:val="99"/>
    <w:semiHidden/>
    <w:unhideWhenUsed/>
    <w:rsid w:val="00934349"/>
    <w:rPr>
      <w:sz w:val="16"/>
      <w:szCs w:val="16"/>
    </w:rPr>
  </w:style>
  <w:style w:type="paragraph" w:styleId="CommentText">
    <w:name w:val="annotation text"/>
    <w:basedOn w:val="Normal"/>
    <w:link w:val="CommentTextChar"/>
    <w:uiPriority w:val="99"/>
    <w:semiHidden/>
    <w:unhideWhenUsed/>
    <w:rsid w:val="00934349"/>
    <w:rPr>
      <w:sz w:val="20"/>
      <w:szCs w:val="20"/>
    </w:rPr>
  </w:style>
  <w:style w:type="character" w:customStyle="1" w:styleId="CommentTextChar">
    <w:name w:val="Comment Text Char"/>
    <w:basedOn w:val="DefaultParagraphFont"/>
    <w:link w:val="CommentText"/>
    <w:uiPriority w:val="99"/>
    <w:semiHidden/>
    <w:rsid w:val="00934349"/>
    <w:rPr>
      <w:sz w:val="20"/>
      <w:szCs w:val="20"/>
    </w:rPr>
  </w:style>
  <w:style w:type="paragraph" w:styleId="CommentSubject">
    <w:name w:val="annotation subject"/>
    <w:basedOn w:val="CommentText"/>
    <w:next w:val="CommentText"/>
    <w:link w:val="CommentSubjectChar"/>
    <w:uiPriority w:val="99"/>
    <w:semiHidden/>
    <w:unhideWhenUsed/>
    <w:rsid w:val="00934349"/>
    <w:rPr>
      <w:b/>
      <w:bCs/>
    </w:rPr>
  </w:style>
  <w:style w:type="character" w:customStyle="1" w:styleId="CommentSubjectChar">
    <w:name w:val="Comment Subject Char"/>
    <w:basedOn w:val="CommentTextChar"/>
    <w:link w:val="CommentSubject"/>
    <w:uiPriority w:val="99"/>
    <w:semiHidden/>
    <w:rsid w:val="00934349"/>
    <w:rPr>
      <w:b/>
      <w:bCs/>
      <w:sz w:val="20"/>
      <w:szCs w:val="20"/>
    </w:rPr>
  </w:style>
  <w:style w:type="paragraph" w:styleId="BalloonText">
    <w:name w:val="Balloon Text"/>
    <w:basedOn w:val="Normal"/>
    <w:link w:val="BalloonTextChar"/>
    <w:uiPriority w:val="99"/>
    <w:semiHidden/>
    <w:unhideWhenUsed/>
    <w:rsid w:val="009343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349"/>
    <w:rPr>
      <w:rFonts w:ascii="Segoe UI" w:hAnsi="Segoe UI" w:cs="Segoe UI"/>
      <w:sz w:val="18"/>
      <w:szCs w:val="18"/>
    </w:rPr>
  </w:style>
  <w:style w:type="character" w:customStyle="1" w:styleId="Heading2Char">
    <w:name w:val="Heading 2 Char"/>
    <w:basedOn w:val="DefaultParagraphFont"/>
    <w:link w:val="Heading2"/>
    <w:uiPriority w:val="9"/>
    <w:semiHidden/>
    <w:rsid w:val="00A74D29"/>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386007"/>
    <w:pPr>
      <w:spacing w:before="100" w:beforeAutospacing="1" w:after="100" w:afterAutospacing="1"/>
    </w:pPr>
    <w:rPr>
      <w:rFonts w:ascii="MS PGothic" w:eastAsia="MS PGothic" w:hAnsi="MS PGothic" w:cs="MS PGothic"/>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9042">
      <w:bodyDiv w:val="1"/>
      <w:marLeft w:val="0"/>
      <w:marRight w:val="0"/>
      <w:marTop w:val="0"/>
      <w:marBottom w:val="0"/>
      <w:divBdr>
        <w:top w:val="none" w:sz="0" w:space="0" w:color="auto"/>
        <w:left w:val="none" w:sz="0" w:space="0" w:color="auto"/>
        <w:bottom w:val="none" w:sz="0" w:space="0" w:color="auto"/>
        <w:right w:val="none" w:sz="0" w:space="0" w:color="auto"/>
      </w:divBdr>
    </w:div>
    <w:div w:id="913858184">
      <w:bodyDiv w:val="1"/>
      <w:marLeft w:val="0"/>
      <w:marRight w:val="0"/>
      <w:marTop w:val="0"/>
      <w:marBottom w:val="0"/>
      <w:divBdr>
        <w:top w:val="none" w:sz="0" w:space="0" w:color="auto"/>
        <w:left w:val="none" w:sz="0" w:space="0" w:color="auto"/>
        <w:bottom w:val="none" w:sz="0" w:space="0" w:color="auto"/>
        <w:right w:val="none" w:sz="0" w:space="0" w:color="auto"/>
      </w:divBdr>
    </w:div>
    <w:div w:id="2100326682">
      <w:bodyDiv w:val="1"/>
      <w:marLeft w:val="0"/>
      <w:marRight w:val="0"/>
      <w:marTop w:val="0"/>
      <w:marBottom w:val="0"/>
      <w:divBdr>
        <w:top w:val="none" w:sz="0" w:space="0" w:color="auto"/>
        <w:left w:val="none" w:sz="0" w:space="0" w:color="auto"/>
        <w:bottom w:val="none" w:sz="0" w:space="0" w:color="auto"/>
        <w:right w:val="none" w:sz="0" w:space="0" w:color="auto"/>
      </w:divBdr>
      <w:divsChild>
        <w:div w:id="2135784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62D36-B811-4514-B7FF-28459503B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6730</Words>
  <Characters>38362</Characters>
  <Application>Microsoft Office Word</Application>
  <DocSecurity>0</DocSecurity>
  <Lines>319</Lines>
  <Paragraphs>90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Windows User</Company>
  <LinksUpToDate>false</LinksUpToDate>
  <CharactersWithSpaces>45002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Kaihei</dc:creator>
  <cp:lastModifiedBy>Renee Devonish</cp:lastModifiedBy>
  <cp:revision>2</cp:revision>
  <dcterms:created xsi:type="dcterms:W3CDTF">2017-02-17T15:34:00Z</dcterms:created>
  <dcterms:modified xsi:type="dcterms:W3CDTF">2017-02-17T15:34:00Z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silverhourglass@yahoo.co.jp@www.mendeley.com</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http://www.zotero.org/styles/archives-of-microbiology</vt:lpwstr>
  </property>
  <property fmtid="{D5CDD505-2E9C-101B-9397-08002B2CF9AE}" pid="7" name="Mendeley Recent Style Name 1_1">
    <vt:lpwstr>Archives of Microbiology</vt:lpwstr>
  </property>
  <property fmtid="{D5CDD505-2E9C-101B-9397-08002B2CF9AE}" pid="8" name="Mendeley Recent Style Id 2_1">
    <vt:lpwstr>http://www.zotero.org/styles/bmc-microbiology</vt:lpwstr>
  </property>
  <property fmtid="{D5CDD505-2E9C-101B-9397-08002B2CF9AE}" pid="9" name="Mendeley Recent Style Name 2_1">
    <vt:lpwstr>BMC Microbiology</vt:lpwstr>
  </property>
  <property fmtid="{D5CDD505-2E9C-101B-9397-08002B2CF9AE}" pid="10" name="Mendeley Recent Style Id 3_1">
    <vt:lpwstr>http://www.zotero.org/styles/harvard1</vt:lpwstr>
  </property>
  <property fmtid="{D5CDD505-2E9C-101B-9397-08002B2CF9AE}" pid="11" name="Mendeley Recent Style Name 3_1">
    <vt:lpwstr>Harvard Reference format 1 (author-date)</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7th edition</vt:lpwstr>
  </property>
  <property fmtid="{D5CDD505-2E9C-101B-9397-08002B2CF9AE}" pid="18" name="Mendeley Recent Style Id 7_1">
    <vt:lpwstr>http://www.zotero.org/styles/national-library-of-medicine-grant-proposals</vt:lpwstr>
  </property>
  <property fmtid="{D5CDD505-2E9C-101B-9397-08002B2CF9AE}" pid="19" name="Mendeley Recent Style Name 7_1">
    <vt:lpwstr>National Library of Medicine (grant proposals with PMCID/PMID)</vt:lpwstr>
  </property>
  <property fmtid="{D5CDD505-2E9C-101B-9397-08002B2CF9AE}" pid="20" name="Mendeley Recent Style Id 8_1">
    <vt:lpwstr>http://csl.mendeley.com/styles/20234421/springer-vancouver-brackets</vt:lpwstr>
  </property>
  <property fmtid="{D5CDD505-2E9C-101B-9397-08002B2CF9AE}" pid="21" name="Mendeley Recent Style Name 8_1">
    <vt:lpwstr>Springer Vancouver (modified for BMC microbiol)</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http://csl.mendeley.com/styles/20234421/springer-vancouver-brackets</vt:lpwstr>
  </property>
</Properties>
</file>