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7AE" w:rsidRPr="006C061D" w:rsidRDefault="00BC37AE" w:rsidP="00BC37AE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>Table 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6C06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List of the genes codes for enzymes involved in </w:t>
      </w:r>
      <w:r w:rsidR="00510773">
        <w:rPr>
          <w:rFonts w:ascii="Times New Roman" w:hAnsi="Times New Roman" w:cs="Times New Roman"/>
          <w:b/>
          <w:color w:val="auto"/>
          <w:sz w:val="24"/>
          <w:szCs w:val="24"/>
        </w:rPr>
        <w:t>c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>arbohydrate degradation identified using PICRUST.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378"/>
        <w:gridCol w:w="1379"/>
        <w:gridCol w:w="1379"/>
        <w:gridCol w:w="1377"/>
        <w:gridCol w:w="1377"/>
        <w:gridCol w:w="1377"/>
        <w:gridCol w:w="4494"/>
      </w:tblGrid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OTU ID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CFP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CRP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1355FA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</w:t>
            </w:r>
            <w:r w:rsidR="001355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PV3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CLP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CBP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KEGG_Description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K01176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27391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18576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20919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12211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5010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alpha-amylase [EC:3.2.1.1]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K07405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alpha-amylase [EC:3.2.1.1]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K01178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15132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4170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20708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16034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329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glucoamylase [EC:3.2.1.3]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K01179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150806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123986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108567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78023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33916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endoglucanase [EC:3.2.1.4]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K01190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109617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53776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98347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58180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27861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beta-galactosidase [EC:3.2.1.23]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K12308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104500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87697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91238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68506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12062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beta-galactosidase [EC:3.2.1.23]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K05350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224167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177804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157940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97063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31122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beta-glucosidase [EC:3.2.1.21]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K05349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193177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146916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161768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114774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40231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beta-glucosidase [EC:3.2.1.21]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K01188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95216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80758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76506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48365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23967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beta-glucosidase [EC:3.2.1.21]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K01176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27391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18576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20919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12211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5010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alpha-amylase [EC:3.2.1.1]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K07405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alpha-amylase [EC:3.2.1.1]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K07407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138423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113472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125872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79099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15619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alpha-galactosidase [EC:3.2.1.22]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K07406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5063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5331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6700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7014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151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alpha-galactosidase [EC:3.2.1.22]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313018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217131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230125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150604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54696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alpha-glucosidase [EC:3.2.1.20]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K01183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121687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115347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96013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64813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21106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chitinase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[EC:3.2.1.14]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K12373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100409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85729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84596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56538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17836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beta-hexosaminidase [EC:3.2.1.52]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K01191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64145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30009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47197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28082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8375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alpha-mannosidase [EC:3.2.1.24]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K01192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49129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27158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43721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27791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7200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beta-mannosidase [EC:3.2.1.25]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1942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839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1095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endo-1,3(4)-beta-glucanase [EC:3.2.1.6]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lastRenderedPageBreak/>
              <w:t>K01184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11671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1911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16848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15166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285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polygalacturonase [EC:3.2.1.15]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95826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91753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87453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60145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19350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endo-1,4-beta-xylanase [EC:3.2.1.8]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K01209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92946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40905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99482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73730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20782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alpha-N-arabinofuranosidase [EC:3.2.1.55]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K01180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1942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839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643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1095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endo-1,3(4)-beta-glucanase [EC:3.2.1.6]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K01234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2524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1258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922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374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1125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neopullulanase [EC:3.2.1.135]</w:t>
            </w:r>
          </w:p>
        </w:tc>
      </w:tr>
      <w:tr w:rsidR="00BC37AE" w:rsidRPr="006C061D" w:rsidTr="00440B2E">
        <w:trPr>
          <w:trHeight w:val="301"/>
        </w:trPr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K01200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2681</w:t>
            </w:r>
          </w:p>
        </w:tc>
        <w:tc>
          <w:tcPr>
            <w:tcW w:w="1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1405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999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871</w:t>
            </w:r>
          </w:p>
        </w:tc>
        <w:tc>
          <w:tcPr>
            <w:tcW w:w="1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1178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37AE" w:rsidRPr="00BC37AE" w:rsidRDefault="00BC37AE" w:rsidP="00BC37AE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pullulanase [EC:3.2.1.41]</w:t>
            </w:r>
          </w:p>
        </w:tc>
      </w:tr>
    </w:tbl>
    <w:p w:rsidR="00BC37AE" w:rsidRPr="006C061D" w:rsidRDefault="00BC37AE" w:rsidP="00BC37AE">
      <w:pPr>
        <w:pStyle w:val="Normal1"/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C37AE" w:rsidRDefault="00BC37AE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DC4319" w:rsidRDefault="00DC4319" w:rsidP="00046855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046855" w:rsidRDefault="00046855" w:rsidP="00046855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046855" w:rsidRPr="00BC37AE" w:rsidRDefault="00046855" w:rsidP="00046855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</w:pPr>
      <w:r w:rsidRPr="00BC37A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lastRenderedPageBreak/>
        <w:t xml:space="preserve">Table S2. List of the homologs of methanogenesis-associated genes that were identified </w:t>
      </w:r>
      <w:r w:rsidR="00CF42C3" w:rsidRPr="00BC37A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 xml:space="preserve">from the five cave sediments </w:t>
      </w:r>
      <w:r w:rsidRPr="00BC37A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>using PICRUST.</w:t>
      </w:r>
    </w:p>
    <w:p w:rsidR="00046855" w:rsidRPr="006C061D" w:rsidRDefault="00046855" w:rsidP="00046855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tbl>
      <w:tblPr>
        <w:tblW w:w="13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1240"/>
        <w:gridCol w:w="993"/>
        <w:gridCol w:w="1003"/>
        <w:gridCol w:w="1016"/>
        <w:gridCol w:w="992"/>
        <w:gridCol w:w="993"/>
        <w:gridCol w:w="6914"/>
      </w:tblGrid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OTU ID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CFP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CRP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KPV3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CLP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CBP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1355FA">
            <w:pPr>
              <w:pStyle w:val="Normal1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 xml:space="preserve">                                   </w:t>
            </w: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KEGG_Description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K00200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535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283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1060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formylmethanofuran dehydrogenase subunit A [EC:1.2.99.5]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K00201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279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1058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formylmethanofuran dehydrogenase subunit B [EC:1.2.99.5]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K00202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532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279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1058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54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formylmethanofuran dehydrogenase subunit C [EC:1.2.99.5]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K11261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13727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2252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18636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14160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132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formylmethanofuran dehydrogenase subunit E [EC:1.2.99.5]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K00672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237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168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Formylmethanofuran - tetrahydromethanopterin N-formyltransferase [EC:2.3.1.101]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K01433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144630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163314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95958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61705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38186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formyltetrahydrofolate deformylase [EC:3.5.1.10]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K01499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315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256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907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51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methenyltetrahydromethanopterin cyclohydrolase [EC:3.5.4.27]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K00320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235910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197179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146818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61800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36883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coenzyme F420-dependent N5,N10-methenyltetrahydro methanopterin reductase [EC:1.5.99.11]</w:t>
            </w:r>
          </w:p>
        </w:tc>
      </w:tr>
      <w:tr w:rsidR="001355FA" w:rsidRPr="006C061D" w:rsidTr="001355FA">
        <w:trPr>
          <w:trHeight w:val="300"/>
        </w:trPr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K03388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1717</w:t>
            </w:r>
          </w:p>
        </w:tc>
        <w:tc>
          <w:tcPr>
            <w:tcW w:w="1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439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1239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351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6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355FA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heterodisulfide reductase subunit A [EC:1.8.98.1]</w:t>
            </w:r>
          </w:p>
        </w:tc>
      </w:tr>
    </w:tbl>
    <w:p w:rsidR="00046855" w:rsidRPr="006C061D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6855" w:rsidRPr="006C061D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6855" w:rsidRPr="006C061D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46855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C4319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C4319" w:rsidRPr="00440B2E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46855" w:rsidRPr="00440B2E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40B2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Table S3. </w:t>
      </w:r>
      <w:r w:rsidR="00CF42C3" w:rsidRPr="00440B2E">
        <w:rPr>
          <w:rFonts w:ascii="Times New Roman" w:hAnsi="Times New Roman" w:cs="Times New Roman"/>
          <w:b/>
          <w:color w:val="auto"/>
          <w:sz w:val="24"/>
          <w:szCs w:val="24"/>
        </w:rPr>
        <w:t>List of the genes coding</w:t>
      </w:r>
      <w:r w:rsidRPr="00440B2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for enzymes involved in nitrogen cycle </w:t>
      </w:r>
      <w:r w:rsidR="00CF42C3" w:rsidRPr="00440B2E">
        <w:rPr>
          <w:rFonts w:ascii="Times New Roman" w:hAnsi="Times New Roman" w:cs="Times New Roman"/>
          <w:b/>
          <w:color w:val="auto"/>
          <w:sz w:val="24"/>
          <w:szCs w:val="24"/>
        </w:rPr>
        <w:t>identified using PICRUST</w:t>
      </w:r>
      <w:r w:rsidRPr="00440B2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tbl>
      <w:tblPr>
        <w:tblW w:w="0" w:type="auto"/>
        <w:tblInd w:w="93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98" w:type="dxa"/>
        </w:tblCellMar>
        <w:tblLook w:val="04A0"/>
      </w:tblPr>
      <w:tblGrid>
        <w:gridCol w:w="1210"/>
        <w:gridCol w:w="1196"/>
        <w:gridCol w:w="1195"/>
        <w:gridCol w:w="1196"/>
        <w:gridCol w:w="1042"/>
        <w:gridCol w:w="1042"/>
        <w:gridCol w:w="1422"/>
        <w:gridCol w:w="5568"/>
      </w:tblGrid>
      <w:tr w:rsidR="00BC37AE" w:rsidRPr="006C061D" w:rsidTr="00400C42">
        <w:trPr>
          <w:trHeight w:val="318"/>
        </w:trPr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OTU ID</w:t>
            </w:r>
          </w:p>
        </w:tc>
        <w:tc>
          <w:tcPr>
            <w:tcW w:w="119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CFP</w:t>
            </w:r>
            <w:r w:rsidR="001355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19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CRP</w:t>
            </w:r>
            <w:r w:rsidR="001355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19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1355FA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CK</w:t>
            </w:r>
            <w:r w:rsidR="00BC37AE"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04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CLP</w:t>
            </w:r>
            <w:r w:rsidR="001355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04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CBP</w:t>
            </w:r>
            <w:r w:rsidR="001355F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V3</w:t>
            </w:r>
          </w:p>
        </w:tc>
        <w:tc>
          <w:tcPr>
            <w:tcW w:w="142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Average</w:t>
            </w:r>
          </w:p>
        </w:tc>
        <w:tc>
          <w:tcPr>
            <w:tcW w:w="556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KEGG_Description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K00459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234608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181071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171865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98890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44603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145164.3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nitronate monooxygenase [EC:1.13.12.16]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K04751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148620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153605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119582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79297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31707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112312.2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regulatory protein P-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II </w:t>
            </w:r>
          </w:p>
        </w:tc>
      </w:tr>
      <w:tr w:rsidR="00BC37AE" w:rsidRPr="006C061D" w:rsidTr="00400C42">
        <w:trPr>
          <w:trHeight w:val="290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K00362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186707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187798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122042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66941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42569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106609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nitrite reductase (NAD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(P)H) large subunit 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K00363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158467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139566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112051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60392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37056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93796.17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nitrite reductase (NAD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(P)H) small subunit 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K04488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158002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114409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103742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65094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19771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86914.83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fixation protein NifU and related proteins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K01721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109460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180569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59540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40267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9425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72093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nitrile hydratase [EC:4.2.1.84]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K01501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96026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84391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49338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20949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44251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nitrilase [EC:3.5.5.1]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K05916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80284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56745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56551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30192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11872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41549.67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nitric oxide dioxygenase [EC:1.14.12.17]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58741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73302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39085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30134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23134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40560.67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catalytic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K00491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52136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65495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27735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9571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4284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26694.33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nitric-oxide synthase, bacterial [EC:1.14.13.39]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47649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33337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31306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20412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6985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25441.17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1, delta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44072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34009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26246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19227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11699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24024.67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1, alpha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K04561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9594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2498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15692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11101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6918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21192.67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nitric oxide reductase, cytochrome b-containing subunit I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41407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28771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25127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17640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6345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21156.83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1, beta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40555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28424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24419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17059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6319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20598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1, gamma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2577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6234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7950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16838.17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nitrite reductase (NO-forming) [EC:1.7.2.1]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K02164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7387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11805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13312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9168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8882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16108.5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nitric-oxide reductase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NorE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protein [EC:1.7.99.7]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K04752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6223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3546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10948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16443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11953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10241.67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regulatory protein P-II 2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lastRenderedPageBreak/>
              <w:t>K02586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6826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7199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10569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13251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12152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9190.333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nitrogenase molybdenum-iron protein alpha chain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6813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7198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10560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13179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12170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9174.167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nitrogenase molybdenum-iron protein beta chain [EC:1.18.6.1]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K02588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6667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7102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10213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12193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12170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8682.333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nitrogenase iron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NifH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[EC:1.18.6.1]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K04748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1774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2178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8745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9454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7596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nitric oxide reductase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NorQ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protein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5149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6555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7535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11161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6762.333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 fixation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NifX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K02587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5098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7236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10825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5659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6634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nitrogenase molybdenum-cofactor synthesis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NifE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K02585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5357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7586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10047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5703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6375.333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 fixation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NifB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4259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6382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9626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5775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nitrogenase molybdenum-iron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NifN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4138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6228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9585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5643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5717.167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 fixation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NifW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982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6781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10361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333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4090.333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 fixation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NifZ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1203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470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4719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7648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2581.167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nitrogen fixation protein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NifT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K00360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1336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3699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2612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2359.833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(NADH) [EC:1.7.1.1]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K10679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1955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1101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1432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1560.833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nitroreductase / dihydropteridine reductase [EC:1.-.-.-1.5.1.34]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K07218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2243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1497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1943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1241.333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nitrous oxidase accessory protein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K00376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2240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1493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1228.833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nitrous-oxide reductase [EC:1.7.99.6]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K10678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421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299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1183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713.3333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proofErr w:type="gram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nitroreductase</w:t>
            </w:r>
            <w:proofErr w:type="gram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[EC:1.-.-.-]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K02305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339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865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680.8333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nitric-oxide reductase, cytochrome c-containing subunit II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K02448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755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642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nitric-oxide reductase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NorD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protein [EC:1.7.99.7]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588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976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436.1667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nitrite transporter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NirC</w:t>
            </w:r>
            <w:proofErr w:type="spellEnd"/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lastRenderedPageBreak/>
              <w:t>K00369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394.6667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K02590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250.6667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regulatory protein PII 2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K02589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250.1667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regulatory protein PII 1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K00531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193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431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214.8333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nitrogenase [EC:1.18.6.1]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K12265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22.33333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proofErr w:type="gram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nitric</w:t>
            </w:r>
            <w:proofErr w:type="gram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oxide reductase FlRd-NAD(+) reductase [EC:1.18.1.-]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K04747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nitric oxide reductase 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NorF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 xml:space="preserve"> protein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K08345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5.666667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2, alpha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K08346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5.666667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2, beta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K08361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5.666667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2, delta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K08347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5.666667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nitrate reductase 2, gamma subunit [EC:1.7.99.4]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K10851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2.833333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 regulatory protein A</w:t>
            </w:r>
          </w:p>
        </w:tc>
      </w:tr>
      <w:tr w:rsidR="00BC37AE" w:rsidRPr="006C061D" w:rsidTr="00400C42">
        <w:trPr>
          <w:trHeight w:val="318"/>
        </w:trPr>
        <w:tc>
          <w:tcPr>
            <w:tcW w:w="121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GB"/>
              </w:rPr>
              <w:t>K00536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bottom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2.666667</w:t>
            </w:r>
          </w:p>
        </w:tc>
        <w:tc>
          <w:tcPr>
            <w:tcW w:w="556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BC37AE" w:rsidRDefault="00BC37AE" w:rsidP="00BC37AE">
            <w:pPr>
              <w:pStyle w:val="Normal1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</w:pPr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nitrogenase (</w:t>
            </w:r>
            <w:proofErr w:type="spellStart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flavodoxin</w:t>
            </w:r>
            <w:proofErr w:type="spellEnd"/>
            <w:r w:rsidRPr="00BC37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GB"/>
              </w:rPr>
              <w:t>) [EC:1.19.6.1]</w:t>
            </w:r>
          </w:p>
        </w:tc>
      </w:tr>
    </w:tbl>
    <w:p w:rsidR="00046855" w:rsidRDefault="00046855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4319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4319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4319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A63E0" w:rsidRDefault="00BA63E0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DC4319" w:rsidRDefault="00DC4319" w:rsidP="00046855">
      <w:pPr>
        <w:pStyle w:val="Normal1"/>
        <w:spacing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C37AE" w:rsidRPr="00BC37AE" w:rsidRDefault="00BC37AE" w:rsidP="00BC37AE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 w:rsidRPr="003F3EF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lastRenderedPageBreak/>
        <w:t>Table S4: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Pearson correlation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(PC) 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>between physiochemical factors with the dominant bacterial phyla.</w:t>
      </w:r>
    </w:p>
    <w:tbl>
      <w:tblPr>
        <w:tblW w:w="15031" w:type="dxa"/>
        <w:tblInd w:w="93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1"/>
          <w:insideH w:val="single" w:sz="8" w:space="0" w:color="00000A"/>
          <w:insideV w:val="single" w:sz="8" w:space="0" w:color="000001"/>
        </w:tblBorders>
        <w:tblCellMar>
          <w:left w:w="98" w:type="dxa"/>
        </w:tblCellMar>
        <w:tblLook w:val="04A0"/>
      </w:tblPr>
      <w:tblGrid>
        <w:gridCol w:w="2036"/>
        <w:gridCol w:w="601"/>
        <w:gridCol w:w="696"/>
        <w:gridCol w:w="754"/>
        <w:gridCol w:w="670"/>
        <w:gridCol w:w="642"/>
        <w:gridCol w:w="676"/>
        <w:gridCol w:w="604"/>
        <w:gridCol w:w="613"/>
        <w:gridCol w:w="604"/>
        <w:gridCol w:w="761"/>
        <w:gridCol w:w="782"/>
        <w:gridCol w:w="656"/>
        <w:gridCol w:w="565"/>
        <w:gridCol w:w="614"/>
        <w:gridCol w:w="605"/>
        <w:gridCol w:w="707"/>
        <w:gridCol w:w="565"/>
        <w:gridCol w:w="676"/>
        <w:gridCol w:w="592"/>
        <w:gridCol w:w="612"/>
      </w:tblGrid>
      <w:tr w:rsidR="00400C42" w:rsidRPr="00152AC0" w:rsidTr="00400C42">
        <w:trPr>
          <w:trHeight w:val="299"/>
        </w:trPr>
        <w:tc>
          <w:tcPr>
            <w:tcW w:w="20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98" w:type="dxa"/>
            </w:tcMar>
          </w:tcPr>
          <w:p w:rsidR="00BC37AE" w:rsidRPr="00152AC0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pH</w:t>
            </w:r>
          </w:p>
        </w:tc>
        <w:tc>
          <w:tcPr>
            <w:tcW w:w="69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Na2O</w:t>
            </w:r>
          </w:p>
        </w:tc>
        <w:tc>
          <w:tcPr>
            <w:tcW w:w="75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MgO</w:t>
            </w:r>
          </w:p>
        </w:tc>
        <w:tc>
          <w:tcPr>
            <w:tcW w:w="67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ind w:left="-85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Al2O3</w:t>
            </w:r>
          </w:p>
        </w:tc>
        <w:tc>
          <w:tcPr>
            <w:tcW w:w="64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SiO2</w:t>
            </w:r>
          </w:p>
        </w:tc>
        <w:tc>
          <w:tcPr>
            <w:tcW w:w="6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P2O5</w:t>
            </w:r>
          </w:p>
        </w:tc>
        <w:tc>
          <w:tcPr>
            <w:tcW w:w="60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SO3</w:t>
            </w:r>
          </w:p>
        </w:tc>
        <w:tc>
          <w:tcPr>
            <w:tcW w:w="6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K2O</w:t>
            </w:r>
          </w:p>
        </w:tc>
        <w:tc>
          <w:tcPr>
            <w:tcW w:w="60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CaO</w:t>
            </w:r>
          </w:p>
        </w:tc>
        <w:tc>
          <w:tcPr>
            <w:tcW w:w="76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Fe2O3</w:t>
            </w:r>
          </w:p>
        </w:tc>
        <w:tc>
          <w:tcPr>
            <w:tcW w:w="7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Cr2O3</w:t>
            </w:r>
          </w:p>
        </w:tc>
        <w:tc>
          <w:tcPr>
            <w:tcW w:w="65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MnO</w:t>
            </w:r>
          </w:p>
        </w:tc>
        <w:tc>
          <w:tcPr>
            <w:tcW w:w="5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NiO</w:t>
            </w:r>
          </w:p>
        </w:tc>
        <w:tc>
          <w:tcPr>
            <w:tcW w:w="614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CuO</w:t>
            </w:r>
          </w:p>
        </w:tc>
        <w:tc>
          <w:tcPr>
            <w:tcW w:w="60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ZnO</w:t>
            </w:r>
          </w:p>
        </w:tc>
        <w:tc>
          <w:tcPr>
            <w:tcW w:w="70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Rb2O</w:t>
            </w:r>
          </w:p>
        </w:tc>
        <w:tc>
          <w:tcPr>
            <w:tcW w:w="56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SrO</w:t>
            </w:r>
          </w:p>
        </w:tc>
        <w:tc>
          <w:tcPr>
            <w:tcW w:w="67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ZrO2</w:t>
            </w:r>
          </w:p>
        </w:tc>
        <w:tc>
          <w:tcPr>
            <w:tcW w:w="59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BaO</w:t>
            </w:r>
          </w:p>
        </w:tc>
        <w:tc>
          <w:tcPr>
            <w:tcW w:w="61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  <w:t>Cl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18"/>
                <w:szCs w:val="18"/>
                <w:lang w:eastAsia="en-GB"/>
              </w:rPr>
            </w:pPr>
          </w:p>
        </w:tc>
      </w:tr>
      <w:tr w:rsidR="00400C42" w:rsidRPr="00152AC0" w:rsidTr="0082082B">
        <w:trPr>
          <w:trHeight w:val="32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AD3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BC37AE" w:rsidRPr="0082082B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</w:pP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lang w:eastAsia="en-GB"/>
              </w:rPr>
              <w:t>0.98</w:t>
            </w: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  <w:t>**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ind w:right="-104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-0.44</w:t>
            </w:r>
          </w:p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Acidobacteria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-0.77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-0.79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-0.12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Actinobacteria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-0.69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-0.68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0.704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0.551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0.422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-0.07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0.638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0.642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ind w:right="-102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0.58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Bacteroidetes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0.287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-0.35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Chloroflexi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-0.74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0.804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0.26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-0.12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Firmicutes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0.72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0.143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-0.56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0.63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ind w:right="-102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-0.14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Gemmatimonadetes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0.30</w:t>
            </w:r>
          </w:p>
        </w:tc>
      </w:tr>
      <w:tr w:rsidR="00400C42" w:rsidRPr="00152AC0" w:rsidTr="00400C42">
        <w:trPr>
          <w:trHeight w:val="29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Proteobacteria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-0.53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-0.25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-0.48</w:t>
            </w:r>
          </w:p>
        </w:tc>
      </w:tr>
      <w:tr w:rsidR="00400C42" w:rsidRPr="00152AC0" w:rsidTr="00400C42">
        <w:trPr>
          <w:trHeight w:val="32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TM7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82082B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</w:pP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lang w:eastAsia="en-GB"/>
              </w:rPr>
              <w:t>0.97</w:t>
            </w: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  <w:t>**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-0.39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ind w:right="-102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-0.43</w:t>
            </w:r>
          </w:p>
        </w:tc>
      </w:tr>
      <w:tr w:rsidR="00400C42" w:rsidRPr="00152AC0" w:rsidTr="00400C42">
        <w:trPr>
          <w:trHeight w:val="329"/>
        </w:trPr>
        <w:tc>
          <w:tcPr>
            <w:tcW w:w="2036" w:type="dxa"/>
            <w:tcBorders>
              <w:top w:val="nil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left w:w="98" w:type="dxa"/>
            </w:tcMar>
          </w:tcPr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  <w:r w:rsidRPr="00CF42C3"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  <w:t>WPS-2</w:t>
            </w: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:rsidR="00BC37AE" w:rsidRPr="00CF42C3" w:rsidRDefault="00BC37AE" w:rsidP="00440B2E">
            <w:pPr>
              <w:pStyle w:val="Normal1"/>
              <w:spacing w:after="0" w:line="240" w:lineRule="auto"/>
              <w:rPr>
                <w:rFonts w:ascii="Times New Roman" w:eastAsia="SimSun" w:hAnsi="Times New Roman" w:cs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-0.41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82082B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</w:pP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lang w:eastAsia="en-GB"/>
              </w:rPr>
              <w:t>0.94</w:t>
            </w: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  <w:t>**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-0.26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-0.25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-0.20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C37AE" w:rsidRPr="00152AC0" w:rsidRDefault="00BC37AE" w:rsidP="00440B2E">
            <w:pPr>
              <w:pStyle w:val="Normal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</w:pPr>
            <w:r w:rsidRPr="00152AC0">
              <w:rPr>
                <w:rFonts w:ascii="Times New Roman" w:eastAsia="SimSun" w:hAnsi="Times New Roman" w:cs="Times New Roman"/>
                <w:color w:val="auto"/>
                <w:sz w:val="16"/>
                <w:szCs w:val="16"/>
                <w:lang w:eastAsia="en-GB"/>
              </w:rPr>
              <w:t>-0.32</w:t>
            </w:r>
          </w:p>
        </w:tc>
      </w:tr>
    </w:tbl>
    <w:p w:rsidR="00BC37AE" w:rsidRDefault="00BC37AE" w:rsidP="00BC37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440B2E" w:rsidRDefault="00BC37AE" w:rsidP="00BC37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*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*  -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 xml:space="preserve"> indicates P value &lt;</w:t>
      </w:r>
      <w:r w:rsidR="00440B2E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0.001 and is highly significant.</w:t>
      </w:r>
    </w:p>
    <w:p w:rsidR="00BA63E0" w:rsidRDefault="00BA63E0" w:rsidP="00B74851">
      <w:pPr>
        <w:pStyle w:val="Normal1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 w:rsidRPr="003F3EF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lastRenderedPageBreak/>
        <w:t>Table S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>5</w:t>
      </w:r>
      <w:r w:rsidRPr="003F3EF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GB"/>
        </w:rPr>
        <w:t>: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Pearson correlation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(PC) 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 xml:space="preserve">between physiochemical factors with the </w:t>
      </w:r>
      <w:r w:rsidR="00DB4949">
        <w:rPr>
          <w:rFonts w:ascii="Times New Roman" w:hAnsi="Times New Roman" w:cs="Times New Roman"/>
          <w:b/>
          <w:color w:val="auto"/>
          <w:sz w:val="24"/>
          <w:szCs w:val="24"/>
        </w:rPr>
        <w:t>bacterial diversity</w:t>
      </w:r>
      <w:r w:rsidRPr="006C061D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tbl>
      <w:tblPr>
        <w:tblStyle w:val="TableGrid"/>
        <w:tblW w:w="15763" w:type="dxa"/>
        <w:tblInd w:w="-601" w:type="dxa"/>
        <w:tblLayout w:type="fixed"/>
        <w:tblLook w:val="04A0"/>
      </w:tblPr>
      <w:tblGrid>
        <w:gridCol w:w="2127"/>
        <w:gridCol w:w="679"/>
        <w:gridCol w:w="586"/>
        <w:gridCol w:w="632"/>
        <w:gridCol w:w="701"/>
        <w:gridCol w:w="701"/>
        <w:gridCol w:w="762"/>
        <w:gridCol w:w="762"/>
        <w:gridCol w:w="632"/>
        <w:gridCol w:w="762"/>
        <w:gridCol w:w="701"/>
        <w:gridCol w:w="632"/>
        <w:gridCol w:w="632"/>
        <w:gridCol w:w="632"/>
        <w:gridCol w:w="762"/>
        <w:gridCol w:w="762"/>
        <w:gridCol w:w="632"/>
        <w:gridCol w:w="632"/>
        <w:gridCol w:w="632"/>
        <w:gridCol w:w="701"/>
        <w:gridCol w:w="701"/>
      </w:tblGrid>
      <w:tr w:rsidR="00B74851" w:rsidRPr="00BA63E0" w:rsidTr="00B74851">
        <w:trPr>
          <w:trHeight w:val="411"/>
        </w:trPr>
        <w:tc>
          <w:tcPr>
            <w:tcW w:w="2127" w:type="dxa"/>
            <w:noWrap/>
            <w:hideMark/>
          </w:tcPr>
          <w:p w:rsidR="00B74851" w:rsidRPr="00BA63E0" w:rsidRDefault="00B74851" w:rsidP="00BA63E0">
            <w:pPr>
              <w:rPr>
                <w:rFonts w:eastAsia="Times New Roman" w:cs="Times New Roman"/>
                <w:color w:val="000000"/>
                <w:sz w:val="16"/>
                <w:lang w:eastAsia="en-GB"/>
              </w:rPr>
            </w:pPr>
          </w:p>
        </w:tc>
        <w:tc>
          <w:tcPr>
            <w:tcW w:w="679" w:type="dxa"/>
          </w:tcPr>
          <w:p w:rsidR="00B74851" w:rsidRPr="00B74851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74851">
              <w:rPr>
                <w:b/>
                <w:color w:val="000000"/>
              </w:rPr>
              <w:t>pH</w:t>
            </w:r>
          </w:p>
        </w:tc>
        <w:tc>
          <w:tcPr>
            <w:tcW w:w="586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Na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MgO</w:t>
            </w:r>
          </w:p>
        </w:tc>
        <w:tc>
          <w:tcPr>
            <w:tcW w:w="701" w:type="dxa"/>
            <w:noWrap/>
            <w:hideMark/>
          </w:tcPr>
          <w:p w:rsidR="00B74851" w:rsidRPr="00BA63E0" w:rsidRDefault="00B74851" w:rsidP="00BA63E0">
            <w:pPr>
              <w:pStyle w:val="Normal1"/>
              <w:ind w:left="-85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Al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3</w:t>
            </w:r>
          </w:p>
        </w:tc>
        <w:tc>
          <w:tcPr>
            <w:tcW w:w="701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SiO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</w:p>
        </w:tc>
        <w:tc>
          <w:tcPr>
            <w:tcW w:w="76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P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5</w:t>
            </w:r>
          </w:p>
        </w:tc>
        <w:tc>
          <w:tcPr>
            <w:tcW w:w="76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SO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K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</w:p>
        </w:tc>
        <w:tc>
          <w:tcPr>
            <w:tcW w:w="76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CaO</w:t>
            </w:r>
          </w:p>
        </w:tc>
        <w:tc>
          <w:tcPr>
            <w:tcW w:w="701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Fe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Cr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3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MnO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NiO</w:t>
            </w:r>
          </w:p>
        </w:tc>
        <w:tc>
          <w:tcPr>
            <w:tcW w:w="76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CuO</w:t>
            </w:r>
          </w:p>
        </w:tc>
        <w:tc>
          <w:tcPr>
            <w:tcW w:w="76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ZnO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Rb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O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SrO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ZrO</w:t>
            </w:r>
            <w:r w:rsidRPr="00B74851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vertAlign w:val="subscript"/>
                <w:lang w:eastAsia="en-GB"/>
              </w:rPr>
              <w:t>2</w:t>
            </w:r>
          </w:p>
        </w:tc>
        <w:tc>
          <w:tcPr>
            <w:tcW w:w="701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BaO</w:t>
            </w:r>
          </w:p>
        </w:tc>
        <w:tc>
          <w:tcPr>
            <w:tcW w:w="701" w:type="dxa"/>
            <w:noWrap/>
            <w:hideMark/>
          </w:tcPr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  <w:r w:rsidRPr="00BA63E0"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  <w:t>Cl</w:t>
            </w:r>
          </w:p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</w:p>
          <w:p w:rsidR="00B74851" w:rsidRPr="00BA63E0" w:rsidRDefault="00B74851" w:rsidP="00BA63E0">
            <w:pPr>
              <w:pStyle w:val="Normal1"/>
              <w:rPr>
                <w:rFonts w:ascii="Times New Roman" w:eastAsia="SimSun" w:hAnsi="Times New Roman" w:cs="Times New Roman"/>
                <w:b/>
                <w:color w:val="auto"/>
                <w:sz w:val="16"/>
                <w:szCs w:val="18"/>
                <w:lang w:eastAsia="en-GB"/>
              </w:rPr>
            </w:pPr>
          </w:p>
        </w:tc>
      </w:tr>
      <w:tr w:rsidR="00B74851" w:rsidRPr="00BA63E0" w:rsidTr="00B74851">
        <w:trPr>
          <w:trHeight w:val="411"/>
        </w:trPr>
        <w:tc>
          <w:tcPr>
            <w:tcW w:w="2127" w:type="dxa"/>
            <w:noWrap/>
            <w:hideMark/>
          </w:tcPr>
          <w:p w:rsidR="00B74851" w:rsidRPr="00BA63E0" w:rsidRDefault="00B74851" w:rsidP="00BA63E0">
            <w:pPr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  <w:r w:rsidRPr="00BA63E0"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  <w:t>Shannon</w:t>
            </w:r>
          </w:p>
        </w:tc>
        <w:tc>
          <w:tcPr>
            <w:tcW w:w="679" w:type="dxa"/>
          </w:tcPr>
          <w:p w:rsidR="00B74851" w:rsidRPr="00BA63E0" w:rsidRDefault="00B74851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</w:rPr>
              <w:t>0.09</w:t>
            </w:r>
          </w:p>
        </w:tc>
        <w:tc>
          <w:tcPr>
            <w:tcW w:w="586" w:type="dxa"/>
            <w:noWrap/>
            <w:hideMark/>
          </w:tcPr>
          <w:p w:rsidR="00B74851" w:rsidRPr="00BA63E0" w:rsidRDefault="00B74851">
            <w:pPr>
              <w:jc w:val="right"/>
              <w:rPr>
                <w:color w:val="000000"/>
                <w:sz w:val="20"/>
              </w:rPr>
            </w:pPr>
            <w:r w:rsidRPr="00BA63E0">
              <w:rPr>
                <w:color w:val="000000"/>
                <w:sz w:val="20"/>
              </w:rPr>
              <w:t>0.55</w:t>
            </w:r>
          </w:p>
        </w:tc>
        <w:tc>
          <w:tcPr>
            <w:tcW w:w="632" w:type="dxa"/>
            <w:noWrap/>
            <w:hideMark/>
          </w:tcPr>
          <w:p w:rsidR="00B74851" w:rsidRPr="00BA63E0" w:rsidRDefault="00B74851">
            <w:pPr>
              <w:jc w:val="right"/>
              <w:rPr>
                <w:color w:val="000000"/>
                <w:sz w:val="20"/>
              </w:rPr>
            </w:pPr>
            <w:r w:rsidRPr="00BA63E0">
              <w:rPr>
                <w:color w:val="000000"/>
                <w:sz w:val="20"/>
              </w:rPr>
              <w:t>-0.16</w:t>
            </w:r>
          </w:p>
        </w:tc>
        <w:tc>
          <w:tcPr>
            <w:tcW w:w="701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0.83</w:t>
            </w:r>
          </w:p>
        </w:tc>
        <w:tc>
          <w:tcPr>
            <w:tcW w:w="701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0.63</w:t>
            </w:r>
          </w:p>
        </w:tc>
        <w:tc>
          <w:tcPr>
            <w:tcW w:w="76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-0.73</w:t>
            </w:r>
          </w:p>
        </w:tc>
        <w:tc>
          <w:tcPr>
            <w:tcW w:w="76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-0.81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-0.48</w:t>
            </w:r>
          </w:p>
        </w:tc>
        <w:tc>
          <w:tcPr>
            <w:tcW w:w="76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-0.79</w:t>
            </w:r>
          </w:p>
        </w:tc>
        <w:tc>
          <w:tcPr>
            <w:tcW w:w="701" w:type="dxa"/>
            <w:noWrap/>
            <w:hideMark/>
          </w:tcPr>
          <w:p w:rsidR="00B74851" w:rsidRPr="0082082B" w:rsidRDefault="00B74851">
            <w:pPr>
              <w:jc w:val="right"/>
              <w:rPr>
                <w:color w:val="FF0000"/>
                <w:sz w:val="20"/>
              </w:rPr>
            </w:pPr>
            <w:r w:rsidRPr="0082082B">
              <w:rPr>
                <w:color w:val="FF0000"/>
                <w:sz w:val="20"/>
              </w:rPr>
              <w:t>0.93</w:t>
            </w:r>
            <w:r w:rsidRPr="0082082B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shd w:val="clear" w:color="auto" w:fill="FFFF00"/>
                <w:vertAlign w:val="superscript"/>
                <w:lang w:eastAsia="en-GB"/>
              </w:rPr>
              <w:t>**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0.28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-0.82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-0.84</w:t>
            </w:r>
          </w:p>
        </w:tc>
        <w:tc>
          <w:tcPr>
            <w:tcW w:w="76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-0.78</w:t>
            </w:r>
          </w:p>
        </w:tc>
        <w:tc>
          <w:tcPr>
            <w:tcW w:w="76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-0.76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-0.38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-0.67</w:t>
            </w:r>
          </w:p>
        </w:tc>
        <w:tc>
          <w:tcPr>
            <w:tcW w:w="632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0.55</w:t>
            </w:r>
          </w:p>
        </w:tc>
        <w:tc>
          <w:tcPr>
            <w:tcW w:w="701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0.78</w:t>
            </w:r>
          </w:p>
        </w:tc>
        <w:tc>
          <w:tcPr>
            <w:tcW w:w="701" w:type="dxa"/>
            <w:noWrap/>
            <w:hideMark/>
          </w:tcPr>
          <w:p w:rsidR="00B74851" w:rsidRPr="0082082B" w:rsidRDefault="00B74851">
            <w:pPr>
              <w:jc w:val="right"/>
              <w:rPr>
                <w:color w:val="000000"/>
                <w:sz w:val="20"/>
              </w:rPr>
            </w:pPr>
            <w:r w:rsidRPr="0082082B">
              <w:rPr>
                <w:color w:val="000000"/>
                <w:sz w:val="20"/>
              </w:rPr>
              <w:t>-0.06</w:t>
            </w:r>
          </w:p>
        </w:tc>
      </w:tr>
    </w:tbl>
    <w:p w:rsidR="00BA63E0" w:rsidRDefault="00BA63E0" w:rsidP="00BC37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BA63E0" w:rsidRDefault="00BA63E0" w:rsidP="00BA63E0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**</w:t>
      </w:r>
      <w:r w:rsidR="00B74851"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  <w:t>- indicates P value &lt;0.001 and is highly significant.</w:t>
      </w:r>
    </w:p>
    <w:p w:rsidR="002750DA" w:rsidRDefault="002750DA" w:rsidP="00BC37A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GB"/>
        </w:rPr>
      </w:pPr>
    </w:p>
    <w:p w:rsidR="002750DA" w:rsidRDefault="002750DA" w:rsidP="002750DA">
      <w:pPr>
        <w:pStyle w:val="Normal1"/>
        <w:tabs>
          <w:tab w:val="left" w:pos="2011"/>
        </w:tabs>
        <w:jc w:val="both"/>
        <w:rPr>
          <w:color w:val="auto"/>
        </w:rPr>
      </w:pPr>
      <w:r>
        <w:rPr>
          <w:noProof/>
          <w:color w:val="auto"/>
          <w:lang w:eastAsia="en-GB"/>
        </w:rPr>
        <w:lastRenderedPageBreak/>
        <w:drawing>
          <wp:inline distT="0" distB="0" distL="0" distR="0">
            <wp:extent cx="8863330" cy="4228852"/>
            <wp:effectExtent l="19050" t="0" r="0" b="0"/>
            <wp:docPr id="1" name="Picture 1" descr="C:\Users\surajit de mandal\Desktop\IIIIIIIIIIIIIIIIIIIIIIIIIIIIIIII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rajit de mandal\Desktop\IIIIIIIIIIIIIIIIIIIIIIIIIIIIIIIII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2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DA" w:rsidRDefault="002750DA" w:rsidP="002750DA">
      <w:pPr>
        <w:pStyle w:val="Normal1"/>
        <w:tabs>
          <w:tab w:val="left" w:pos="2011"/>
        </w:tabs>
        <w:jc w:val="both"/>
        <w:rPr>
          <w:color w:val="auto"/>
        </w:rPr>
      </w:pPr>
    </w:p>
    <w:p w:rsidR="002750DA" w:rsidRPr="006C061D" w:rsidRDefault="002750DA" w:rsidP="002750DA">
      <w:pPr>
        <w:pStyle w:val="Normal1"/>
        <w:tabs>
          <w:tab w:val="left" w:pos="2011"/>
        </w:tabs>
        <w:jc w:val="both"/>
        <w:rPr>
          <w:color w:val="auto"/>
        </w:rPr>
      </w:pPr>
    </w:p>
    <w:p w:rsidR="002750DA" w:rsidRPr="007309C8" w:rsidRDefault="002750DA" w:rsidP="002750DA">
      <w:pPr>
        <w:pStyle w:val="Normal1"/>
        <w:tabs>
          <w:tab w:val="left" w:pos="2011"/>
        </w:tabs>
        <w:rPr>
          <w:rFonts w:ascii="Times New Roman" w:hAnsi="Times New Roman" w:cs="Times New Roman"/>
          <w:color w:val="auto"/>
          <w:sz w:val="24"/>
          <w:szCs w:val="24"/>
        </w:rPr>
        <w:sectPr w:rsidR="002750DA" w:rsidRPr="007309C8" w:rsidSect="00BA63E0">
          <w:footerReference w:type="default" r:id="rId7"/>
          <w:pgSz w:w="16838" w:h="11906" w:orient="landscape"/>
          <w:pgMar w:top="1440" w:right="1440" w:bottom="1440" w:left="1440" w:header="0" w:footer="709" w:gutter="0"/>
          <w:cols w:space="720"/>
          <w:formProt w:val="0"/>
          <w:docGrid w:linePitch="360" w:charSpace="-2049"/>
        </w:sectPr>
      </w:pPr>
      <w:r w:rsidRPr="006C061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Figure 1: </w:t>
      </w:r>
      <w:r w:rsidRPr="006C061D">
        <w:rPr>
          <w:rFonts w:ascii="Times New Roman" w:hAnsi="Times New Roman" w:cs="Times New Roman"/>
          <w:color w:val="auto"/>
          <w:sz w:val="24"/>
          <w:szCs w:val="24"/>
        </w:rPr>
        <w:t>Bioplot generated for the Principal Component Analysis (PCA) of twenty geochemical variables. Cave samples are shown as colored symbols and physicochemical variables are represented by green lines.</w:t>
      </w:r>
    </w:p>
    <w:p w:rsidR="002750DA" w:rsidRPr="006C061D" w:rsidRDefault="002750DA" w:rsidP="002750DA">
      <w:pPr>
        <w:pStyle w:val="Normal1"/>
        <w:tabs>
          <w:tab w:val="left" w:pos="2011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750DA" w:rsidRPr="006C061D" w:rsidRDefault="002750DA" w:rsidP="002750DA">
      <w:pPr>
        <w:pStyle w:val="Normal1"/>
        <w:tabs>
          <w:tab w:val="left" w:pos="2011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750DA" w:rsidRPr="006C061D" w:rsidRDefault="002750DA" w:rsidP="002750DA">
      <w:pPr>
        <w:pStyle w:val="Normal1"/>
        <w:tabs>
          <w:tab w:val="left" w:pos="2011"/>
        </w:tabs>
        <w:jc w:val="both"/>
        <w:rPr>
          <w:color w:val="auto"/>
        </w:rPr>
      </w:pPr>
      <w:r w:rsidRPr="006C061D">
        <w:rPr>
          <w:noProof/>
          <w:color w:val="auto"/>
          <w:lang w:eastAsia="en-GB"/>
        </w:rPr>
        <w:drawing>
          <wp:inline distT="0" distB="0" distL="0" distR="0">
            <wp:extent cx="6157595" cy="4485640"/>
            <wp:effectExtent l="0" t="0" r="0" b="0"/>
            <wp:docPr id="2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50DA" w:rsidRPr="002750DA" w:rsidRDefault="002750DA" w:rsidP="002750DA">
      <w:pPr>
        <w:pStyle w:val="Normal1"/>
        <w:tabs>
          <w:tab w:val="left" w:pos="2011"/>
        </w:tabs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6C061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Supplementary Figure 2: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R</w:t>
      </w:r>
      <w:r w:rsidRPr="001D5CBD">
        <w:rPr>
          <w:rFonts w:ascii="Times New Roman" w:hAnsi="Times New Roman" w:cs="Times New Roman"/>
          <w:bCs/>
          <w:color w:val="auto"/>
          <w:sz w:val="24"/>
          <w:szCs w:val="24"/>
        </w:rPr>
        <w:t>elative abundance of the functional genes present in the cave samples.</w:t>
      </w:r>
    </w:p>
    <w:sectPr w:rsidR="002750DA" w:rsidRPr="002750DA" w:rsidSect="00046855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AF2" w:rsidRDefault="00BA0AF2" w:rsidP="00E049CE">
      <w:pPr>
        <w:spacing w:line="240" w:lineRule="auto"/>
      </w:pPr>
      <w:r>
        <w:separator/>
      </w:r>
    </w:p>
  </w:endnote>
  <w:endnote w:type="continuationSeparator" w:id="0">
    <w:p w:rsidR="00BA0AF2" w:rsidRDefault="00BA0AF2" w:rsidP="00E049C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AF2" w:rsidRDefault="00BA0AF2">
    <w:pPr>
      <w:pStyle w:val="Footer"/>
      <w:jc w:val="center"/>
    </w:pPr>
    <w:fldSimple w:instr="PAGE">
      <w:r w:rsidR="001B4933">
        <w:rPr>
          <w:noProof/>
        </w:rPr>
        <w:t>1</w:t>
      </w:r>
    </w:fldSimple>
  </w:p>
  <w:p w:rsidR="00BA0AF2" w:rsidRDefault="00BA0AF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AF2" w:rsidRDefault="00BA0AF2">
    <w:pPr>
      <w:pStyle w:val="Footer"/>
      <w:jc w:val="center"/>
    </w:pPr>
    <w:fldSimple w:instr="PAGE">
      <w:r>
        <w:rPr>
          <w:noProof/>
        </w:rPr>
        <w:t>10</w:t>
      </w:r>
    </w:fldSimple>
  </w:p>
  <w:p w:rsidR="00BA0AF2" w:rsidRDefault="00BA0A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AF2" w:rsidRDefault="00BA0AF2" w:rsidP="00E049CE">
      <w:pPr>
        <w:spacing w:line="240" w:lineRule="auto"/>
      </w:pPr>
      <w:r>
        <w:separator/>
      </w:r>
    </w:p>
  </w:footnote>
  <w:footnote w:type="continuationSeparator" w:id="0">
    <w:p w:rsidR="00BA0AF2" w:rsidRDefault="00BA0AF2" w:rsidP="00E049C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855"/>
    <w:rsid w:val="00005DEB"/>
    <w:rsid w:val="00046855"/>
    <w:rsid w:val="000B0139"/>
    <w:rsid w:val="001355FA"/>
    <w:rsid w:val="00140B1B"/>
    <w:rsid w:val="00150658"/>
    <w:rsid w:val="00152AC0"/>
    <w:rsid w:val="001B4933"/>
    <w:rsid w:val="001B4ECF"/>
    <w:rsid w:val="001D0697"/>
    <w:rsid w:val="001E5B94"/>
    <w:rsid w:val="002134DC"/>
    <w:rsid w:val="00235333"/>
    <w:rsid w:val="002750DA"/>
    <w:rsid w:val="00367D22"/>
    <w:rsid w:val="003C3CCB"/>
    <w:rsid w:val="003E7594"/>
    <w:rsid w:val="003F267F"/>
    <w:rsid w:val="003F3EFD"/>
    <w:rsid w:val="00400C42"/>
    <w:rsid w:val="004169B0"/>
    <w:rsid w:val="00440B2E"/>
    <w:rsid w:val="004E5DFA"/>
    <w:rsid w:val="004F02C2"/>
    <w:rsid w:val="00510773"/>
    <w:rsid w:val="00535B05"/>
    <w:rsid w:val="00542D14"/>
    <w:rsid w:val="005455D7"/>
    <w:rsid w:val="005544A7"/>
    <w:rsid w:val="00564099"/>
    <w:rsid w:val="005E2412"/>
    <w:rsid w:val="006A2232"/>
    <w:rsid w:val="006B680F"/>
    <w:rsid w:val="006C39F8"/>
    <w:rsid w:val="007329C4"/>
    <w:rsid w:val="007665EE"/>
    <w:rsid w:val="007835D9"/>
    <w:rsid w:val="0079781D"/>
    <w:rsid w:val="007F16C4"/>
    <w:rsid w:val="008042B3"/>
    <w:rsid w:val="0080749F"/>
    <w:rsid w:val="0082082B"/>
    <w:rsid w:val="008A05A6"/>
    <w:rsid w:val="008D7205"/>
    <w:rsid w:val="008F106C"/>
    <w:rsid w:val="008F1740"/>
    <w:rsid w:val="00930826"/>
    <w:rsid w:val="009908C2"/>
    <w:rsid w:val="009A31A8"/>
    <w:rsid w:val="009A66E4"/>
    <w:rsid w:val="009D1745"/>
    <w:rsid w:val="009E1F8B"/>
    <w:rsid w:val="00A56CDB"/>
    <w:rsid w:val="00AA5EE3"/>
    <w:rsid w:val="00B537D9"/>
    <w:rsid w:val="00B725A8"/>
    <w:rsid w:val="00B74851"/>
    <w:rsid w:val="00BA0AF2"/>
    <w:rsid w:val="00BA63E0"/>
    <w:rsid w:val="00BB2329"/>
    <w:rsid w:val="00BC37AE"/>
    <w:rsid w:val="00C775D4"/>
    <w:rsid w:val="00C972A3"/>
    <w:rsid w:val="00CF42C3"/>
    <w:rsid w:val="00CF6F33"/>
    <w:rsid w:val="00D078BC"/>
    <w:rsid w:val="00D41092"/>
    <w:rsid w:val="00D436EF"/>
    <w:rsid w:val="00DA6079"/>
    <w:rsid w:val="00DB4949"/>
    <w:rsid w:val="00DC4319"/>
    <w:rsid w:val="00DC720F"/>
    <w:rsid w:val="00DD29F5"/>
    <w:rsid w:val="00E049CE"/>
    <w:rsid w:val="00E1118E"/>
    <w:rsid w:val="00E234B0"/>
    <w:rsid w:val="00E52822"/>
    <w:rsid w:val="00E5551C"/>
    <w:rsid w:val="00F23BF3"/>
    <w:rsid w:val="00F366B6"/>
    <w:rsid w:val="00FC5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855"/>
    <w:pPr>
      <w:spacing w:after="0"/>
    </w:pPr>
    <w:rPr>
      <w:rFonts w:ascii="Calibri" w:eastAsia="Droid Sans Fallback" w:hAnsi="Calibri" w:cs="Calibri"/>
    </w:rPr>
  </w:style>
  <w:style w:type="paragraph" w:styleId="Heading1">
    <w:name w:val="heading 1"/>
    <w:basedOn w:val="Normal1"/>
    <w:next w:val="Normal1"/>
    <w:link w:val="Heading1Char"/>
    <w:uiPriority w:val="9"/>
    <w:qFormat/>
    <w:rsid w:val="000468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1"/>
    <w:next w:val="Normal1"/>
    <w:link w:val="Heading2Char"/>
    <w:uiPriority w:val="9"/>
    <w:semiHidden/>
    <w:unhideWhenUsed/>
    <w:qFormat/>
    <w:rsid w:val="0004685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1"/>
    <w:next w:val="Normal1"/>
    <w:link w:val="Heading3Char"/>
    <w:uiPriority w:val="9"/>
    <w:semiHidden/>
    <w:unhideWhenUsed/>
    <w:qFormat/>
    <w:rsid w:val="0004685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1"/>
    <w:link w:val="Heading4Char"/>
    <w:uiPriority w:val="9"/>
    <w:qFormat/>
    <w:rsid w:val="00046855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855"/>
    <w:rPr>
      <w:rFonts w:ascii="Cambria" w:eastAsia="Droid Sans Fallback" w:hAnsi="Cambria" w:cs="Calibr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855"/>
    <w:rPr>
      <w:rFonts w:ascii="Cambria" w:eastAsia="Droid Sans Fallback" w:hAnsi="Cambria" w:cs="Calibr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855"/>
    <w:rPr>
      <w:rFonts w:ascii="Cambria" w:eastAsia="Droid Sans Fallback" w:hAnsi="Cambria" w:cs="Calibr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046855"/>
    <w:rPr>
      <w:rFonts w:ascii="Calibri" w:eastAsia="Droid Sans Fallback" w:hAnsi="Calibri" w:cs="Calibri"/>
      <w:color w:val="00000A"/>
    </w:rPr>
  </w:style>
  <w:style w:type="paragraph" w:customStyle="1" w:styleId="Normal1">
    <w:name w:val="Normal1"/>
    <w:rsid w:val="00046855"/>
    <w:pPr>
      <w:suppressAutoHyphens/>
      <w:textAlignment w:val="baseline"/>
    </w:pPr>
    <w:rPr>
      <w:rFonts w:ascii="Calibri" w:eastAsia="Droid Sans Fallback" w:hAnsi="Calibri" w:cs="Calibri"/>
      <w:color w:val="00000A"/>
    </w:rPr>
  </w:style>
  <w:style w:type="character" w:customStyle="1" w:styleId="InternetLink">
    <w:name w:val="Internet Link"/>
    <w:basedOn w:val="DefaultParagraphFont"/>
    <w:uiPriority w:val="99"/>
    <w:unhideWhenUsed/>
    <w:rsid w:val="00046855"/>
    <w:rPr>
      <w:color w:val="0000FF"/>
      <w:u w:val="single"/>
    </w:rPr>
  </w:style>
  <w:style w:type="character" w:customStyle="1" w:styleId="A6">
    <w:name w:val="A6"/>
    <w:uiPriority w:val="99"/>
    <w:rsid w:val="00046855"/>
    <w:rPr>
      <w:rFonts w:cs="Bookman Old Style"/>
      <w:color w:val="221E1F"/>
      <w:sz w:val="19"/>
      <w:szCs w:val="19"/>
    </w:rPr>
  </w:style>
  <w:style w:type="character" w:styleId="Emphasis">
    <w:name w:val="Emphasis"/>
    <w:basedOn w:val="DefaultParagraphFont"/>
    <w:uiPriority w:val="20"/>
    <w:qFormat/>
    <w:rsid w:val="00046855"/>
    <w:rPr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855"/>
    <w:rPr>
      <w:rFonts w:ascii="Tahoma" w:hAnsi="Tahoma" w:cs="Tahoma"/>
      <w:sz w:val="16"/>
      <w:szCs w:val="16"/>
    </w:rPr>
  </w:style>
  <w:style w:type="character" w:customStyle="1" w:styleId="mixed-citation">
    <w:name w:val="mixed-citation"/>
    <w:basedOn w:val="DefaultParagraphFont"/>
    <w:rsid w:val="00046855"/>
  </w:style>
  <w:style w:type="character" w:customStyle="1" w:styleId="ref-title">
    <w:name w:val="ref-title"/>
    <w:basedOn w:val="DefaultParagraphFont"/>
    <w:rsid w:val="00046855"/>
  </w:style>
  <w:style w:type="character" w:customStyle="1" w:styleId="ref-journal">
    <w:name w:val="ref-journal"/>
    <w:basedOn w:val="DefaultParagraphFont"/>
    <w:rsid w:val="00046855"/>
  </w:style>
  <w:style w:type="character" w:customStyle="1" w:styleId="ref-vol">
    <w:name w:val="ref-vol"/>
    <w:basedOn w:val="DefaultParagraphFont"/>
    <w:rsid w:val="00046855"/>
  </w:style>
  <w:style w:type="character" w:customStyle="1" w:styleId="HeaderChar">
    <w:name w:val="Header Char"/>
    <w:basedOn w:val="DefaultParagraphFont"/>
    <w:link w:val="Header"/>
    <w:uiPriority w:val="99"/>
    <w:semiHidden/>
    <w:rsid w:val="00046855"/>
    <w:rPr>
      <w:rFonts w:ascii="Calibri" w:eastAsia="Droid Sans Fallback" w:hAnsi="Calibri" w:cs="Calibri"/>
      <w:color w:val="00000A"/>
    </w:rPr>
  </w:style>
  <w:style w:type="character" w:customStyle="1" w:styleId="FooterChar">
    <w:name w:val="Footer Char"/>
    <w:basedOn w:val="DefaultParagraphFont"/>
    <w:link w:val="Footer"/>
    <w:uiPriority w:val="99"/>
    <w:rsid w:val="00046855"/>
    <w:rPr>
      <w:rFonts w:ascii="Calibri" w:eastAsia="Droid Sans Fallback" w:hAnsi="Calibri" w:cs="Calibri"/>
      <w:color w:val="00000A"/>
    </w:rPr>
  </w:style>
  <w:style w:type="character" w:styleId="HTMLCite">
    <w:name w:val="HTML Cite"/>
    <w:basedOn w:val="DefaultParagraphFont"/>
    <w:uiPriority w:val="99"/>
    <w:semiHidden/>
    <w:unhideWhenUsed/>
    <w:rsid w:val="00046855"/>
    <w:rPr>
      <w:i/>
      <w:iCs/>
    </w:rPr>
  </w:style>
  <w:style w:type="character" w:customStyle="1" w:styleId="mb">
    <w:name w:val="mb"/>
    <w:basedOn w:val="DefaultParagraphFont"/>
    <w:rsid w:val="00046855"/>
  </w:style>
  <w:style w:type="character" w:customStyle="1" w:styleId="nowrap">
    <w:name w:val="nowrap"/>
    <w:basedOn w:val="DefaultParagraphFont"/>
    <w:rsid w:val="00046855"/>
  </w:style>
  <w:style w:type="character" w:customStyle="1" w:styleId="text-with-line-breaks">
    <w:name w:val="text-with-line-breaks"/>
    <w:basedOn w:val="DefaultParagraphFont"/>
    <w:rsid w:val="00046855"/>
  </w:style>
  <w:style w:type="character" w:customStyle="1" w:styleId="reference">
    <w:name w:val="reference"/>
    <w:basedOn w:val="DefaultParagraphFont"/>
    <w:rsid w:val="00046855"/>
  </w:style>
  <w:style w:type="character" w:customStyle="1" w:styleId="jp-bold">
    <w:name w:val="jp-bold"/>
    <w:basedOn w:val="DefaultParagraphFont"/>
    <w:rsid w:val="00046855"/>
  </w:style>
  <w:style w:type="character" w:customStyle="1" w:styleId="jp-italic">
    <w:name w:val="jp-italic"/>
    <w:basedOn w:val="DefaultParagraphFont"/>
    <w:rsid w:val="00046855"/>
  </w:style>
  <w:style w:type="character" w:customStyle="1" w:styleId="embeddedrefs">
    <w:name w:val="embeddedrefs"/>
    <w:basedOn w:val="DefaultParagraphFont"/>
    <w:rsid w:val="00046855"/>
  </w:style>
  <w:style w:type="character" w:customStyle="1" w:styleId="tl-lowest-section">
    <w:name w:val="tl-lowest-section"/>
    <w:basedOn w:val="DefaultParagraphFont"/>
    <w:rsid w:val="00046855"/>
  </w:style>
  <w:style w:type="character" w:customStyle="1" w:styleId="tocnumber">
    <w:name w:val="tocnumber"/>
    <w:basedOn w:val="DefaultParagraphFont"/>
    <w:rsid w:val="00046855"/>
  </w:style>
  <w:style w:type="character" w:customStyle="1" w:styleId="toctext">
    <w:name w:val="toctext"/>
    <w:basedOn w:val="DefaultParagraphFont"/>
    <w:rsid w:val="00046855"/>
  </w:style>
  <w:style w:type="character" w:customStyle="1" w:styleId="mw-headline">
    <w:name w:val="mw-headline"/>
    <w:basedOn w:val="DefaultParagraphFont"/>
    <w:rsid w:val="00046855"/>
  </w:style>
  <w:style w:type="character" w:customStyle="1" w:styleId="reference-text">
    <w:name w:val="reference-text"/>
    <w:basedOn w:val="DefaultParagraphFont"/>
    <w:rsid w:val="00046855"/>
  </w:style>
  <w:style w:type="character" w:customStyle="1" w:styleId="xref">
    <w:name w:val="xref"/>
    <w:basedOn w:val="DefaultParagraphFont"/>
    <w:rsid w:val="00046855"/>
  </w:style>
  <w:style w:type="character" w:customStyle="1" w:styleId="named-content-genus">
    <w:name w:val="named-content-genus"/>
    <w:basedOn w:val="DefaultParagraphFont"/>
    <w:rsid w:val="00046855"/>
  </w:style>
  <w:style w:type="character" w:customStyle="1" w:styleId="journal">
    <w:name w:val="journal"/>
    <w:basedOn w:val="DefaultParagraphFont"/>
    <w:rsid w:val="00046855"/>
  </w:style>
  <w:style w:type="character" w:customStyle="1" w:styleId="jnumber">
    <w:name w:val="jnumber"/>
    <w:basedOn w:val="DefaultParagraphFont"/>
    <w:rsid w:val="00046855"/>
  </w:style>
  <w:style w:type="character" w:customStyle="1" w:styleId="apple-converted-space">
    <w:name w:val="apple-converted-space"/>
    <w:basedOn w:val="DefaultParagraphFont"/>
    <w:rsid w:val="00046855"/>
  </w:style>
  <w:style w:type="character" w:customStyle="1" w:styleId="sc">
    <w:name w:val="sc"/>
    <w:basedOn w:val="DefaultParagraphFont"/>
    <w:rsid w:val="00046855"/>
  </w:style>
  <w:style w:type="character" w:customStyle="1" w:styleId="ListLabel1">
    <w:name w:val="ListLabel 1"/>
    <w:rsid w:val="00046855"/>
    <w:rPr>
      <w:rFonts w:cs="Courier New"/>
    </w:rPr>
  </w:style>
  <w:style w:type="character" w:customStyle="1" w:styleId="ListLabel2">
    <w:name w:val="ListLabel 2"/>
    <w:rsid w:val="00046855"/>
    <w:rPr>
      <w:sz w:val="20"/>
    </w:rPr>
  </w:style>
  <w:style w:type="paragraph" w:customStyle="1" w:styleId="Heading">
    <w:name w:val="Heading"/>
    <w:basedOn w:val="Normal1"/>
    <w:next w:val="TextBody"/>
    <w:rsid w:val="00046855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1"/>
    <w:rsid w:val="00046855"/>
    <w:pPr>
      <w:spacing w:after="140" w:line="288" w:lineRule="auto"/>
    </w:pPr>
  </w:style>
  <w:style w:type="paragraph" w:styleId="List">
    <w:name w:val="List"/>
    <w:basedOn w:val="TextBody"/>
    <w:rsid w:val="00046855"/>
    <w:rPr>
      <w:rFonts w:cs="FreeSans"/>
    </w:rPr>
  </w:style>
  <w:style w:type="paragraph" w:styleId="Caption">
    <w:name w:val="caption"/>
    <w:basedOn w:val="Normal1"/>
    <w:next w:val="Normal1"/>
    <w:uiPriority w:val="35"/>
    <w:unhideWhenUsed/>
    <w:qFormat/>
    <w:rsid w:val="00046855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1"/>
    <w:rsid w:val="00046855"/>
    <w:pPr>
      <w:suppressLineNumbers/>
    </w:pPr>
    <w:rPr>
      <w:rFonts w:cs="FreeSans"/>
    </w:rPr>
  </w:style>
  <w:style w:type="paragraph" w:styleId="NormalWeb">
    <w:name w:val="Normal (Web)"/>
    <w:basedOn w:val="Normal1"/>
    <w:uiPriority w:val="99"/>
    <w:unhideWhenUsed/>
    <w:rsid w:val="00046855"/>
    <w:pPr>
      <w:spacing w:after="28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046855"/>
    <w:pPr>
      <w:suppressAutoHyphens/>
      <w:spacing w:after="0" w:line="240" w:lineRule="auto"/>
    </w:pPr>
    <w:rPr>
      <w:rFonts w:ascii="Bookman Old Style" w:eastAsia="Droid Sans Fallback" w:hAnsi="Bookman Old Style" w:cs="Bookman Old Style"/>
      <w:color w:val="000000"/>
      <w:sz w:val="24"/>
      <w:szCs w:val="24"/>
    </w:rPr>
  </w:style>
  <w:style w:type="paragraph" w:styleId="NoSpacing">
    <w:name w:val="No Spacing"/>
    <w:uiPriority w:val="1"/>
    <w:qFormat/>
    <w:rsid w:val="00046855"/>
    <w:pPr>
      <w:suppressAutoHyphens/>
      <w:spacing w:after="0" w:line="240" w:lineRule="auto"/>
    </w:pPr>
    <w:rPr>
      <w:rFonts w:ascii="Calibri" w:eastAsia="Droid Sans Fallback" w:hAnsi="Calibri" w:cs="Calibri"/>
    </w:rPr>
  </w:style>
  <w:style w:type="paragraph" w:styleId="BalloonText">
    <w:name w:val="Balloon Text"/>
    <w:basedOn w:val="Normal1"/>
    <w:link w:val="BalloonTextChar"/>
    <w:uiPriority w:val="99"/>
    <w:semiHidden/>
    <w:unhideWhenUsed/>
    <w:rsid w:val="00046855"/>
    <w:pPr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046855"/>
    <w:rPr>
      <w:rFonts w:ascii="Tahoma" w:eastAsia="Droid Sans Fallback" w:hAnsi="Tahoma" w:cs="Tahoma"/>
      <w:sz w:val="16"/>
      <w:szCs w:val="16"/>
    </w:rPr>
  </w:style>
  <w:style w:type="paragraph" w:customStyle="1" w:styleId="p">
    <w:name w:val="p"/>
    <w:basedOn w:val="Normal1"/>
    <w:rsid w:val="00046855"/>
    <w:pPr>
      <w:spacing w:after="28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1"/>
    <w:uiPriority w:val="34"/>
    <w:qFormat/>
    <w:rsid w:val="00046855"/>
    <w:pPr>
      <w:ind w:left="720"/>
      <w:contextualSpacing/>
    </w:pPr>
  </w:style>
  <w:style w:type="paragraph" w:styleId="Header">
    <w:name w:val="header"/>
    <w:basedOn w:val="Normal1"/>
    <w:link w:val="HeaderChar"/>
    <w:uiPriority w:val="99"/>
    <w:semiHidden/>
    <w:unhideWhenUsed/>
    <w:rsid w:val="0004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046855"/>
    <w:rPr>
      <w:rFonts w:ascii="Calibri" w:eastAsia="Droid Sans Fallback" w:hAnsi="Calibri" w:cs="Calibri"/>
    </w:rPr>
  </w:style>
  <w:style w:type="paragraph" w:styleId="Footer">
    <w:name w:val="footer"/>
    <w:basedOn w:val="Normal1"/>
    <w:link w:val="FooterChar"/>
    <w:uiPriority w:val="99"/>
    <w:unhideWhenUsed/>
    <w:rsid w:val="000468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046855"/>
    <w:rPr>
      <w:rFonts w:ascii="Calibri" w:eastAsia="Droid Sans Fallback" w:hAnsi="Calibri" w:cs="Calibri"/>
    </w:rPr>
  </w:style>
  <w:style w:type="paragraph" w:customStyle="1" w:styleId="FrameContents">
    <w:name w:val="Frame Contents"/>
    <w:basedOn w:val="Normal1"/>
    <w:rsid w:val="00046855"/>
  </w:style>
  <w:style w:type="table" w:styleId="TableGrid">
    <w:name w:val="Table Grid"/>
    <w:basedOn w:val="TableNormal"/>
    <w:uiPriority w:val="59"/>
    <w:rsid w:val="00046855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Default"/>
    <w:next w:val="Default"/>
    <w:uiPriority w:val="99"/>
    <w:rsid w:val="00046855"/>
    <w:pPr>
      <w:suppressAutoHyphens w:val="0"/>
      <w:autoSpaceDE w:val="0"/>
      <w:autoSpaceDN w:val="0"/>
      <w:adjustRightInd w:val="0"/>
      <w:spacing w:line="240" w:lineRule="atLeast"/>
    </w:pPr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>
      <c:txPr>
        <a:bodyPr/>
        <a:lstStyle/>
        <a:p>
          <a:pPr>
            <a:defRPr lang="en-GB"/>
          </a:pPr>
          <a:endParaRPr lang="en-US"/>
        </a:p>
      </c:txPr>
    </c:title>
    <c:view3D>
      <c:perspective val="30"/>
    </c:view3D>
    <c:floor>
      <c:spPr>
        <a:solidFill>
          <a:srgbClr val="D9D9D9"/>
        </a:solidFill>
        <a:ln>
          <a:noFill/>
        </a:ln>
      </c:spPr>
    </c:floor>
    <c:backWall>
      <c:spPr>
        <a:solidFill>
          <a:srgbClr val="D9D9D9"/>
        </a:solidFill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strRef>
              <c:f>label 0</c:f>
              <c:strCache>
                <c:ptCount val="1"/>
              </c:strCache>
            </c:strRef>
          </c:tx>
          <c:spPr>
            <a:solidFill>
              <a:srgbClr val="4F81BD"/>
            </a:solidFill>
            <a:ln>
              <a:noFill/>
            </a:ln>
          </c:spPr>
          <c:dPt>
            <c:idx val="0"/>
            <c:spPr>
              <a:solidFill>
                <a:srgbClr val="4672A8"/>
              </a:solidFill>
              <a:ln>
                <a:noFill/>
              </a:ln>
            </c:spPr>
          </c:dPt>
          <c:dPt>
            <c:idx val="1"/>
            <c:spPr>
              <a:solidFill>
                <a:srgbClr val="AB4744"/>
              </a:solidFill>
              <a:ln>
                <a:noFill/>
              </a:ln>
            </c:spPr>
          </c:dPt>
          <c:dPt>
            <c:idx val="2"/>
            <c:spPr>
              <a:solidFill>
                <a:srgbClr val="8AA64F"/>
              </a:solidFill>
              <a:ln>
                <a:noFill/>
              </a:ln>
            </c:spPr>
          </c:dPt>
          <c:dPt>
            <c:idx val="3"/>
            <c:spPr>
              <a:solidFill>
                <a:srgbClr val="725990"/>
              </a:solidFill>
              <a:ln>
                <a:noFill/>
              </a:ln>
            </c:spPr>
          </c:dPt>
          <c:dPt>
            <c:idx val="4"/>
            <c:spPr>
              <a:solidFill>
                <a:srgbClr val="4299B0"/>
              </a:solidFill>
              <a:ln>
                <a:noFill/>
              </a:ln>
            </c:spPr>
          </c:dPt>
          <c:dPt>
            <c:idx val="5"/>
            <c:spPr>
              <a:solidFill>
                <a:srgbClr val="DC853E"/>
              </a:solidFill>
              <a:ln>
                <a:noFill/>
              </a:ln>
            </c:spPr>
          </c:dPt>
          <c:dPt>
            <c:idx val="6"/>
            <c:spPr>
              <a:solidFill>
                <a:srgbClr val="93A9CE"/>
              </a:solidFill>
              <a:ln>
                <a:noFill/>
              </a:ln>
            </c:spPr>
          </c:dPt>
          <c:dPt>
            <c:idx val="7"/>
            <c:spPr>
              <a:solidFill>
                <a:srgbClr val="D09493"/>
              </a:solidFill>
              <a:ln>
                <a:noFill/>
              </a:ln>
            </c:spPr>
          </c:dPt>
          <c:dPt>
            <c:idx val="8"/>
            <c:spPr>
              <a:solidFill>
                <a:srgbClr val="B8CD97"/>
              </a:solidFill>
              <a:ln>
                <a:noFill/>
              </a:ln>
            </c:spPr>
          </c:dPt>
          <c:dPt>
            <c:idx val="9"/>
            <c:spPr>
              <a:solidFill>
                <a:srgbClr val="A99BBD"/>
              </a:solidFill>
              <a:ln>
                <a:noFill/>
              </a:ln>
            </c:spPr>
          </c:dPt>
          <c:dPt>
            <c:idx val="10"/>
            <c:spPr>
              <a:solidFill>
                <a:srgbClr val="92C3D5"/>
              </a:solidFill>
              <a:ln>
                <a:noFill/>
              </a:ln>
            </c:spPr>
          </c:dPt>
          <c:dLbls>
            <c:dLbl>
              <c:idx val="0"/>
              <c:dLblPos val="bestFit"/>
              <c:showPercent val="1"/>
              <c:separator>; </c:separator>
            </c:dLbl>
            <c:dLbl>
              <c:idx val="1"/>
              <c:dLblPos val="bestFit"/>
              <c:showPercent val="1"/>
              <c:separator>; </c:separator>
            </c:dLbl>
            <c:dLbl>
              <c:idx val="2"/>
              <c:dLblPos val="bestFit"/>
              <c:showPercent val="1"/>
              <c:separator>; </c:separator>
            </c:dLbl>
            <c:dLbl>
              <c:idx val="3"/>
              <c:dLblPos val="bestFit"/>
              <c:showPercent val="1"/>
              <c:separator>; </c:separator>
            </c:dLbl>
            <c:dLbl>
              <c:idx val="4"/>
              <c:dLblPos val="bestFit"/>
              <c:showPercent val="1"/>
              <c:separator>; </c:separator>
            </c:dLbl>
            <c:dLbl>
              <c:idx val="5"/>
              <c:dLblPos val="bestFit"/>
              <c:showPercent val="1"/>
              <c:separator>; </c:separator>
            </c:dLbl>
            <c:dLbl>
              <c:idx val="6"/>
              <c:dLblPos val="bestFit"/>
              <c:showPercent val="1"/>
              <c:separator>; </c:separator>
            </c:dLbl>
            <c:dLbl>
              <c:idx val="7"/>
              <c:dLblPos val="bestFit"/>
              <c:showPercent val="1"/>
              <c:separator>; </c:separator>
            </c:dLbl>
            <c:dLbl>
              <c:idx val="8"/>
              <c:dLblPos val="bestFit"/>
              <c:showPercent val="1"/>
              <c:separator>; </c:separator>
            </c:dLbl>
            <c:dLbl>
              <c:idx val="9"/>
              <c:dLblPos val="bestFit"/>
              <c:showPercent val="1"/>
              <c:separator>; </c:separator>
            </c:dLbl>
            <c:dLbl>
              <c:idx val="10"/>
              <c:dLblPos val="bestFit"/>
              <c:showPercent val="1"/>
              <c:separator>; </c:separator>
            </c:dLbl>
            <c:txPr>
              <a:bodyPr/>
              <a:lstStyle/>
              <a:p>
                <a:pPr>
                  <a:defRPr lang="en-GB"/>
                </a:pPr>
                <a:endParaRPr lang="en-US"/>
              </a:p>
            </c:txPr>
            <c:showPercent val="1"/>
          </c:dLbls>
          <c:cat>
            <c:strRef>
              <c:f>categories</c:f>
              <c:strCache>
                <c:ptCount val="11"/>
                <c:pt idx="0">
                  <c:v>Amino Acid Metabolism</c:v>
                </c:pt>
                <c:pt idx="1">
                  <c:v>Biosynthesis of Other Secondary Metabolites</c:v>
                </c:pt>
                <c:pt idx="2">
                  <c:v>Carbohydrate Metabolism</c:v>
                </c:pt>
                <c:pt idx="3">
                  <c:v>Energy Metabolism</c:v>
                </c:pt>
                <c:pt idx="4">
                  <c:v>Enzyme Families</c:v>
                </c:pt>
                <c:pt idx="5">
                  <c:v>Glycan Biosynthesis and Metabolism</c:v>
                </c:pt>
                <c:pt idx="6">
                  <c:v>Lipid Metabolism</c:v>
                </c:pt>
                <c:pt idx="7">
                  <c:v>Metabolism of Cofactors and Vitamins</c:v>
                </c:pt>
                <c:pt idx="8">
                  <c:v>Metabolism of Other Amino Acids</c:v>
                </c:pt>
                <c:pt idx="9">
                  <c:v>Metabolism of Terpenoids and Polyketides</c:v>
                </c:pt>
                <c:pt idx="10">
                  <c:v>Nucleotide Metabolism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1"/>
                <c:pt idx="0">
                  <c:v>20.981302849600958</c:v>
                </c:pt>
                <c:pt idx="1">
                  <c:v>2.2416857290647587</c:v>
                </c:pt>
                <c:pt idx="2">
                  <c:v>20.43933497306158</c:v>
                </c:pt>
                <c:pt idx="3">
                  <c:v>9.1805598896709046</c:v>
                </c:pt>
                <c:pt idx="4">
                  <c:v>3.0379337190871412</c:v>
                </c:pt>
                <c:pt idx="5">
                  <c:v>2.5365597364809198</c:v>
                </c:pt>
                <c:pt idx="6">
                  <c:v>8.8833347327047747</c:v>
                </c:pt>
                <c:pt idx="7">
                  <c:v>6.7323771347514034</c:v>
                </c:pt>
                <c:pt idx="8">
                  <c:v>3.9797373016216402</c:v>
                </c:pt>
                <c:pt idx="9">
                  <c:v>5.2893496075877033</c:v>
                </c:pt>
                <c:pt idx="10">
                  <c:v>4.9715219827742301</c:v>
                </c:pt>
              </c:numCache>
            </c:numRef>
          </c:val>
        </c:ser>
      </c:pie3DChart>
      <c:spPr>
        <a:solidFill>
          <a:srgbClr val="D9D9D9"/>
        </a:solidFill>
        <a:ln>
          <a:noFill/>
        </a:ln>
      </c:spPr>
    </c:plotArea>
    <c:legend>
      <c:legendPos val="r"/>
      <c:layout>
        <c:manualLayout>
          <c:xMode val="edge"/>
          <c:yMode val="edge"/>
          <c:x val="0.64397934583226057"/>
          <c:y val="0.17626938407897319"/>
          <c:w val="0.33952070573008136"/>
          <c:h val="0.74365307960514315"/>
        </c:manualLayout>
      </c:layout>
      <c:spPr>
        <a:noFill/>
        <a:ln>
          <a:noFill/>
        </a:ln>
      </c:spPr>
      <c:txPr>
        <a:bodyPr/>
        <a:lstStyle/>
        <a:p>
          <a:pPr>
            <a:defRPr lang="en-GB"/>
          </a:pPr>
          <a:endParaRPr lang="en-US"/>
        </a:p>
      </c:txPr>
    </c:legend>
    <c:plotVisOnly val="1"/>
  </c:chart>
  <c:spPr>
    <a:noFill/>
    <a:ln>
      <a:noFill/>
    </a:ln>
  </c:sp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surajit de mandal</dc:creator>
  <cp:lastModifiedBy>surajit de mandal</cp:lastModifiedBy>
  <cp:revision>5</cp:revision>
  <dcterms:created xsi:type="dcterms:W3CDTF">2017-03-08T17:55:00Z</dcterms:created>
  <dcterms:modified xsi:type="dcterms:W3CDTF">2017-03-13T21:42:00Z</dcterms:modified>
</cp:coreProperties>
</file>