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1EE" w:rsidRPr="008E6D6C" w:rsidRDefault="007A41EE" w:rsidP="007A41EE">
      <w:pPr>
        <w:pStyle w:val="Caption"/>
        <w:spacing w:after="120" w:line="480" w:lineRule="auto"/>
        <w:jc w:val="both"/>
        <w:rPr>
          <w:rFonts w:ascii="Arial" w:hAnsi="Arial" w:cs="Arial"/>
          <w:color w:val="auto"/>
          <w:sz w:val="20"/>
          <w:szCs w:val="20"/>
          <w:lang w:val="en-GB"/>
        </w:rPr>
      </w:pPr>
      <w:r w:rsidRPr="008E6D6C">
        <w:rPr>
          <w:rFonts w:ascii="Arial" w:hAnsi="Arial" w:cs="Arial"/>
          <w:color w:val="auto"/>
          <w:sz w:val="20"/>
          <w:szCs w:val="20"/>
        </w:rPr>
        <w:t xml:space="preserve">Additional file 1: Table S1 </w:t>
      </w:r>
      <w:r w:rsidRPr="008E6D6C">
        <w:rPr>
          <w:rFonts w:ascii="Arial" w:eastAsia="Calibri" w:hAnsi="Arial" w:cs="Arial"/>
          <w:bCs w:val="0"/>
          <w:color w:val="auto"/>
          <w:sz w:val="20"/>
          <w:szCs w:val="20"/>
        </w:rPr>
        <w:t>Top 40 most abundant families in penile microbiota of</w:t>
      </w:r>
      <w:r w:rsidRPr="008E6D6C">
        <w:rPr>
          <w:rFonts w:ascii="Arial" w:hAnsi="Arial" w:cs="Arial"/>
          <w:color w:val="auto"/>
          <w:sz w:val="20"/>
          <w:szCs w:val="20"/>
          <w:lang w:val="en-GB"/>
        </w:rPr>
        <w:t xml:space="preserve"> heterosexually-active Black South African men</w:t>
      </w:r>
    </w:p>
    <w:tbl>
      <w:tblPr>
        <w:tblStyle w:val="TableGrid"/>
        <w:tblW w:w="9633" w:type="dxa"/>
        <w:tblLayout w:type="fixed"/>
        <w:tblLook w:val="04A0" w:firstRow="1" w:lastRow="0" w:firstColumn="1" w:lastColumn="0" w:noHBand="0" w:noVBand="1"/>
      </w:tblPr>
      <w:tblGrid>
        <w:gridCol w:w="2689"/>
        <w:gridCol w:w="1455"/>
        <w:gridCol w:w="1559"/>
        <w:gridCol w:w="1560"/>
        <w:gridCol w:w="2370"/>
      </w:tblGrid>
      <w:tr w:rsidR="007A41EE" w:rsidRPr="008E6D6C" w:rsidTr="006E5159">
        <w:tc>
          <w:tcPr>
            <w:tcW w:w="2689" w:type="dxa"/>
            <w:vMerge w:val="restart"/>
            <w:vAlign w:val="center"/>
          </w:tcPr>
          <w:p w:rsidR="007A41EE" w:rsidRPr="008E6D6C" w:rsidRDefault="007A41EE" w:rsidP="006E5159">
            <w:pPr>
              <w:suppressAutoHyphens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Family</w:t>
            </w:r>
          </w:p>
        </w:tc>
        <w:tc>
          <w:tcPr>
            <w:tcW w:w="1455" w:type="dxa"/>
            <w:vAlign w:val="center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All participants</w:t>
            </w:r>
          </w:p>
        </w:tc>
        <w:tc>
          <w:tcPr>
            <w:tcW w:w="1559" w:type="dxa"/>
            <w:vAlign w:val="center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HIV-negative men (N = 150)</w:t>
            </w:r>
            <w:r w:rsidRPr="008E6D6C">
              <w:rPr>
                <w:rFonts w:ascii="Arial" w:eastAsia="Calibri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#</w:t>
            </w:r>
          </w:p>
        </w:tc>
        <w:tc>
          <w:tcPr>
            <w:tcW w:w="1560" w:type="dxa"/>
            <w:vAlign w:val="center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HIV-positive men (N = 88)</w:t>
            </w:r>
            <w:r w:rsidRPr="008E6D6C">
              <w:rPr>
                <w:rFonts w:ascii="Arial" w:eastAsia="Calibri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*</w:t>
            </w:r>
          </w:p>
        </w:tc>
        <w:tc>
          <w:tcPr>
            <w:tcW w:w="2370" w:type="dxa"/>
            <w:vMerge w:val="restart"/>
            <w:vAlign w:val="center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b/>
                <w:bCs/>
                <w:sz w:val="20"/>
                <w:szCs w:val="20"/>
                <w:lang w:val="en-US"/>
              </w:rPr>
              <w:t>Oxygen requirement</w:t>
            </w:r>
          </w:p>
        </w:tc>
      </w:tr>
      <w:tr w:rsidR="007A41EE" w:rsidRPr="008E6D6C" w:rsidTr="006E5159">
        <w:tc>
          <w:tcPr>
            <w:tcW w:w="2689" w:type="dxa"/>
            <w:vMerge/>
            <w:vAlign w:val="center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55" w:type="dxa"/>
            <w:vAlign w:val="center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% relative abundance</w:t>
            </w:r>
          </w:p>
        </w:tc>
        <w:tc>
          <w:tcPr>
            <w:tcW w:w="1559" w:type="dxa"/>
            <w:vAlign w:val="center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% relative abundance (sd)</w:t>
            </w:r>
          </w:p>
        </w:tc>
        <w:tc>
          <w:tcPr>
            <w:tcW w:w="1560" w:type="dxa"/>
            <w:vAlign w:val="center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  <w:t>% relative abundance (sd)</w:t>
            </w:r>
          </w:p>
        </w:tc>
        <w:tc>
          <w:tcPr>
            <w:tcW w:w="2370" w:type="dxa"/>
            <w:vMerge/>
            <w:vAlign w:val="center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Corynebacteriaceae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47.19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49.71 (28.61)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42.90 (26.76)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Facultative 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Prevotellaceae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6.56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5.58 (11.10)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8.22 (14.64)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 xml:space="preserve">Unclassified </w:t>
            </w: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Clostridiales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5.61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5.21 (11.22)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6.30 (10.52)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Unidentified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Porphyromonadaceae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4.94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4.47 (9.83)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5.73 (10.94)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 xml:space="preserve">Staphylococcaceae 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4.57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3.61 (5.09)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6.21 (9.50)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Facultative 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Bifidobacteriaceae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4.49 (10.98)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2.84 (7.66)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Anaerobic/Facultative 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Lactobacillaceae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3.81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3.92 (12.48)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3.64 (14.15)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Microaerophilic/Facultative 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Veillonellaceae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3.31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3.06 (4.68)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3.74 (4.99)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Moraxellaceae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3.02 (8.26)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3.30 (9.35)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Flavobacteriaceae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2.55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2.58 (8.05)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2.51 (6.70)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Clostridiales Incertae Sedis XI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2.23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2.14 (2.67)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2.39 (2.90)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Micrococcaceae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1.44 (4.09)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1.31 (3.70)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Leptotrichiaceae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0.97 (3.14)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1.42 (4.42)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color w:val="FFFFFF" w:themeColor="background1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Anaerobic/Facultative 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Unclassified Bacteria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0.91 (1.03)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0.74 (1.10)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Unidentified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Brevibacteriaceae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0.70 (1.69)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0.58 (1.00)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Intrasporangiaceae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0.82 (3.91)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0.23 (0.75)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Aerococcaceae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0.56 (0.73)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0.67 (1.09)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Facultative 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 xml:space="preserve">Unclassified </w:t>
            </w: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Actinomycetales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0.57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0.65 (0.66)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0.44 (0.64)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Unidentified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Ruminococcaceae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0.57 (1.55)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0.51 (0.83)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Anaerobic/Facultative 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Rhodobacteraceae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0.46 (1.07)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0.70 (1.69)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Coriobacteriaceae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0.67 (1.92)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0.33 (0.52)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Streptococcaceae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0.51 (2.75)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0.30 (0.60)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Facultative 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Dermabacteraceae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0.40 (0.51)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0.47 (0.52)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Facultative 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Xanthomonadaceae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0.37 (1.35)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0.47 (1.59)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Lachnospiraceae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0.36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0.33 (1.31)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0.41 (0.87)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Microbacteriaceae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0.26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0.25 (0.57)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0.28 (0.54)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Microaerophilic/aerobic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Fusobacteriaceae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0.05 (0.33)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0.52 (2.48)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Campylobacteraceae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0.17 (1.06)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0.21 (0.67)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Microaerophilic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Propionibacteriaceae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0.20 (0.48)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0.11 (0.39)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Microaerophilic/Facultative 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Comamonadaceae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0.12 (0.75)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0.21 (1.01)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Pseudomonadaceae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0.17 (1.32)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0.10 (0.24)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 xml:space="preserve">Unclassified </w:t>
            </w: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Bacteroidales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0.18 (1.85)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0.01 (0.02)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Unidentified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Dietziaceae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0.14 (0.53)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0.06 (0.19)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Unclassified Proteobacteria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0.15 (1.67)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0.04 (0.24)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Unidentified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Neisseriaceae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0.09 (0.54)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0.15 (0.86)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Facultative 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Actinomycetaceae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0.09 (0.31)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0.11 (0.28)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Anaerobic/facultative anaerobic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Alcaligenaceae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0.07 (0.48)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0.13 (0.83)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Caulobacteraceae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0.09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0.07 (0.35)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0.12 (0.43)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Aerobic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Unclassified Bacteroidetes</w:t>
            </w:r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0.06 (0.51)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0.12 (0.91)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Unidentified</w:t>
            </w:r>
          </w:p>
        </w:tc>
      </w:tr>
      <w:tr w:rsidR="007A41EE" w:rsidRPr="008E6D6C" w:rsidTr="006E5159">
        <w:tc>
          <w:tcPr>
            <w:tcW w:w="2689" w:type="dxa"/>
          </w:tcPr>
          <w:p w:rsidR="007A41EE" w:rsidRPr="008E6D6C" w:rsidRDefault="007A41EE" w:rsidP="006E5159">
            <w:pPr>
              <w:suppressAutoHyphens/>
              <w:rPr>
                <w:rFonts w:ascii="Arial" w:hAnsi="Arial" w:cs="Arial"/>
                <w:i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i/>
                <w:color w:val="000000"/>
                <w:sz w:val="20"/>
                <w:szCs w:val="20"/>
              </w:rPr>
              <w:t>Enterobacteriaceae</w:t>
            </w:r>
            <w:bookmarkStart w:id="0" w:name="_GoBack"/>
            <w:bookmarkEnd w:id="0"/>
          </w:p>
        </w:tc>
        <w:tc>
          <w:tcPr>
            <w:tcW w:w="1455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559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0.06 (0.23)</w:t>
            </w:r>
          </w:p>
        </w:tc>
        <w:tc>
          <w:tcPr>
            <w:tcW w:w="1560" w:type="dxa"/>
          </w:tcPr>
          <w:p w:rsidR="007A41EE" w:rsidRPr="008E6D6C" w:rsidRDefault="007A41EE" w:rsidP="006E5159">
            <w:pPr>
              <w:suppressAutoHyphens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E6D6C">
              <w:rPr>
                <w:rFonts w:ascii="Arial" w:hAnsi="Arial" w:cs="Arial"/>
                <w:color w:val="000000"/>
                <w:sz w:val="20"/>
                <w:szCs w:val="20"/>
              </w:rPr>
              <w:t>0.09 (0.32)</w:t>
            </w:r>
          </w:p>
        </w:tc>
        <w:tc>
          <w:tcPr>
            <w:tcW w:w="2370" w:type="dxa"/>
          </w:tcPr>
          <w:p w:rsidR="007A41EE" w:rsidRPr="008E6D6C" w:rsidRDefault="007A41EE" w:rsidP="006E5159">
            <w:pPr>
              <w:suppressAutoHyphens/>
              <w:jc w:val="center"/>
              <w:rPr>
                <w:rFonts w:ascii="Arial" w:eastAsia="Calibri" w:hAnsi="Arial" w:cs="Arial"/>
                <w:sz w:val="20"/>
                <w:szCs w:val="20"/>
                <w:lang w:val="en-US"/>
              </w:rPr>
            </w:pPr>
            <w:r w:rsidRPr="008E6D6C">
              <w:rPr>
                <w:rFonts w:ascii="Arial" w:eastAsia="Calibri" w:hAnsi="Arial" w:cs="Arial"/>
                <w:sz w:val="20"/>
                <w:szCs w:val="20"/>
                <w:lang w:val="en-US"/>
              </w:rPr>
              <w:t>Facultative anaerobic</w:t>
            </w:r>
          </w:p>
        </w:tc>
      </w:tr>
    </w:tbl>
    <w:p w:rsidR="007A41EE" w:rsidRPr="008E6D6C" w:rsidRDefault="007A41EE" w:rsidP="007A41EE">
      <w:pPr>
        <w:shd w:val="clear" w:color="auto" w:fill="FFFFFF" w:themeFill="background1"/>
        <w:suppressAutoHyphens/>
        <w:spacing w:line="480" w:lineRule="auto"/>
        <w:jc w:val="both"/>
        <w:rPr>
          <w:rFonts w:ascii="Arial" w:eastAsia="Calibri" w:hAnsi="Arial" w:cs="Arial"/>
          <w:color w:val="002060"/>
          <w:sz w:val="18"/>
          <w:szCs w:val="18"/>
        </w:rPr>
      </w:pPr>
    </w:p>
    <w:p w:rsidR="007A41EE" w:rsidRPr="008E6D6C" w:rsidRDefault="007A41EE" w:rsidP="007A41EE">
      <w:pPr>
        <w:suppressAutoHyphens/>
        <w:spacing w:line="480" w:lineRule="auto"/>
        <w:rPr>
          <w:rFonts w:ascii="Arial" w:eastAsia="Calibri" w:hAnsi="Arial" w:cs="Arial"/>
          <w:sz w:val="18"/>
          <w:szCs w:val="18"/>
        </w:rPr>
      </w:pPr>
      <w:r w:rsidRPr="008E6D6C">
        <w:rPr>
          <w:rFonts w:ascii="Arial" w:eastAsia="Calibri" w:hAnsi="Arial" w:cs="Arial"/>
          <w:sz w:val="18"/>
          <w:szCs w:val="18"/>
        </w:rPr>
        <w:t>Abbreviations: sd – standard deviation.</w:t>
      </w:r>
    </w:p>
    <w:p w:rsidR="007A41EE" w:rsidRPr="008E6D6C" w:rsidRDefault="007A41EE" w:rsidP="007A41EE">
      <w:pPr>
        <w:suppressAutoHyphens/>
        <w:spacing w:line="480" w:lineRule="auto"/>
        <w:rPr>
          <w:rFonts w:ascii="Arial" w:eastAsia="Calibri" w:hAnsi="Arial" w:cs="Arial"/>
          <w:sz w:val="18"/>
          <w:szCs w:val="18"/>
        </w:rPr>
      </w:pPr>
      <w:r w:rsidRPr="008E6D6C">
        <w:rPr>
          <w:rFonts w:ascii="Arial" w:eastAsia="Calibri" w:hAnsi="Arial" w:cs="Arial"/>
          <w:sz w:val="18"/>
          <w:szCs w:val="18"/>
          <w:vertAlign w:val="superscript"/>
        </w:rPr>
        <w:t>#</w:t>
      </w:r>
      <w:r w:rsidRPr="008E6D6C">
        <w:rPr>
          <w:rFonts w:ascii="Arial" w:eastAsia="Calibri" w:hAnsi="Arial" w:cs="Arial"/>
          <w:sz w:val="18"/>
          <w:szCs w:val="18"/>
        </w:rPr>
        <w:t>Circumcised men were 92.5% (135/146).</w:t>
      </w:r>
    </w:p>
    <w:p w:rsidR="007425C7" w:rsidRPr="007A41EE" w:rsidRDefault="007A41EE" w:rsidP="007A41EE">
      <w:pPr>
        <w:suppressAutoHyphens/>
        <w:spacing w:line="480" w:lineRule="auto"/>
        <w:rPr>
          <w:rFonts w:ascii="Arial" w:eastAsia="Calibri" w:hAnsi="Arial" w:cs="Arial"/>
          <w:sz w:val="18"/>
          <w:szCs w:val="18"/>
        </w:rPr>
      </w:pPr>
      <w:r w:rsidRPr="008E6D6C">
        <w:rPr>
          <w:rFonts w:ascii="Arial" w:eastAsia="Calibri" w:hAnsi="Arial" w:cs="Arial"/>
          <w:sz w:val="18"/>
          <w:szCs w:val="18"/>
        </w:rPr>
        <w:t>*Circumcised men were 97.6% (80/82).</w:t>
      </w:r>
    </w:p>
    <w:sectPr w:rsidR="007425C7" w:rsidRPr="007A41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1EE"/>
    <w:rsid w:val="00641BD2"/>
    <w:rsid w:val="007425C7"/>
    <w:rsid w:val="007A41EE"/>
    <w:rsid w:val="00EE2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1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A41EE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ZA"/>
    </w:rPr>
  </w:style>
  <w:style w:type="table" w:styleId="TableGrid">
    <w:name w:val="Table Grid"/>
    <w:basedOn w:val="TableNormal"/>
    <w:uiPriority w:val="59"/>
    <w:unhideWhenUsed/>
    <w:rsid w:val="007A4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1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7A41EE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ZA"/>
    </w:rPr>
  </w:style>
  <w:style w:type="table" w:styleId="TableGrid">
    <w:name w:val="Table Grid"/>
    <w:basedOn w:val="TableNormal"/>
    <w:uiPriority w:val="59"/>
    <w:unhideWhenUsed/>
    <w:rsid w:val="007A4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2574</Characters>
  <Application>Microsoft Office Word</Application>
  <DocSecurity>0</DocSecurity>
  <Lines>21</Lines>
  <Paragraphs>6</Paragraphs>
  <ScaleCrop>false</ScaleCrop>
  <Company>University of Cape Town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</dc:creator>
  <cp:lastModifiedBy>Harris</cp:lastModifiedBy>
  <cp:revision>2</cp:revision>
  <dcterms:created xsi:type="dcterms:W3CDTF">2019-12-12T07:40:00Z</dcterms:created>
  <dcterms:modified xsi:type="dcterms:W3CDTF">2019-12-12T07:41:00Z</dcterms:modified>
</cp:coreProperties>
</file>