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E0EA" w14:textId="77777777" w:rsidR="00D22A6F" w:rsidRPr="0022310F" w:rsidRDefault="00D22A6F" w:rsidP="00D22A6F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4CDE73AF" w14:textId="77777777" w:rsidR="00D22A6F" w:rsidRDefault="00D22A6F" w:rsidP="00D22A6F">
      <w:pPr>
        <w:spacing w:line="360" w:lineRule="auto"/>
        <w:rPr>
          <w:rFonts w:ascii="Calibri" w:hAnsi="Calibri" w:cs="Calibri"/>
          <w:sz w:val="22"/>
          <w:szCs w:val="22"/>
        </w:rPr>
      </w:pPr>
      <w:r w:rsidRPr="00C75AEC">
        <w:rPr>
          <w:rFonts w:cstheme="minorHAnsi"/>
          <w:b/>
          <w:bCs/>
          <w:sz w:val="22"/>
          <w:szCs w:val="22"/>
          <w:u w:val="single"/>
        </w:rPr>
        <w:t>Supplementary results</w:t>
      </w:r>
      <w:r>
        <w:rPr>
          <w:rFonts w:cstheme="minorHAnsi"/>
          <w:b/>
          <w:bCs/>
          <w:sz w:val="22"/>
          <w:szCs w:val="22"/>
          <w:u w:val="single"/>
        </w:rPr>
        <w:t xml:space="preserve">. </w:t>
      </w:r>
    </w:p>
    <w:p w14:paraId="0D08D206" w14:textId="77777777" w:rsidR="00D22A6F" w:rsidRPr="00DB2FB2" w:rsidRDefault="00D22A6F" w:rsidP="00D22A6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DB2FB2">
        <w:rPr>
          <w:rFonts w:ascii="Calibri" w:hAnsi="Calibri" w:cs="Calibri"/>
          <w:b/>
          <w:bCs/>
          <w:sz w:val="22"/>
          <w:szCs w:val="22"/>
        </w:rPr>
        <w:t>Descriptive analysis</w:t>
      </w:r>
    </w:p>
    <w:p w14:paraId="266DF4AB" w14:textId="1A2719D5" w:rsidR="00D22A6F" w:rsidRDefault="00D22A6F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characteristics of the participants were compared between the poorly- and highly-attractive groups of participants prior to further statistical analysis (</w:t>
      </w:r>
      <w:r>
        <w:rPr>
          <w:color w:val="000000" w:themeColor="text1"/>
          <w:sz w:val="22"/>
          <w:szCs w:val="22"/>
        </w:rPr>
        <w:t xml:space="preserve">Supplementary </w:t>
      </w:r>
      <w:r w:rsidRPr="00031F36">
        <w:rPr>
          <w:color w:val="000000" w:themeColor="text1"/>
          <w:sz w:val="22"/>
          <w:szCs w:val="22"/>
        </w:rPr>
        <w:t xml:space="preserve">Table </w:t>
      </w:r>
      <w:r>
        <w:rPr>
          <w:noProof/>
          <w:color w:val="000000" w:themeColor="text1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). </w:t>
      </w:r>
    </w:p>
    <w:p w14:paraId="634FF858" w14:textId="77777777" w:rsidR="00D22A6F" w:rsidRDefault="00D22A6F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DF738F7" w14:textId="77777777" w:rsidR="00D22A6F" w:rsidRPr="00031F36" w:rsidRDefault="00D22A6F" w:rsidP="00D22A6F">
      <w:pPr>
        <w:pStyle w:val="Caption"/>
        <w:keepNext/>
        <w:rPr>
          <w:color w:val="000000" w:themeColor="text1"/>
          <w:sz w:val="22"/>
          <w:szCs w:val="22"/>
        </w:rPr>
      </w:pPr>
      <w:bookmarkStart w:id="0" w:name="_Ref77343940"/>
      <w:r>
        <w:rPr>
          <w:color w:val="000000" w:themeColor="text1"/>
          <w:sz w:val="22"/>
          <w:szCs w:val="22"/>
        </w:rPr>
        <w:t xml:space="preserve">Supplementary </w:t>
      </w:r>
      <w:r w:rsidRPr="00031F36">
        <w:rPr>
          <w:color w:val="000000" w:themeColor="text1"/>
          <w:sz w:val="22"/>
          <w:szCs w:val="22"/>
        </w:rPr>
        <w:t xml:space="preserve">Table </w:t>
      </w:r>
      <w:r>
        <w:rPr>
          <w:noProof/>
          <w:color w:val="000000" w:themeColor="text1"/>
          <w:sz w:val="22"/>
          <w:szCs w:val="22"/>
        </w:rPr>
        <w:t>1</w:t>
      </w:r>
      <w:bookmarkEnd w:id="0"/>
      <w:r w:rsidRPr="00031F36">
        <w:rPr>
          <w:color w:val="000000" w:themeColor="text1"/>
          <w:sz w:val="22"/>
          <w:szCs w:val="22"/>
        </w:rPr>
        <w:t>: Descriptive analysis comparing age categories,</w:t>
      </w:r>
      <w:r>
        <w:rPr>
          <w:color w:val="000000" w:themeColor="text1"/>
          <w:sz w:val="22"/>
          <w:szCs w:val="22"/>
        </w:rPr>
        <w:t xml:space="preserve"> zygosity,</w:t>
      </w:r>
      <w:r w:rsidRPr="00031F36">
        <w:rPr>
          <w:color w:val="000000" w:themeColor="text1"/>
          <w:sz w:val="22"/>
          <w:szCs w:val="22"/>
        </w:rPr>
        <w:t xml:space="preserve"> BMI, sex and smoking status between </w:t>
      </w:r>
      <w:r>
        <w:rPr>
          <w:color w:val="000000" w:themeColor="text1"/>
          <w:sz w:val="22"/>
          <w:szCs w:val="22"/>
        </w:rPr>
        <w:t>the poorly- and highly-attractive groups</w:t>
      </w:r>
      <w:r w:rsidRPr="00031F36">
        <w:rPr>
          <w:color w:val="000000" w:themeColor="text1"/>
          <w:sz w:val="22"/>
          <w:szCs w:val="22"/>
        </w:rPr>
        <w:t>.</w:t>
      </w:r>
    </w:p>
    <w:p w14:paraId="60510BE8" w14:textId="77777777" w:rsidR="00D22A6F" w:rsidRDefault="00D22A6F" w:rsidP="00D22A6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2042BB9E" w14:textId="77777777" w:rsidR="00D22A6F" w:rsidRDefault="00D22A6F" w:rsidP="00D22A6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0F9202F7" wp14:editId="6F887181">
            <wp:extent cx="4450815" cy="6828693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478" cy="686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46B4C" w14:textId="77777777" w:rsidR="00D22A6F" w:rsidRPr="00C523B1" w:rsidRDefault="00D22A6F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F3526B6" w14:textId="77777777" w:rsidR="00D22A6F" w:rsidRDefault="00D22A6F" w:rsidP="00D22A6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4A4AAF">
        <w:rPr>
          <w:rFonts w:ascii="Calibri" w:hAnsi="Calibri" w:cs="Calibri"/>
          <w:b/>
          <w:bCs/>
          <w:sz w:val="22"/>
          <w:szCs w:val="22"/>
        </w:rPr>
        <w:lastRenderedPageBreak/>
        <w:t xml:space="preserve">Alpha diversity </w:t>
      </w:r>
    </w:p>
    <w:p w14:paraId="351B07BC" w14:textId="6916AE28" w:rsidR="00D22A6F" w:rsidRDefault="00D22A6F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7F0155">
        <w:rPr>
          <w:rFonts w:ascii="Calibri" w:hAnsi="Calibri" w:cs="Calibri"/>
          <w:sz w:val="22"/>
          <w:szCs w:val="22"/>
        </w:rPr>
        <w:t>The median alpha diversity is lower in the highly-attractive compared to poorly-attractive group but there is no statistical evidence</w:t>
      </w:r>
      <w:r w:rsidRPr="00031F36">
        <w:rPr>
          <w:rFonts w:ascii="Calibri" w:hAnsi="Calibri" w:cs="Calibri"/>
          <w:sz w:val="22"/>
          <w:szCs w:val="22"/>
        </w:rPr>
        <w:t xml:space="preserve"> of a difference</w:t>
      </w:r>
      <w:r>
        <w:rPr>
          <w:rFonts w:ascii="Calibri" w:hAnsi="Calibri" w:cs="Calibri"/>
          <w:sz w:val="22"/>
          <w:szCs w:val="22"/>
        </w:rPr>
        <w:t xml:space="preserve"> in means</w:t>
      </w:r>
      <w:r w:rsidRPr="00031F36">
        <w:rPr>
          <w:rFonts w:ascii="Calibri" w:hAnsi="Calibri" w:cs="Calibri"/>
          <w:sz w:val="22"/>
          <w:szCs w:val="22"/>
        </w:rPr>
        <w:t xml:space="preserve"> (P = 0.757). </w:t>
      </w:r>
    </w:p>
    <w:p w14:paraId="26243410" w14:textId="77777777" w:rsidR="00D17EAA" w:rsidRPr="00031F36" w:rsidRDefault="00D17EAA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9047543" w14:textId="77777777" w:rsidR="00D22A6F" w:rsidRDefault="00D22A6F" w:rsidP="00D22A6F">
      <w:pPr>
        <w:keepNext/>
        <w:spacing w:line="360" w:lineRule="auto"/>
        <w:jc w:val="center"/>
      </w:pPr>
      <w:r w:rsidRPr="003E521E">
        <w:rPr>
          <w:noProof/>
          <w:lang w:val="en-US"/>
        </w:rPr>
        <w:drawing>
          <wp:inline distT="0" distB="0" distL="0" distR="0" wp14:anchorId="60774F68" wp14:editId="5C2E3833">
            <wp:extent cx="5727700" cy="39344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36D7E" w14:textId="77777777" w:rsidR="00D22A6F" w:rsidRPr="00900CB3" w:rsidRDefault="00D22A6F" w:rsidP="00D22A6F">
      <w:pPr>
        <w:pStyle w:val="Caption"/>
        <w:spacing w:line="360" w:lineRule="auto"/>
        <w:rPr>
          <w:i w:val="0"/>
          <w:iCs w:val="0"/>
          <w:color w:val="000000" w:themeColor="text1"/>
        </w:rPr>
      </w:pPr>
      <w:bookmarkStart w:id="1" w:name="_Ref59092926"/>
      <w:r>
        <w:rPr>
          <w:b/>
          <w:bCs/>
          <w:color w:val="000000" w:themeColor="text1"/>
        </w:rPr>
        <w:t>Supplementary Figure 1</w:t>
      </w:r>
      <w:bookmarkEnd w:id="1"/>
      <w:r w:rsidRPr="002C5257">
        <w:rPr>
          <w:b/>
          <w:bCs/>
          <w:color w:val="000000" w:themeColor="text1"/>
        </w:rPr>
        <w:t xml:space="preserve">: Differences in alpha diversity </w:t>
      </w:r>
      <w:r w:rsidRPr="002C5257">
        <w:rPr>
          <w:rFonts w:ascii="Calibri" w:hAnsi="Calibri" w:cs="Calibri"/>
          <w:b/>
          <w:bCs/>
          <w:color w:val="000000" w:themeColor="text1"/>
        </w:rPr>
        <w:t>between</w:t>
      </w:r>
      <w:r w:rsidRPr="00EF4BCC">
        <w:rPr>
          <w:rFonts w:ascii="Calibri" w:hAnsi="Calibri" w:cs="Calibri"/>
          <w:b/>
          <w:bCs/>
          <w:color w:val="000000" w:themeColor="text1"/>
        </w:rPr>
        <w:t xml:space="preserve"> the poorly</w:t>
      </w:r>
      <w:r>
        <w:rPr>
          <w:rFonts w:ascii="Calibri" w:hAnsi="Calibri" w:cs="Calibri"/>
          <w:b/>
          <w:bCs/>
          <w:color w:val="000000" w:themeColor="text1"/>
        </w:rPr>
        <w:t>- and highly-</w:t>
      </w:r>
      <w:r w:rsidRPr="00EF4BCC">
        <w:rPr>
          <w:rFonts w:ascii="Calibri" w:hAnsi="Calibri" w:cs="Calibri"/>
          <w:b/>
          <w:bCs/>
          <w:color w:val="000000" w:themeColor="text1"/>
        </w:rPr>
        <w:t>attractive group</w:t>
      </w:r>
      <w:r>
        <w:rPr>
          <w:rFonts w:ascii="Calibri" w:hAnsi="Calibri" w:cs="Calibri"/>
          <w:b/>
          <w:bCs/>
          <w:color w:val="000000" w:themeColor="text1"/>
        </w:rPr>
        <w:t>s.</w:t>
      </w:r>
      <w:r>
        <w:rPr>
          <w:color w:val="000000" w:themeColor="text1"/>
        </w:rPr>
        <w:t xml:space="preserve"> </w:t>
      </w:r>
      <w:r w:rsidRPr="005D1511">
        <w:rPr>
          <w:color w:val="000000" w:themeColor="text1"/>
        </w:rPr>
        <w:t xml:space="preserve">Box plots of </w:t>
      </w:r>
      <w:r>
        <w:rPr>
          <w:color w:val="000000" w:themeColor="text1"/>
        </w:rPr>
        <w:t xml:space="preserve">Faiths Phylogenetic Diversity </w:t>
      </w:r>
      <w:r w:rsidRPr="00C4666E">
        <w:rPr>
          <w:color w:val="000000" w:themeColor="text1"/>
        </w:rPr>
        <w:t>(PD t-test P</w:t>
      </w:r>
      <w:r>
        <w:rPr>
          <w:color w:val="000000" w:themeColor="text1"/>
        </w:rPr>
        <w:t xml:space="preserve"> </w:t>
      </w:r>
      <w:r w:rsidRPr="00C4666E">
        <w:rPr>
          <w:color w:val="000000" w:themeColor="text1"/>
        </w:rPr>
        <w:t>= 0.7</w:t>
      </w:r>
      <w:r>
        <w:rPr>
          <w:color w:val="000000" w:themeColor="text1"/>
        </w:rPr>
        <w:t>57</w:t>
      </w:r>
      <w:r w:rsidRPr="00C4666E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635C7907" w14:textId="77777777" w:rsidR="00D22A6F" w:rsidRPr="00FE2589" w:rsidRDefault="00D22A6F" w:rsidP="00D22A6F">
      <w:pPr>
        <w:spacing w:line="360" w:lineRule="auto"/>
        <w:ind w:firstLine="720"/>
        <w:rPr>
          <w:rFonts w:ascii="Calibri" w:hAnsi="Calibri" w:cs="Calibri"/>
          <w:color w:val="000000" w:themeColor="text1"/>
          <w:sz w:val="22"/>
          <w:szCs w:val="22"/>
        </w:rPr>
      </w:pPr>
    </w:p>
    <w:p w14:paraId="6D9BDDED" w14:textId="77777777" w:rsidR="00D22A6F" w:rsidRDefault="00D22A6F" w:rsidP="00D22A6F">
      <w:pPr>
        <w:spacing w:line="360" w:lineRule="auto"/>
        <w:ind w:firstLine="720"/>
        <w:rPr>
          <w:rFonts w:cstheme="minorHAnsi"/>
          <w:sz w:val="22"/>
          <w:szCs w:val="22"/>
        </w:rPr>
      </w:pPr>
    </w:p>
    <w:p w14:paraId="0F9DCBE1" w14:textId="77777777" w:rsidR="00D22A6F" w:rsidRDefault="00D22A6F" w:rsidP="00D22A6F">
      <w:pPr>
        <w:rPr>
          <w:rFonts w:cstheme="minorHAnsi"/>
          <w:sz w:val="22"/>
          <w:szCs w:val="22"/>
        </w:rPr>
        <w:sectPr w:rsidR="00D22A6F" w:rsidSect="00D17EAA">
          <w:headerReference w:type="default" r:id="rId9"/>
          <w:type w:val="nextPage"/>
          <w:pgSz w:w="11900" w:h="16840"/>
          <w:pgMar w:top="1440" w:right="1440" w:bottom="1440" w:left="1440" w:header="706" w:footer="706" w:gutter="0"/>
          <w:cols w:space="708"/>
          <w:docGrid w:linePitch="360"/>
        </w:sectPr>
      </w:pPr>
    </w:p>
    <w:p w14:paraId="33A3371A" w14:textId="77777777" w:rsidR="00D22A6F" w:rsidRPr="00AE1504" w:rsidRDefault="00D22A6F" w:rsidP="00D22A6F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1785BB69" w14:textId="77777777" w:rsidR="00D22A6F" w:rsidRPr="00D673E0" w:rsidRDefault="00D22A6F" w:rsidP="00D22A6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D673E0">
        <w:rPr>
          <w:rFonts w:ascii="Calibri" w:hAnsi="Calibri" w:cs="Calibri"/>
          <w:b/>
          <w:bCs/>
          <w:sz w:val="22"/>
          <w:szCs w:val="22"/>
        </w:rPr>
        <w:t xml:space="preserve">DESEQ2 table: </w:t>
      </w:r>
    </w:p>
    <w:p w14:paraId="00737241" w14:textId="77777777" w:rsidR="00D22A6F" w:rsidRDefault="00D22A6F" w:rsidP="00D22A6F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7F2E98C" w14:textId="55EE0322" w:rsidR="00D22A6F" w:rsidRDefault="00D22A6F" w:rsidP="00D22A6F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Supplementary </w:t>
      </w:r>
      <w:r w:rsidRPr="003E521E">
        <w:rPr>
          <w:color w:val="000000" w:themeColor="text1"/>
          <w:sz w:val="22"/>
          <w:szCs w:val="22"/>
        </w:rPr>
        <w:t xml:space="preserve">Table </w:t>
      </w:r>
      <w:r>
        <w:rPr>
          <w:noProof/>
          <w:color w:val="000000" w:themeColor="text1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presents detailed statistical results from DESEQ2 analysis to identify differentially abundant ASVs between the poorly- and highly-attractive groups. </w:t>
      </w:r>
    </w:p>
    <w:p w14:paraId="6CF69A11" w14:textId="77777777" w:rsidR="00D22A6F" w:rsidRPr="00E2426E" w:rsidRDefault="00D22A6F" w:rsidP="00D22A6F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B816D4B" w14:textId="77777777" w:rsidR="00D22A6F" w:rsidRPr="003E521E" w:rsidRDefault="00D22A6F" w:rsidP="00D22A6F">
      <w:pPr>
        <w:pStyle w:val="Caption"/>
        <w:keepNext/>
        <w:rPr>
          <w:color w:val="000000" w:themeColor="text1"/>
          <w:sz w:val="22"/>
          <w:szCs w:val="22"/>
        </w:rPr>
      </w:pPr>
      <w:bookmarkStart w:id="2" w:name="_Ref77344025"/>
      <w:r>
        <w:rPr>
          <w:color w:val="000000" w:themeColor="text1"/>
          <w:sz w:val="22"/>
          <w:szCs w:val="22"/>
        </w:rPr>
        <w:t xml:space="preserve">Supplementary </w:t>
      </w:r>
      <w:r w:rsidRPr="003E521E">
        <w:rPr>
          <w:color w:val="000000" w:themeColor="text1"/>
          <w:sz w:val="22"/>
          <w:szCs w:val="22"/>
        </w:rPr>
        <w:t xml:space="preserve">Table </w:t>
      </w:r>
      <w:r>
        <w:rPr>
          <w:noProof/>
          <w:color w:val="000000" w:themeColor="text1"/>
          <w:sz w:val="22"/>
          <w:szCs w:val="22"/>
        </w:rPr>
        <w:t>2</w:t>
      </w:r>
      <w:bookmarkEnd w:id="2"/>
      <w:r w:rsidRPr="003E521E">
        <w:rPr>
          <w:color w:val="000000" w:themeColor="text1"/>
          <w:sz w:val="22"/>
          <w:szCs w:val="22"/>
        </w:rPr>
        <w:t xml:space="preserve">: DESEQ2 results for differentially abundant ASVs. 10 differentially abundant ASVs, eight of which could be assigned taxonomy to genus level. </w:t>
      </w:r>
      <w:r>
        <w:rPr>
          <w:color w:val="000000" w:themeColor="text1"/>
          <w:sz w:val="22"/>
          <w:szCs w:val="22"/>
        </w:rPr>
        <w:t xml:space="preserve">Base mean is the average normalised count value divided by the size factors over all samples. Log 2 fold change is the effect size, how much each ASV has changed in poorly-attractive compared to highly-attractive on log scale to base 2. </w:t>
      </w:r>
      <w:proofErr w:type="spellStart"/>
      <w:r>
        <w:rPr>
          <w:color w:val="000000" w:themeColor="text1"/>
          <w:sz w:val="22"/>
          <w:szCs w:val="22"/>
        </w:rPr>
        <w:t>lfcSE</w:t>
      </w:r>
      <w:proofErr w:type="spellEnd"/>
      <w:r>
        <w:rPr>
          <w:color w:val="000000" w:themeColor="text1"/>
          <w:sz w:val="22"/>
          <w:szCs w:val="22"/>
        </w:rPr>
        <w:t xml:space="preserve"> gives the uncertainty around the log 2 fold change. P values are from hypothesis test for each ASV to see if there is </w:t>
      </w:r>
      <w:r w:rsidRPr="007F0155">
        <w:rPr>
          <w:color w:val="000000" w:themeColor="text1"/>
          <w:sz w:val="22"/>
          <w:szCs w:val="22"/>
        </w:rPr>
        <w:t xml:space="preserve">evidence against the null hypothesis that there is no effect of attractiveness group on the ASV. </w:t>
      </w:r>
      <w:proofErr w:type="spellStart"/>
      <w:r w:rsidRPr="007F0155">
        <w:rPr>
          <w:color w:val="000000" w:themeColor="text1"/>
          <w:sz w:val="22"/>
          <w:szCs w:val="22"/>
        </w:rPr>
        <w:t>Benjamini</w:t>
      </w:r>
      <w:proofErr w:type="spellEnd"/>
      <w:r w:rsidRPr="007F0155">
        <w:rPr>
          <w:color w:val="000000" w:themeColor="text1"/>
          <w:sz w:val="22"/>
          <w:szCs w:val="22"/>
        </w:rPr>
        <w:t>-Hochberg p values are adjusted for false discovery rate.</w:t>
      </w:r>
      <w:r>
        <w:rPr>
          <w:color w:val="000000" w:themeColor="text1"/>
          <w:sz w:val="22"/>
          <w:szCs w:val="22"/>
        </w:rPr>
        <w:t xml:space="preserve"> </w:t>
      </w:r>
    </w:p>
    <w:p w14:paraId="3F4ABE79" w14:textId="5BBCE84F" w:rsidR="00D22A6F" w:rsidRDefault="00D17EAA" w:rsidP="00D17EAA">
      <w:pPr>
        <w:widowControl w:val="0"/>
        <w:autoSpaceDE w:val="0"/>
        <w:autoSpaceDN w:val="0"/>
        <w:adjustRightInd w:val="0"/>
        <w:ind w:left="480" w:hanging="480"/>
        <w:jc w:val="center"/>
        <w:rPr>
          <w:rFonts w:ascii="Calibri" w:hAnsi="Calibri" w:cs="Calibri"/>
          <w:sz w:val="22"/>
          <w:szCs w:val="22"/>
        </w:rPr>
      </w:pPr>
      <w:r w:rsidRPr="00D60BC3">
        <w:rPr>
          <w:rFonts w:ascii="Calibri" w:hAnsi="Calibri" w:cs="Calibri"/>
          <w:noProof/>
          <w:sz w:val="22"/>
          <w:szCs w:val="22"/>
          <w:lang w:eastAsia="en-GB"/>
        </w:rPr>
        <w:drawing>
          <wp:inline distT="0" distB="0" distL="0" distR="0" wp14:anchorId="7928F9A9" wp14:editId="1A21B4F0">
            <wp:extent cx="8229600" cy="112671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39313" cy="119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F4D6" w14:textId="77777777" w:rsidR="00D22A6F" w:rsidRDefault="00D22A6F" w:rsidP="00D22A6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EB27728" w14:textId="77777777" w:rsidR="005C36EE" w:rsidRDefault="005C36EE"/>
    <w:sectPr w:rsidR="005C36EE" w:rsidSect="00D17EAA">
      <w:type w:val="nextPage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3433" w14:textId="77777777" w:rsidR="00257DA0" w:rsidRDefault="00257DA0">
      <w:r>
        <w:separator/>
      </w:r>
    </w:p>
  </w:endnote>
  <w:endnote w:type="continuationSeparator" w:id="0">
    <w:p w14:paraId="698D0EC0" w14:textId="77777777" w:rsidR="00257DA0" w:rsidRDefault="0025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7A7B" w14:textId="77777777" w:rsidR="00257DA0" w:rsidRDefault="00257DA0">
      <w:r>
        <w:separator/>
      </w:r>
    </w:p>
  </w:footnote>
  <w:footnote w:type="continuationSeparator" w:id="0">
    <w:p w14:paraId="3262FEA2" w14:textId="77777777" w:rsidR="00257DA0" w:rsidRDefault="00257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5569" w14:textId="77777777" w:rsidR="003511C2" w:rsidRPr="006C464F" w:rsidRDefault="00D22A6F" w:rsidP="006C464F">
    <w:pPr>
      <w:pStyle w:val="Header"/>
    </w:pPr>
    <w:r w:rsidRPr="006C464F">
      <w:rPr>
        <w:rFonts w:ascii="Calibri" w:hAnsi="Calibri" w:cs="Calibri"/>
        <w:sz w:val="20"/>
        <w:szCs w:val="20"/>
      </w:rPr>
      <w:t xml:space="preserve">Skin microbiome alters attractiveness to </w:t>
    </w:r>
    <w:r w:rsidRPr="006C464F">
      <w:rPr>
        <w:rFonts w:ascii="Calibri" w:hAnsi="Calibri" w:cs="Calibri"/>
        <w:i/>
        <w:iCs/>
        <w:sz w:val="20"/>
        <w:szCs w:val="20"/>
      </w:rPr>
      <w:t>Anopheles</w:t>
    </w:r>
    <w:r w:rsidRPr="006C464F">
      <w:rPr>
        <w:rFonts w:ascii="Calibri" w:hAnsi="Calibri" w:cs="Calibri"/>
        <w:sz w:val="20"/>
        <w:szCs w:val="20"/>
      </w:rPr>
      <w:t xml:space="preserve"> mosquitoes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4907"/>
    <w:multiLevelType w:val="hybridMultilevel"/>
    <w:tmpl w:val="FE2C6A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6F"/>
    <w:rsid w:val="00257DA0"/>
    <w:rsid w:val="005C36EE"/>
    <w:rsid w:val="00A70508"/>
    <w:rsid w:val="00D17EAA"/>
    <w:rsid w:val="00D22A6F"/>
    <w:rsid w:val="00D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E7FF"/>
  <w15:docId w15:val="{FF9C349E-D778-E94A-AB10-BE6D558A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A6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22A6F"/>
    <w:pPr>
      <w:spacing w:after="200"/>
    </w:pPr>
    <w:rPr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22A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A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A6F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A6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Alicia Showering</cp:lastModifiedBy>
  <cp:revision>3</cp:revision>
  <dcterms:created xsi:type="dcterms:W3CDTF">2022-04-09T12:23:00Z</dcterms:created>
  <dcterms:modified xsi:type="dcterms:W3CDTF">2022-04-09T12:25:00Z</dcterms:modified>
</cp:coreProperties>
</file>