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D9C0" w14:textId="77777777" w:rsidR="00176A44" w:rsidRPr="00355077" w:rsidRDefault="00176A44" w:rsidP="00176A44">
      <w:pPr>
        <w:widowControl/>
        <w:shd w:val="clear" w:color="auto" w:fill="FFFFFF"/>
        <w:spacing w:beforeLines="50" w:before="156" w:afterLines="50" w:after="156"/>
        <w:rPr>
          <w:noProof/>
        </w:rPr>
      </w:pPr>
      <w:r w:rsidRPr="00355077">
        <w:rPr>
          <w:noProof/>
        </w:rPr>
        <w:drawing>
          <wp:inline distT="0" distB="0" distL="0" distR="0" wp14:anchorId="4BC9C22A" wp14:editId="1862AF08">
            <wp:extent cx="4392000" cy="2358000"/>
            <wp:effectExtent l="0" t="0" r="8890" b="4445"/>
            <wp:docPr id="10" name="图表 10">
              <a:extLst xmlns:a="http://schemas.openxmlformats.org/drawingml/2006/main">
                <a:ext uri="{FF2B5EF4-FFF2-40B4-BE49-F238E27FC236}">
                  <a16:creationId xmlns:a16="http://schemas.microsoft.com/office/drawing/2014/main" id="{BEA96F97-B6AB-47C5-B3BF-94618B7E70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355077">
        <w:rPr>
          <w:noProof/>
        </w:rPr>
        <w:drawing>
          <wp:inline distT="0" distB="0" distL="0" distR="0" wp14:anchorId="7B295F22" wp14:editId="12FCFF21">
            <wp:extent cx="4392000" cy="2358000"/>
            <wp:effectExtent l="0" t="0" r="8890" b="4445"/>
            <wp:docPr id="11" name="图表 11">
              <a:extLst xmlns:a="http://schemas.openxmlformats.org/drawingml/2006/main">
                <a:ext uri="{FF2B5EF4-FFF2-40B4-BE49-F238E27FC236}">
                  <a16:creationId xmlns:a16="http://schemas.microsoft.com/office/drawing/2014/main" id="{BC752293-D7A7-4E9F-B92D-48184AC974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F986DEC" w14:textId="77777777" w:rsidR="00176A44" w:rsidRPr="00355077" w:rsidRDefault="00176A44" w:rsidP="00176A44">
      <w:pPr>
        <w:widowControl/>
        <w:shd w:val="clear" w:color="auto" w:fill="FFFFFF"/>
        <w:spacing w:beforeLines="50" w:before="156" w:afterLines="50" w:after="156"/>
        <w:rPr>
          <w:noProof/>
        </w:rPr>
      </w:pPr>
      <w:r w:rsidRPr="00355077">
        <w:rPr>
          <w:noProof/>
        </w:rPr>
        <w:drawing>
          <wp:inline distT="0" distB="0" distL="0" distR="0" wp14:anchorId="3CAD4D52" wp14:editId="7F8B3ECE">
            <wp:extent cx="4392000" cy="2358000"/>
            <wp:effectExtent l="0" t="0" r="8890" b="4445"/>
            <wp:docPr id="12" name="图表 12">
              <a:extLst xmlns:a="http://schemas.openxmlformats.org/drawingml/2006/main">
                <a:ext uri="{FF2B5EF4-FFF2-40B4-BE49-F238E27FC236}">
                  <a16:creationId xmlns:a16="http://schemas.microsoft.com/office/drawing/2014/main" id="{78BEB967-21D8-43CA-A664-B256C45D3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355077">
        <w:rPr>
          <w:noProof/>
        </w:rPr>
        <w:drawing>
          <wp:inline distT="0" distB="0" distL="0" distR="0" wp14:anchorId="36C7E525" wp14:editId="315A1523">
            <wp:extent cx="4392000" cy="2358000"/>
            <wp:effectExtent l="0" t="0" r="8890" b="4445"/>
            <wp:docPr id="17" name="图表 17">
              <a:extLst xmlns:a="http://schemas.openxmlformats.org/drawingml/2006/main">
                <a:ext uri="{FF2B5EF4-FFF2-40B4-BE49-F238E27FC236}">
                  <a16:creationId xmlns:a16="http://schemas.microsoft.com/office/drawing/2014/main" id="{3BB152BC-E3FB-4341-80CE-C009030F0A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185C401" w14:textId="49825DA5" w:rsidR="00582BFC" w:rsidRPr="00355077" w:rsidRDefault="00894283" w:rsidP="00176A44">
      <w:pPr>
        <w:widowControl/>
        <w:shd w:val="clear" w:color="auto" w:fill="FFFFFF"/>
        <w:spacing w:beforeLines="50" w:before="156" w:afterLines="50" w:after="156"/>
        <w:rPr>
          <w:rFonts w:ascii="Times New Roman" w:hAnsi="Times New Roman" w:cs="Times New Roman"/>
          <w:noProof/>
        </w:rPr>
      </w:pPr>
      <w:r w:rsidRPr="00355077">
        <w:rPr>
          <w:rFonts w:ascii="Times New Roman" w:hAnsi="Times New Roman" w:cs="Times New Roman"/>
          <w:noProof/>
        </w:rPr>
        <w:t>Figure S1: The proportion of antimicrobial resistant isolates from female and male giant pandas.</w:t>
      </w:r>
    </w:p>
    <w:p w14:paraId="294F6207" w14:textId="65706D46" w:rsidR="00585261" w:rsidRPr="00355077" w:rsidRDefault="00585261" w:rsidP="00176A44">
      <w:pPr>
        <w:widowControl/>
        <w:shd w:val="clear" w:color="auto" w:fill="FFFFFF"/>
        <w:spacing w:beforeLines="50" w:before="156" w:afterLines="50" w:after="156"/>
        <w:rPr>
          <w:rFonts w:ascii="Times New Roman" w:hAnsi="Times New Roman" w:cs="Times New Roman"/>
          <w:noProof/>
        </w:rPr>
      </w:pPr>
      <w:r w:rsidRPr="00355077">
        <w:rPr>
          <w:rFonts w:ascii="Times New Roman" w:hAnsi="Times New Roman" w:cs="Times New Roman"/>
          <w:sz w:val="24"/>
          <w:szCs w:val="24"/>
        </w:rPr>
        <w:lastRenderedPageBreak/>
        <w:t>KAN, kanamycin; GEN, gentamicin; AZM, azithromycin; ERY, erythromycin; NOR, norfloxacin; OFX, ofloxacin; CIP, ciprofloxacin; LOM, lomefloxacin; LEV, levofloxacin; SD, sulfadiazine; TMP, trimethoprim; CRO, ceftriaxone; CFX, cefixime; AMP, ampicillin; AML, amoxicillin; ATM, aztreonam; IPM, imipenem; TET, tetracycline.</w:t>
      </w:r>
    </w:p>
    <w:sectPr w:rsidR="00585261" w:rsidRPr="00355077" w:rsidSect="004271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7C535" w14:textId="77777777" w:rsidR="00F96D12" w:rsidRDefault="00F96D12" w:rsidP="007D3C5F">
      <w:r>
        <w:separator/>
      </w:r>
    </w:p>
  </w:endnote>
  <w:endnote w:type="continuationSeparator" w:id="0">
    <w:p w14:paraId="32BF1071" w14:textId="77777777" w:rsidR="00F96D12" w:rsidRDefault="00F96D12" w:rsidP="007D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3D004" w14:textId="77777777" w:rsidR="00F96D12" w:rsidRDefault="00F96D12" w:rsidP="007D3C5F">
      <w:r>
        <w:separator/>
      </w:r>
    </w:p>
  </w:footnote>
  <w:footnote w:type="continuationSeparator" w:id="0">
    <w:p w14:paraId="65E00E02" w14:textId="77777777" w:rsidR="00F96D12" w:rsidRDefault="00F96D12" w:rsidP="007D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44"/>
    <w:rsid w:val="00176A44"/>
    <w:rsid w:val="0025460D"/>
    <w:rsid w:val="002B61AC"/>
    <w:rsid w:val="002B651F"/>
    <w:rsid w:val="00355077"/>
    <w:rsid w:val="0037407F"/>
    <w:rsid w:val="003D240F"/>
    <w:rsid w:val="004D070A"/>
    <w:rsid w:val="00521C5E"/>
    <w:rsid w:val="00585261"/>
    <w:rsid w:val="005B768D"/>
    <w:rsid w:val="007D3C5F"/>
    <w:rsid w:val="00894283"/>
    <w:rsid w:val="008C6EC3"/>
    <w:rsid w:val="00B27A0B"/>
    <w:rsid w:val="00F02767"/>
    <w:rsid w:val="00F96D12"/>
    <w:rsid w:val="00FC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62154"/>
  <w15:chartTrackingRefBased/>
  <w15:docId w15:val="{5288252B-DF26-48ED-909B-35988499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A44"/>
    <w:pPr>
      <w:widowControl w:val="0"/>
      <w:jc w:val="both"/>
    </w:p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C36B7"/>
    <w:pPr>
      <w:keepNext/>
      <w:keepLines/>
      <w:spacing w:line="360" w:lineRule="auto"/>
      <w:outlineLvl w:val="1"/>
    </w:pPr>
    <w:rPr>
      <w:rFonts w:ascii="黑体" w:eastAsia="黑体" w:hAnsi="黑体" w:cs="Times New Roman"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Simple 1"/>
    <w:basedOn w:val="a1"/>
    <w:qFormat/>
    <w:rsid w:val="0025460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标题 2 字符"/>
    <w:basedOn w:val="a0"/>
    <w:link w:val="2"/>
    <w:uiPriority w:val="9"/>
    <w:rsid w:val="00FC36B7"/>
    <w:rPr>
      <w:rFonts w:ascii="黑体" w:eastAsia="黑体" w:hAnsi="黑体" w:cs="Times New Roman"/>
      <w:bCs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7D3C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3C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3C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3C5F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21C5E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521C5E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521C5E"/>
  </w:style>
  <w:style w:type="paragraph" w:styleId="aa">
    <w:name w:val="annotation subject"/>
    <w:basedOn w:val="a8"/>
    <w:next w:val="a8"/>
    <w:link w:val="ab"/>
    <w:uiPriority w:val="99"/>
    <w:semiHidden/>
    <w:unhideWhenUsed/>
    <w:rsid w:val="00521C5E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521C5E"/>
    <w:rPr>
      <w:b/>
      <w:bCs/>
    </w:rPr>
  </w:style>
  <w:style w:type="character" w:styleId="ac">
    <w:name w:val="Strong"/>
    <w:basedOn w:val="a0"/>
    <w:uiPriority w:val="22"/>
    <w:qFormat/>
    <w:rsid w:val="00521C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7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00828&#36801;&#31227;\&#22823;&#29066;&#29483;\&#22823;&#29066;&#29483;&#31914;&#20415;&#33740;&#30340;&#20998;&#31163;&#19982;&#37492;&#23450;\&#32784;&#33647;&#24615;&#25991;&#31456;-&#22823;&#32928;&#26438;&#33740;&#21644;&#32928;&#26438;&#33740;&#8216;\20210816\&#32784;&#33647;&#29575;\&#32784;&#33647;&#2461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00828&#36801;&#31227;\&#22823;&#29066;&#29483;\&#22823;&#29066;&#29483;&#31914;&#20415;&#33740;&#30340;&#20998;&#31163;&#19982;&#37492;&#23450;\&#32784;&#33647;&#24615;&#25991;&#31456;-&#22823;&#32928;&#26438;&#33740;&#21644;&#32928;&#26438;&#33740;&#8216;\20210816\&#32784;&#33647;&#29575;\&#32784;&#33647;&#24615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00828&#36801;&#31227;\&#22823;&#29066;&#29483;\&#22823;&#29066;&#29483;&#31914;&#20415;&#33740;&#30340;&#20998;&#31163;&#19982;&#37492;&#23450;\&#32784;&#33647;&#24615;&#25991;&#31456;-&#22823;&#32928;&#26438;&#33740;&#21644;&#32928;&#26438;&#33740;&#8216;\20210816\&#32784;&#33647;&#29575;\&#32784;&#33647;&#24615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00828&#36801;&#31227;\&#22823;&#29066;&#29483;\&#22823;&#29066;&#29483;&#31914;&#20415;&#33740;&#30340;&#20998;&#31163;&#19982;&#37492;&#23450;\&#32784;&#33647;&#24615;&#25991;&#31456;-&#22823;&#32928;&#26438;&#33740;&#21644;&#32928;&#26438;&#33740;&#8216;\20210816\&#32784;&#33647;&#29575;\&#32784;&#33647;&#24615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r>
              <a:rPr lang="en-US" i="0"/>
              <a:t>(a)                  </a:t>
            </a:r>
            <a:r>
              <a:rPr lang="en-US" i="1"/>
              <a:t>Escherichia coli</a:t>
            </a:r>
            <a:endParaRPr lang="zh-CN" i="1"/>
          </a:p>
        </c:rich>
      </c:tx>
      <c:layout>
        <c:manualLayout>
          <c:xMode val="edge"/>
          <c:yMode val="edge"/>
          <c:x val="0.17748687284534778"/>
          <c:y val="4.3091839482897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性别耐药率!$B$24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rgbClr val="2F5597"/>
            </a:solidFill>
            <a:ln w="15875">
              <a:solidFill>
                <a:schemeClr val="tx1"/>
              </a:solidFill>
            </a:ln>
            <a:effectLst/>
          </c:spPr>
          <c:invertIfNegative val="0"/>
          <c:cat>
            <c:strRef>
              <c:f>性别耐药率!$A$25:$A$42</c:f>
              <c:strCache>
                <c:ptCount val="18"/>
                <c:pt idx="0">
                  <c:v>KAN</c:v>
                </c:pt>
                <c:pt idx="1">
                  <c:v>GEN</c:v>
                </c:pt>
                <c:pt idx="2">
                  <c:v>AZM</c:v>
                </c:pt>
                <c:pt idx="3">
                  <c:v>ERY</c:v>
                </c:pt>
                <c:pt idx="4">
                  <c:v>NOR</c:v>
                </c:pt>
                <c:pt idx="5">
                  <c:v>OFX</c:v>
                </c:pt>
                <c:pt idx="6">
                  <c:v>CIP</c:v>
                </c:pt>
                <c:pt idx="7">
                  <c:v>LOM</c:v>
                </c:pt>
                <c:pt idx="8">
                  <c:v>LEV</c:v>
                </c:pt>
                <c:pt idx="9">
                  <c:v>SD</c:v>
                </c:pt>
                <c:pt idx="10">
                  <c:v>TMP</c:v>
                </c:pt>
                <c:pt idx="11">
                  <c:v>CRO</c:v>
                </c:pt>
                <c:pt idx="12">
                  <c:v>CFM</c:v>
                </c:pt>
                <c:pt idx="13">
                  <c:v>AMP</c:v>
                </c:pt>
                <c:pt idx="14">
                  <c:v>AML</c:v>
                </c:pt>
                <c:pt idx="15">
                  <c:v>ATM</c:v>
                </c:pt>
                <c:pt idx="16">
                  <c:v>IPM</c:v>
                </c:pt>
                <c:pt idx="17">
                  <c:v>TET</c:v>
                </c:pt>
              </c:strCache>
            </c:strRef>
          </c:cat>
          <c:val>
            <c:numRef>
              <c:f>性别耐药率!$B$25:$B$42</c:f>
              <c:numCache>
                <c:formatCode>0.00</c:formatCode>
                <c:ptCount val="18"/>
                <c:pt idx="0">
                  <c:v>1.0638297872340425</c:v>
                </c:pt>
                <c:pt idx="1">
                  <c:v>1.0638297872340425</c:v>
                </c:pt>
                <c:pt idx="2">
                  <c:v>3.1914893617021276</c:v>
                </c:pt>
                <c:pt idx="3">
                  <c:v>0</c:v>
                </c:pt>
                <c:pt idx="4">
                  <c:v>2.1276595744680851</c:v>
                </c:pt>
                <c:pt idx="5">
                  <c:v>1.0638297872340425</c:v>
                </c:pt>
                <c:pt idx="6">
                  <c:v>2.1276595744680851</c:v>
                </c:pt>
                <c:pt idx="7">
                  <c:v>2.1276595744680851</c:v>
                </c:pt>
                <c:pt idx="8">
                  <c:v>4.2553191489361701</c:v>
                </c:pt>
                <c:pt idx="9">
                  <c:v>72.340425531914903</c:v>
                </c:pt>
                <c:pt idx="10">
                  <c:v>5.3191489361702127</c:v>
                </c:pt>
                <c:pt idx="11">
                  <c:v>2.1276595744680851</c:v>
                </c:pt>
                <c:pt idx="12">
                  <c:v>1.0638297872340425</c:v>
                </c:pt>
                <c:pt idx="13">
                  <c:v>23.404255319148938</c:v>
                </c:pt>
                <c:pt idx="14">
                  <c:v>21.276595744680851</c:v>
                </c:pt>
                <c:pt idx="15">
                  <c:v>1.0638297872340425</c:v>
                </c:pt>
                <c:pt idx="16">
                  <c:v>0</c:v>
                </c:pt>
                <c:pt idx="17">
                  <c:v>31.914893617021278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C7-42AA-98EB-B002611FA8E9}"/>
            </c:ext>
          </c:extLst>
        </c:ser>
        <c:ser>
          <c:idx val="1"/>
          <c:order val="1"/>
          <c:tx>
            <c:strRef>
              <c:f>性别耐药率!$C$24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rgbClr val="E19900"/>
            </a:solidFill>
            <a:ln w="15875">
              <a:solidFill>
                <a:schemeClr val="tx1"/>
              </a:solidFill>
            </a:ln>
            <a:effectLst/>
          </c:spPr>
          <c:invertIfNegative val="0"/>
          <c:cat>
            <c:strRef>
              <c:f>性别耐药率!$A$25:$A$42</c:f>
              <c:strCache>
                <c:ptCount val="18"/>
                <c:pt idx="0">
                  <c:v>KAN</c:v>
                </c:pt>
                <c:pt idx="1">
                  <c:v>GEN</c:v>
                </c:pt>
                <c:pt idx="2">
                  <c:v>AZM</c:v>
                </c:pt>
                <c:pt idx="3">
                  <c:v>ERY</c:v>
                </c:pt>
                <c:pt idx="4">
                  <c:v>NOR</c:v>
                </c:pt>
                <c:pt idx="5">
                  <c:v>OFX</c:v>
                </c:pt>
                <c:pt idx="6">
                  <c:v>CIP</c:v>
                </c:pt>
                <c:pt idx="7">
                  <c:v>LOM</c:v>
                </c:pt>
                <c:pt idx="8">
                  <c:v>LEV</c:v>
                </c:pt>
                <c:pt idx="9">
                  <c:v>SD</c:v>
                </c:pt>
                <c:pt idx="10">
                  <c:v>TMP</c:v>
                </c:pt>
                <c:pt idx="11">
                  <c:v>CRO</c:v>
                </c:pt>
                <c:pt idx="12">
                  <c:v>CFM</c:v>
                </c:pt>
                <c:pt idx="13">
                  <c:v>AMP</c:v>
                </c:pt>
                <c:pt idx="14">
                  <c:v>AML</c:v>
                </c:pt>
                <c:pt idx="15">
                  <c:v>ATM</c:v>
                </c:pt>
                <c:pt idx="16">
                  <c:v>IPM</c:v>
                </c:pt>
                <c:pt idx="17">
                  <c:v>TET</c:v>
                </c:pt>
              </c:strCache>
            </c:strRef>
          </c:cat>
          <c:val>
            <c:numRef>
              <c:f>性别耐药率!$C$25:$C$42</c:f>
              <c:numCache>
                <c:formatCode>0.00</c:formatCode>
                <c:ptCount val="18"/>
                <c:pt idx="0">
                  <c:v>4.1666666666666661</c:v>
                </c:pt>
                <c:pt idx="1">
                  <c:v>4.1666666666666661</c:v>
                </c:pt>
                <c:pt idx="2">
                  <c:v>2.7777777777777777</c:v>
                </c:pt>
                <c:pt idx="3">
                  <c:v>0</c:v>
                </c:pt>
                <c:pt idx="4">
                  <c:v>2.7777777777777777</c:v>
                </c:pt>
                <c:pt idx="5">
                  <c:v>1.3888888888888888</c:v>
                </c:pt>
                <c:pt idx="6">
                  <c:v>1.3888888888888888</c:v>
                </c:pt>
                <c:pt idx="7">
                  <c:v>2.7777777777777777</c:v>
                </c:pt>
                <c:pt idx="8">
                  <c:v>4.1666666666666661</c:v>
                </c:pt>
                <c:pt idx="9">
                  <c:v>72.222222222222214</c:v>
                </c:pt>
                <c:pt idx="10">
                  <c:v>19.444444444444446</c:v>
                </c:pt>
                <c:pt idx="11">
                  <c:v>4.1666666666666661</c:v>
                </c:pt>
                <c:pt idx="12">
                  <c:v>4.1666666666666661</c:v>
                </c:pt>
                <c:pt idx="13">
                  <c:v>22.222222222222221</c:v>
                </c:pt>
                <c:pt idx="14">
                  <c:v>26.388888888888889</c:v>
                </c:pt>
                <c:pt idx="15">
                  <c:v>2.7777777777777777</c:v>
                </c:pt>
                <c:pt idx="16">
                  <c:v>0</c:v>
                </c:pt>
                <c:pt idx="17">
                  <c:v>45.833333333333329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C7-42AA-98EB-B002611FA8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8798511"/>
        <c:axId val="1888802671"/>
      </c:barChart>
      <c:catAx>
        <c:axId val="188879851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802671"/>
        <c:crosses val="autoZero"/>
        <c:auto val="1"/>
        <c:lblAlgn val="ctr"/>
        <c:lblOffset val="100"/>
        <c:noMultiLvlLbl val="0"/>
      </c:catAx>
      <c:valAx>
        <c:axId val="1888802671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+mn-cs"/>
                  </a:defRPr>
                </a:pPr>
                <a:r>
                  <a:rPr lang="en-US" altLang="zh-CN" sz="1000" b="0">
                    <a:effectLst/>
                  </a:rPr>
                  <a:t>Percentage of antimicrobial resistance</a:t>
                </a:r>
                <a:endParaRPr lang="zh-CN" altLang="zh-CN" sz="1000" b="0">
                  <a:effectLst/>
                </a:endParaRPr>
              </a:p>
            </c:rich>
          </c:tx>
          <c:layout>
            <c:manualLayout>
              <c:xMode val="edge"/>
              <c:yMode val="edge"/>
              <c:x val="3.155026530904919E-2"/>
              <c:y val="0.1190412065715055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95000"/>
                      <a:lumOff val="5000"/>
                    </a:schemeClr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+mn-cs"/>
                </a:defRPr>
              </a:pPr>
              <a:endParaRPr lang="zh-CN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 w="254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798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 i="0" baseline="0">
          <a:solidFill>
            <a:schemeClr val="tx1">
              <a:lumMod val="95000"/>
              <a:lumOff val="5000"/>
            </a:schemeClr>
          </a:solidFill>
          <a:latin typeface="Times New Roman" panose="02020603050405020304" pitchFamily="18" charset="0"/>
          <a:ea typeface="宋体" panose="02010600030101010101" pitchFamily="2" charset="-122"/>
        </a:defRPr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r>
              <a:rPr lang="en-US" altLang="zh-CN" sz="1400" b="1" i="0" u="none" strike="noStrike" baseline="0">
                <a:effectLst/>
              </a:rPr>
              <a:t>(b)  </a:t>
            </a:r>
            <a:r>
              <a:rPr lang="en-US" altLang="zh-CN" sz="1400" b="1" i="1" u="none" strike="noStrike" baseline="0">
                <a:effectLst/>
              </a:rPr>
              <a:t>          Enterobacter </a:t>
            </a:r>
            <a:r>
              <a:rPr lang="en-US" altLang="zh-CN" sz="1400" b="1" i="0" u="none" strike="noStrike" baseline="0">
                <a:effectLst/>
              </a:rPr>
              <a:t>spp.</a:t>
            </a:r>
            <a:r>
              <a:rPr lang="en-US" altLang="zh-CN" sz="1400" b="1" i="1" u="none" strike="noStrike" baseline="0">
                <a:effectLst/>
              </a:rPr>
              <a:t> </a:t>
            </a:r>
            <a:r>
              <a:rPr lang="en-US" altLang="zh-CN" sz="1400" b="1" i="0" u="none" strike="noStrike" baseline="0"/>
              <a:t> </a:t>
            </a:r>
            <a:endParaRPr lang="zh-CN" b="1" i="1"/>
          </a:p>
        </c:rich>
      </c:tx>
      <c:layout>
        <c:manualLayout>
          <c:xMode val="edge"/>
          <c:yMode val="edge"/>
          <c:x val="0.17063320020220143"/>
          <c:y val="3.23188796121734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性别耐药率!$F$24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rgbClr val="2F5597"/>
            </a:solidFill>
            <a:ln w="15875">
              <a:solidFill>
                <a:schemeClr val="tx1"/>
              </a:solidFill>
            </a:ln>
            <a:effectLst/>
          </c:spPr>
          <c:invertIfNegative val="0"/>
          <c:cat>
            <c:strRef>
              <c:f>性别耐药率!$E$25:$E$42</c:f>
              <c:strCache>
                <c:ptCount val="18"/>
                <c:pt idx="0">
                  <c:v>KAN</c:v>
                </c:pt>
                <c:pt idx="1">
                  <c:v>GEN</c:v>
                </c:pt>
                <c:pt idx="2">
                  <c:v>AZM</c:v>
                </c:pt>
                <c:pt idx="3">
                  <c:v>ERY</c:v>
                </c:pt>
                <c:pt idx="4">
                  <c:v>NOR</c:v>
                </c:pt>
                <c:pt idx="5">
                  <c:v>OFX</c:v>
                </c:pt>
                <c:pt idx="6">
                  <c:v>CIP</c:v>
                </c:pt>
                <c:pt idx="7">
                  <c:v>LOM</c:v>
                </c:pt>
                <c:pt idx="8">
                  <c:v>LEV</c:v>
                </c:pt>
                <c:pt idx="9">
                  <c:v>SD</c:v>
                </c:pt>
                <c:pt idx="10">
                  <c:v>TMP</c:v>
                </c:pt>
                <c:pt idx="11">
                  <c:v>CRO</c:v>
                </c:pt>
                <c:pt idx="12">
                  <c:v>CFM</c:v>
                </c:pt>
                <c:pt idx="13">
                  <c:v>AMP</c:v>
                </c:pt>
                <c:pt idx="14">
                  <c:v>AML</c:v>
                </c:pt>
                <c:pt idx="15">
                  <c:v>ATM</c:v>
                </c:pt>
                <c:pt idx="16">
                  <c:v>IPM</c:v>
                </c:pt>
                <c:pt idx="17">
                  <c:v>TET</c:v>
                </c:pt>
              </c:strCache>
            </c:strRef>
          </c:cat>
          <c:val>
            <c:numRef>
              <c:f>性别耐药率!$F$25:$F$42</c:f>
              <c:numCache>
                <c:formatCode>0.0</c:formatCode>
                <c:ptCount val="18"/>
                <c:pt idx="0">
                  <c:v>0</c:v>
                </c:pt>
                <c:pt idx="1">
                  <c:v>10.256410256410255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12.820512820512819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92.307692307692307</c:v>
                </c:pt>
                <c:pt idx="14">
                  <c:v>87.179487179487182</c:v>
                </c:pt>
                <c:pt idx="15">
                  <c:v>0</c:v>
                </c:pt>
                <c:pt idx="16">
                  <c:v>0</c:v>
                </c:pt>
                <c:pt idx="17">
                  <c:v>17.948717948717949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94-423D-9BE0-353BA24B9F3D}"/>
            </c:ext>
          </c:extLst>
        </c:ser>
        <c:ser>
          <c:idx val="1"/>
          <c:order val="1"/>
          <c:tx>
            <c:strRef>
              <c:f>性别耐药率!$G$24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rgbClr val="E19900"/>
            </a:solidFill>
            <a:ln w="15875">
              <a:solidFill>
                <a:schemeClr val="tx1"/>
              </a:solidFill>
            </a:ln>
            <a:effectLst/>
          </c:spPr>
          <c:invertIfNegative val="0"/>
          <c:cat>
            <c:strRef>
              <c:f>性别耐药率!$E$25:$E$42</c:f>
              <c:strCache>
                <c:ptCount val="18"/>
                <c:pt idx="0">
                  <c:v>KAN</c:v>
                </c:pt>
                <c:pt idx="1">
                  <c:v>GEN</c:v>
                </c:pt>
                <c:pt idx="2">
                  <c:v>AZM</c:v>
                </c:pt>
                <c:pt idx="3">
                  <c:v>ERY</c:v>
                </c:pt>
                <c:pt idx="4">
                  <c:v>NOR</c:v>
                </c:pt>
                <c:pt idx="5">
                  <c:v>OFX</c:v>
                </c:pt>
                <c:pt idx="6">
                  <c:v>CIP</c:v>
                </c:pt>
                <c:pt idx="7">
                  <c:v>LOM</c:v>
                </c:pt>
                <c:pt idx="8">
                  <c:v>LEV</c:v>
                </c:pt>
                <c:pt idx="9">
                  <c:v>SD</c:v>
                </c:pt>
                <c:pt idx="10">
                  <c:v>TMP</c:v>
                </c:pt>
                <c:pt idx="11">
                  <c:v>CRO</c:v>
                </c:pt>
                <c:pt idx="12">
                  <c:v>CFM</c:v>
                </c:pt>
                <c:pt idx="13">
                  <c:v>AMP</c:v>
                </c:pt>
                <c:pt idx="14">
                  <c:v>AML</c:v>
                </c:pt>
                <c:pt idx="15">
                  <c:v>ATM</c:v>
                </c:pt>
                <c:pt idx="16">
                  <c:v>IPM</c:v>
                </c:pt>
                <c:pt idx="17">
                  <c:v>TET</c:v>
                </c:pt>
              </c:strCache>
            </c:strRef>
          </c:cat>
          <c:val>
            <c:numRef>
              <c:f>性别耐药率!$G$25:$G$42</c:f>
              <c:numCache>
                <c:formatCode>0.0</c:formatCode>
                <c:ptCount val="18"/>
                <c:pt idx="0">
                  <c:v>3.4482758620689653</c:v>
                </c:pt>
                <c:pt idx="1">
                  <c:v>13.793103448275861</c:v>
                </c:pt>
                <c:pt idx="2">
                  <c:v>6.8965517241379306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10.344827586206897</c:v>
                </c:pt>
                <c:pt idx="10">
                  <c:v>10.344827586206897</c:v>
                </c:pt>
                <c:pt idx="11">
                  <c:v>3.4482758620689653</c:v>
                </c:pt>
                <c:pt idx="12">
                  <c:v>3.4482758620689653</c:v>
                </c:pt>
                <c:pt idx="13">
                  <c:v>72.41379310344827</c:v>
                </c:pt>
                <c:pt idx="14">
                  <c:v>89.65517241379311</c:v>
                </c:pt>
                <c:pt idx="15">
                  <c:v>0</c:v>
                </c:pt>
                <c:pt idx="16">
                  <c:v>0</c:v>
                </c:pt>
                <c:pt idx="17">
                  <c:v>20.689655172413794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94-423D-9BE0-353BA24B9F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8798511"/>
        <c:axId val="1888802671"/>
      </c:barChart>
      <c:catAx>
        <c:axId val="188879851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802671"/>
        <c:crosses val="autoZero"/>
        <c:auto val="1"/>
        <c:lblAlgn val="ctr"/>
        <c:lblOffset val="100"/>
        <c:noMultiLvlLbl val="0"/>
      </c:catAx>
      <c:valAx>
        <c:axId val="1888802671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+mn-cs"/>
                  </a:defRPr>
                </a:pPr>
                <a:r>
                  <a:rPr lang="en-US" altLang="zh-CN" sz="1000" b="0" i="0" baseline="0">
                    <a:effectLst/>
                  </a:rPr>
                  <a:t>Percentage of antimicrobial resistance</a:t>
                </a:r>
              </a:p>
            </c:rich>
          </c:tx>
          <c:layout>
            <c:manualLayout>
              <c:xMode val="edge"/>
              <c:yMode val="edge"/>
              <c:x val="3.1810294968189705E-2"/>
              <c:y val="0.156746566119041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95000"/>
                      <a:lumOff val="5000"/>
                    </a:schemeClr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+mn-cs"/>
                </a:defRPr>
              </a:pPr>
              <a:endParaRPr lang="zh-CN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 w="254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798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 i="0" baseline="0">
          <a:solidFill>
            <a:schemeClr val="tx1">
              <a:lumMod val="95000"/>
              <a:lumOff val="5000"/>
            </a:schemeClr>
          </a:solidFill>
          <a:latin typeface="Times New Roman" panose="02020603050405020304" pitchFamily="18" charset="0"/>
          <a:ea typeface="宋体" panose="02010600030101010101" pitchFamily="2" charset="-122"/>
        </a:defRPr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r>
              <a:rPr lang="en-US" altLang="zh-CN" sz="1400" b="1" i="0" u="none" strike="noStrike" baseline="0">
                <a:effectLst/>
              </a:rPr>
              <a:t>(c) </a:t>
            </a:r>
            <a:r>
              <a:rPr lang="en-US" altLang="zh-CN" sz="1400" b="1" i="1" u="none" strike="noStrike" baseline="0">
                <a:effectLst/>
              </a:rPr>
              <a:t>              Klebsiella pneumoniae</a:t>
            </a:r>
            <a:endParaRPr lang="zh-CN" b="1" i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性别耐药率!$J$24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rgbClr val="2F5597"/>
            </a:solidFill>
            <a:ln w="15875">
              <a:solidFill>
                <a:schemeClr val="tx1"/>
              </a:solidFill>
            </a:ln>
            <a:effectLst/>
          </c:spPr>
          <c:invertIfNegative val="0"/>
          <c:cat>
            <c:strRef>
              <c:f>性别耐药率!$I$25:$I$42</c:f>
              <c:strCache>
                <c:ptCount val="18"/>
                <c:pt idx="0">
                  <c:v>KAN</c:v>
                </c:pt>
                <c:pt idx="1">
                  <c:v>GEN</c:v>
                </c:pt>
                <c:pt idx="2">
                  <c:v>AZM</c:v>
                </c:pt>
                <c:pt idx="3">
                  <c:v>ERY</c:v>
                </c:pt>
                <c:pt idx="4">
                  <c:v>NOR</c:v>
                </c:pt>
                <c:pt idx="5">
                  <c:v>OFX</c:v>
                </c:pt>
                <c:pt idx="6">
                  <c:v>CIP</c:v>
                </c:pt>
                <c:pt idx="7">
                  <c:v>LOM</c:v>
                </c:pt>
                <c:pt idx="8">
                  <c:v>LEV</c:v>
                </c:pt>
                <c:pt idx="9">
                  <c:v>SD</c:v>
                </c:pt>
                <c:pt idx="10">
                  <c:v>TMP</c:v>
                </c:pt>
                <c:pt idx="11">
                  <c:v>CRO</c:v>
                </c:pt>
                <c:pt idx="12">
                  <c:v>CFM</c:v>
                </c:pt>
                <c:pt idx="13">
                  <c:v>AMP</c:v>
                </c:pt>
                <c:pt idx="14">
                  <c:v>AML</c:v>
                </c:pt>
                <c:pt idx="15">
                  <c:v>ATM</c:v>
                </c:pt>
                <c:pt idx="16">
                  <c:v>IPM</c:v>
                </c:pt>
                <c:pt idx="17">
                  <c:v>TET</c:v>
                </c:pt>
              </c:strCache>
            </c:strRef>
          </c:cat>
          <c:val>
            <c:numRef>
              <c:f>性别耐药率!$J$25:$J$42</c:f>
              <c:numCache>
                <c:formatCode>0.0</c:formatCode>
                <c:ptCount val="18"/>
                <c:pt idx="0">
                  <c:v>0</c:v>
                </c:pt>
                <c:pt idx="1">
                  <c:v>0</c:v>
                </c:pt>
                <c:pt idx="2">
                  <c:v>1.5873015873015872</c:v>
                </c:pt>
                <c:pt idx="3">
                  <c:v>0</c:v>
                </c:pt>
                <c:pt idx="4">
                  <c:v>1.5873015873015872</c:v>
                </c:pt>
                <c:pt idx="5">
                  <c:v>1.5873015873015872</c:v>
                </c:pt>
                <c:pt idx="6">
                  <c:v>3.1746031746031744</c:v>
                </c:pt>
                <c:pt idx="7">
                  <c:v>3.1746031746031744</c:v>
                </c:pt>
                <c:pt idx="8">
                  <c:v>1.5873015873015872</c:v>
                </c:pt>
                <c:pt idx="9">
                  <c:v>47.619047619047613</c:v>
                </c:pt>
                <c:pt idx="10">
                  <c:v>4.7619047619047619</c:v>
                </c:pt>
                <c:pt idx="11">
                  <c:v>3.1746031746031744</c:v>
                </c:pt>
                <c:pt idx="12">
                  <c:v>0</c:v>
                </c:pt>
                <c:pt idx="13">
                  <c:v>79.365079365079367</c:v>
                </c:pt>
                <c:pt idx="14">
                  <c:v>92.063492063492063</c:v>
                </c:pt>
                <c:pt idx="15">
                  <c:v>0</c:v>
                </c:pt>
                <c:pt idx="16">
                  <c:v>0</c:v>
                </c:pt>
                <c:pt idx="17">
                  <c:v>17.460317460317459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22-4E8D-AEEC-00E4D1579615}"/>
            </c:ext>
          </c:extLst>
        </c:ser>
        <c:ser>
          <c:idx val="1"/>
          <c:order val="1"/>
          <c:tx>
            <c:strRef>
              <c:f>性别耐药率!$K$24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rgbClr val="E19900"/>
            </a:solidFill>
            <a:ln w="15875">
              <a:solidFill>
                <a:schemeClr val="tx1"/>
              </a:solidFill>
            </a:ln>
            <a:effectLst/>
          </c:spPr>
          <c:invertIfNegative val="0"/>
          <c:cat>
            <c:strRef>
              <c:f>性别耐药率!$I$25:$I$42</c:f>
              <c:strCache>
                <c:ptCount val="18"/>
                <c:pt idx="0">
                  <c:v>KAN</c:v>
                </c:pt>
                <c:pt idx="1">
                  <c:v>GEN</c:v>
                </c:pt>
                <c:pt idx="2">
                  <c:v>AZM</c:v>
                </c:pt>
                <c:pt idx="3">
                  <c:v>ERY</c:v>
                </c:pt>
                <c:pt idx="4">
                  <c:v>NOR</c:v>
                </c:pt>
                <c:pt idx="5">
                  <c:v>OFX</c:v>
                </c:pt>
                <c:pt idx="6">
                  <c:v>CIP</c:v>
                </c:pt>
                <c:pt idx="7">
                  <c:v>LOM</c:v>
                </c:pt>
                <c:pt idx="8">
                  <c:v>LEV</c:v>
                </c:pt>
                <c:pt idx="9">
                  <c:v>SD</c:v>
                </c:pt>
                <c:pt idx="10">
                  <c:v>TMP</c:v>
                </c:pt>
                <c:pt idx="11">
                  <c:v>CRO</c:v>
                </c:pt>
                <c:pt idx="12">
                  <c:v>CFM</c:v>
                </c:pt>
                <c:pt idx="13">
                  <c:v>AMP</c:v>
                </c:pt>
                <c:pt idx="14">
                  <c:v>AML</c:v>
                </c:pt>
                <c:pt idx="15">
                  <c:v>ATM</c:v>
                </c:pt>
                <c:pt idx="16">
                  <c:v>IPM</c:v>
                </c:pt>
                <c:pt idx="17">
                  <c:v>TET</c:v>
                </c:pt>
              </c:strCache>
            </c:strRef>
          </c:cat>
          <c:val>
            <c:numRef>
              <c:f>性别耐药率!$K$25:$K$42</c:f>
              <c:numCache>
                <c:formatCode>0.0</c:formatCode>
                <c:ptCount val="18"/>
                <c:pt idx="0">
                  <c:v>1.8867924528301887</c:v>
                </c:pt>
                <c:pt idx="1">
                  <c:v>1.8867924528301887</c:v>
                </c:pt>
                <c:pt idx="2">
                  <c:v>1.8867924528301887</c:v>
                </c:pt>
                <c:pt idx="3">
                  <c:v>0</c:v>
                </c:pt>
                <c:pt idx="4">
                  <c:v>1.8867924528301887</c:v>
                </c:pt>
                <c:pt idx="5">
                  <c:v>1.8867924528301887</c:v>
                </c:pt>
                <c:pt idx="6">
                  <c:v>1.8867924528301887</c:v>
                </c:pt>
                <c:pt idx="7">
                  <c:v>1.8867924528301887</c:v>
                </c:pt>
                <c:pt idx="8">
                  <c:v>1.8867924528301887</c:v>
                </c:pt>
                <c:pt idx="9">
                  <c:v>45.283018867924532</c:v>
                </c:pt>
                <c:pt idx="10">
                  <c:v>15.09433962264151</c:v>
                </c:pt>
                <c:pt idx="11">
                  <c:v>1.8867924528301887</c:v>
                </c:pt>
                <c:pt idx="12">
                  <c:v>1.8867924528301887</c:v>
                </c:pt>
                <c:pt idx="13">
                  <c:v>66.037735849056602</c:v>
                </c:pt>
                <c:pt idx="14">
                  <c:v>77.358490566037744</c:v>
                </c:pt>
                <c:pt idx="15">
                  <c:v>0</c:v>
                </c:pt>
                <c:pt idx="16">
                  <c:v>0</c:v>
                </c:pt>
                <c:pt idx="17">
                  <c:v>18.867924528301888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22-4E8D-AEEC-00E4D15796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8798511"/>
        <c:axId val="1888802671"/>
      </c:barChart>
      <c:catAx>
        <c:axId val="188879851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802671"/>
        <c:crosses val="autoZero"/>
        <c:auto val="1"/>
        <c:lblAlgn val="ctr"/>
        <c:lblOffset val="100"/>
        <c:noMultiLvlLbl val="0"/>
      </c:catAx>
      <c:valAx>
        <c:axId val="1888802671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+mn-cs"/>
                  </a:defRPr>
                </a:pPr>
                <a:r>
                  <a:rPr lang="en-US" altLang="zh-CN" sz="1100" b="0" i="0" baseline="0">
                    <a:effectLst/>
                  </a:rPr>
                  <a:t>Percentage of antimicrobial resistance</a:t>
                </a:r>
              </a:p>
            </c:rich>
          </c:tx>
          <c:layout>
            <c:manualLayout>
              <c:xMode val="edge"/>
              <c:yMode val="edge"/>
              <c:x val="3.155026530904919E-2"/>
              <c:y val="0.140587126312954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95000"/>
                      <a:lumOff val="5000"/>
                    </a:schemeClr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+mn-cs"/>
                </a:defRPr>
              </a:pPr>
              <a:endParaRPr lang="zh-CN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 w="254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798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 i="0" baseline="0">
          <a:solidFill>
            <a:schemeClr val="tx1">
              <a:lumMod val="95000"/>
              <a:lumOff val="5000"/>
            </a:schemeClr>
          </a:solidFill>
          <a:latin typeface="Times New Roman" panose="02020603050405020304" pitchFamily="18" charset="0"/>
          <a:ea typeface="宋体" panose="02010600030101010101" pitchFamily="2" charset="-122"/>
        </a:defRPr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r>
              <a:rPr lang="en-US" altLang="zh-CN" sz="1400" b="1" i="0" u="none" strike="noStrike" baseline="0">
                <a:effectLst/>
              </a:rPr>
              <a:t>(d)   </a:t>
            </a:r>
            <a:r>
              <a:rPr lang="en-US" altLang="zh-CN" sz="1400" b="1" i="1" u="none" strike="noStrike" baseline="0">
                <a:effectLst/>
              </a:rPr>
              <a:t>              Enterococcus</a:t>
            </a:r>
            <a:r>
              <a:rPr lang="en-US" altLang="zh-CN" sz="1400" b="1" i="0" u="none" strike="noStrike" baseline="0">
                <a:effectLst/>
              </a:rPr>
              <a:t> spp.</a:t>
            </a:r>
            <a:endParaRPr lang="zh-CN" b="1" i="0"/>
          </a:p>
        </c:rich>
      </c:tx>
      <c:layout>
        <c:manualLayout>
          <c:xMode val="edge"/>
          <c:yMode val="edge"/>
          <c:x val="0.17842683632157319"/>
          <c:y val="2.69323996768112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性别耐药率!$N$24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rgbClr val="2F5597"/>
            </a:solidFill>
            <a:ln w="15875"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52B-4509-8DD7-93BD596BFA06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52B-4509-8DD7-93BD596BFA06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52B-4509-8DD7-93BD596BFA06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52B-4509-8DD7-93BD596BFA0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52B-4509-8DD7-93BD596BFA0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altLang="zh-CN" i="1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E52B-4509-8DD7-93BD596BFA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性别耐药率!$M$25:$M$30</c:f>
              <c:strCache>
                <c:ptCount val="6"/>
                <c:pt idx="0">
                  <c:v>GEN</c:v>
                </c:pt>
                <c:pt idx="1">
                  <c:v>ERY</c:v>
                </c:pt>
                <c:pt idx="2">
                  <c:v>NOR</c:v>
                </c:pt>
                <c:pt idx="3">
                  <c:v>LEV</c:v>
                </c:pt>
                <c:pt idx="4">
                  <c:v>AMP</c:v>
                </c:pt>
                <c:pt idx="5">
                  <c:v>TET</c:v>
                </c:pt>
              </c:strCache>
            </c:strRef>
          </c:cat>
          <c:val>
            <c:numRef>
              <c:f>性别耐药率!$N$25:$N$30</c:f>
              <c:numCache>
                <c:formatCode>0.0</c:formatCode>
                <c:ptCount val="6"/>
                <c:pt idx="0">
                  <c:v>0</c:v>
                </c:pt>
                <c:pt idx="1">
                  <c:v>23.880597014925371</c:v>
                </c:pt>
                <c:pt idx="2">
                  <c:v>0</c:v>
                </c:pt>
                <c:pt idx="3">
                  <c:v>0</c:v>
                </c:pt>
                <c:pt idx="4">
                  <c:v>10.44776119402985</c:v>
                </c:pt>
                <c:pt idx="5">
                  <c:v>26.865671641791046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52B-4509-8DD7-93BD596BFA06}"/>
            </c:ext>
          </c:extLst>
        </c:ser>
        <c:ser>
          <c:idx val="1"/>
          <c:order val="1"/>
          <c:tx>
            <c:strRef>
              <c:f>性别耐药率!$O$24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rgbClr val="E19900"/>
            </a:solidFill>
            <a:ln w="15875"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52B-4509-8DD7-93BD596BFA06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52B-4509-8DD7-93BD596BFA06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52B-4509-8DD7-93BD596BFA06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52B-4509-8DD7-93BD596BFA0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52B-4509-8DD7-93BD596BFA06}"/>
                </c:ext>
              </c:extLst>
            </c:dLbl>
            <c:dLbl>
              <c:idx val="5"/>
              <c:layout>
                <c:manualLayout>
                  <c:x val="6.9206973098432148E-4"/>
                  <c:y val="1.327318158632063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1" u="none" strike="noStrike" kern="1200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Times New Roman" panose="02020603050405020304" pitchFamily="18" charset="0"/>
                        <a:ea typeface="宋体" panose="02010600030101010101" pitchFamily="2" charset="-122"/>
                        <a:cs typeface="+mn-cs"/>
                      </a:defRPr>
                    </a:pPr>
                    <a:r>
                      <a:rPr lang="en-US" altLang="zh-CN" b="1" i="1" baseline="0"/>
                      <a:t>a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1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Times New Roman" panose="02020603050405020304" pitchFamily="18" charset="0"/>
                      <a:ea typeface="宋体" panose="02010600030101010101" pitchFamily="2" charset="-122"/>
                      <a:cs typeface="+mn-cs"/>
                    </a:defRPr>
                  </a:pPr>
                  <a:endParaRPr lang="zh-CN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E52B-4509-8DD7-93BD596BFA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性别耐药率!$M$25:$M$30</c:f>
              <c:strCache>
                <c:ptCount val="6"/>
                <c:pt idx="0">
                  <c:v>GEN</c:v>
                </c:pt>
                <c:pt idx="1">
                  <c:v>ERY</c:v>
                </c:pt>
                <c:pt idx="2">
                  <c:v>NOR</c:v>
                </c:pt>
                <c:pt idx="3">
                  <c:v>LEV</c:v>
                </c:pt>
                <c:pt idx="4">
                  <c:v>AMP</c:v>
                </c:pt>
                <c:pt idx="5">
                  <c:v>TET</c:v>
                </c:pt>
              </c:strCache>
            </c:strRef>
          </c:cat>
          <c:val>
            <c:numRef>
              <c:f>性别耐药率!$O$25:$O$30</c:f>
              <c:numCache>
                <c:formatCode>0.0</c:formatCode>
                <c:ptCount val="6"/>
                <c:pt idx="0">
                  <c:v>0</c:v>
                </c:pt>
                <c:pt idx="1">
                  <c:v>36</c:v>
                </c:pt>
                <c:pt idx="2">
                  <c:v>2</c:v>
                </c:pt>
                <c:pt idx="3">
                  <c:v>0</c:v>
                </c:pt>
                <c:pt idx="4">
                  <c:v>14.000000000000002</c:v>
                </c:pt>
                <c:pt idx="5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E52B-4509-8DD7-93BD596BFA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8798511"/>
        <c:axId val="1888802671"/>
      </c:barChart>
      <c:catAx>
        <c:axId val="188879851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802671"/>
        <c:crosses val="autoZero"/>
        <c:auto val="1"/>
        <c:lblAlgn val="ctr"/>
        <c:lblOffset val="100"/>
        <c:noMultiLvlLbl val="0"/>
      </c:catAx>
      <c:valAx>
        <c:axId val="1888802671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+mn-cs"/>
                  </a:defRPr>
                </a:pPr>
                <a:r>
                  <a:rPr lang="en-US" altLang="zh-CN" sz="1000" b="0" i="0" baseline="0">
                    <a:effectLst/>
                  </a:rPr>
                  <a:t>Percentage of antimicrobial resistance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95000"/>
                      <a:lumOff val="5000"/>
                    </a:schemeClr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+mn-cs"/>
                </a:defRPr>
              </a:pPr>
              <a:endParaRPr lang="zh-CN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 w="254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+mn-cs"/>
              </a:defRPr>
            </a:pPr>
            <a:endParaRPr lang="zh-CN"/>
          </a:p>
        </c:txPr>
        <c:crossAx val="1888798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宋体" panose="02010600030101010101" pitchFamily="2" charset="-122"/>
              <a:cs typeface="+mn-cs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 i="0" baseline="0">
          <a:solidFill>
            <a:schemeClr val="tx1">
              <a:lumMod val="95000"/>
              <a:lumOff val="5000"/>
            </a:schemeClr>
          </a:solidFill>
          <a:latin typeface="Times New Roman" panose="02020603050405020304" pitchFamily="18" charset="0"/>
          <a:ea typeface="宋体" panose="02010600030101010101" pitchFamily="2" charset="-122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A4E4B-8F83-47E4-BBF0-9002B68EC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san</dc:creator>
  <cp:keywords/>
  <dc:description/>
  <cp:lastModifiedBy>jin san</cp:lastModifiedBy>
  <cp:revision>5</cp:revision>
  <dcterms:created xsi:type="dcterms:W3CDTF">2022-02-13T04:26:00Z</dcterms:created>
  <dcterms:modified xsi:type="dcterms:W3CDTF">2022-02-13T09:18:00Z</dcterms:modified>
</cp:coreProperties>
</file>