
<file path=[Content_Types].xml><?xml version="1.0" encoding="utf-8"?>
<Types xmlns="http://schemas.openxmlformats.org/package/2006/content-types"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hint="eastAsia" w:ascii="Times New Roman" w:hAnsi="Times New Roman" w:eastAsia="宋体" w:cs="Times New Roman"/>
          <w:b/>
          <w:bCs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eastAsia="Segoe UI" w:cs="Times New Roman"/>
          <w:b/>
          <w:bCs/>
          <w:color w:val="333333"/>
          <w:sz w:val="20"/>
          <w:szCs w:val="20"/>
          <w:shd w:val="clear" w:color="auto" w:fill="FFFFFF"/>
        </w:rPr>
        <w:t xml:space="preserve">Additional file </w:t>
      </w:r>
      <w:r>
        <w:rPr>
          <w:rFonts w:hint="eastAsia" w:ascii="Times New Roman" w:hAnsi="Times New Roman" w:eastAsia="宋体" w:cs="Times New Roman"/>
          <w:b/>
          <w:bCs/>
          <w:color w:val="333333"/>
          <w:sz w:val="20"/>
          <w:szCs w:val="20"/>
          <w:shd w:val="clear" w:color="auto" w:fill="FFFFFF"/>
        </w:rPr>
        <w:t>3</w:t>
      </w:r>
    </w:p>
    <w:p>
      <w:pPr>
        <w:spacing w:line="480" w:lineRule="auto"/>
        <w:jc w:val="center"/>
        <w:rPr>
          <w:rFonts w:hint="eastAsia" w:ascii="Times New Roman" w:hAnsi="Times New Roman" w:eastAsia="宋体" w:cs="Times New Roman"/>
          <w:b/>
          <w:bCs/>
          <w:color w:val="333333"/>
          <w:sz w:val="20"/>
          <w:szCs w:val="20"/>
          <w:shd w:val="clear" w:color="auto" w:fill="FFFFFF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color w:val="333333"/>
          <w:sz w:val="20"/>
          <w:szCs w:val="20"/>
          <w:shd w:val="clear" w:color="auto" w:fill="FFFFFF"/>
          <w:lang w:eastAsia="zh-CN"/>
        </w:rPr>
        <w:drawing>
          <wp:inline distT="0" distB="0" distL="114300" distR="114300">
            <wp:extent cx="2988945" cy="2099310"/>
            <wp:effectExtent l="0" t="0" r="1270" b="5715"/>
            <wp:docPr id="4" name="图片 4" descr="Figure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88945" cy="209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left"/>
        <w:rPr>
          <w:rFonts w:hint="eastAsia" w:ascii="Times New Roman" w:hAnsi="Times New Roman" w:eastAsia="宋体" w:cs="Times New Roman"/>
          <w:b/>
          <w:bCs/>
          <w:color w:val="auto"/>
          <w:sz w:val="20"/>
          <w:szCs w:val="20"/>
          <w:shd w:val="clear" w:color="auto" w:fill="FFFFFF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2"/>
          <w:sz w:val="20"/>
          <w:szCs w:val="20"/>
          <w:lang w:val="en-US" w:eastAsia="zh-CN" w:bidi="ar"/>
        </w:rPr>
        <w:t>Fig</w:t>
      </w: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0"/>
          <w:szCs w:val="20"/>
          <w:lang w:val="en-US" w:eastAsia="zh-CN" w:bidi="ar"/>
        </w:rPr>
        <w:t>ure</w:t>
      </w:r>
      <w:r>
        <w:rPr>
          <w:rFonts w:hint="default" w:ascii="Times New Roman" w:hAnsi="Times New Roman" w:eastAsia="宋体" w:cs="Times New Roman"/>
          <w:b/>
          <w:bCs/>
          <w:color w:val="auto"/>
          <w:kern w:val="2"/>
          <w:sz w:val="20"/>
          <w:szCs w:val="20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0"/>
          <w:szCs w:val="20"/>
          <w:lang w:val="en-US" w:eastAsia="zh-CN" w:bidi="ar"/>
        </w:rPr>
        <w:t>S</w:t>
      </w:r>
      <w:r>
        <w:rPr>
          <w:rFonts w:hint="default" w:ascii="Times New Roman" w:hAnsi="Times New Roman" w:eastAsia="宋体" w:cs="Times New Roman"/>
          <w:b/>
          <w:bCs/>
          <w:color w:val="auto"/>
          <w:kern w:val="2"/>
          <w:sz w:val="20"/>
          <w:szCs w:val="20"/>
          <w:lang w:val="en-US" w:eastAsia="zh-CN" w:bidi="ar"/>
        </w:rPr>
        <w:t>1.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0"/>
          <w:lang w:val="en-US" w:eastAsia="zh-CN" w:bidi="ar"/>
        </w:rPr>
        <w:t xml:space="preserve"> The PCA plot by ggplot2. The </w:t>
      </w:r>
      <w:r>
        <w:rPr>
          <w:rFonts w:hint="default" w:ascii="Cambria Math" w:hAnsi="Cambria Math" w:eastAsia="Cambria Math" w:cs="Cambria Math"/>
          <w:color w:val="auto"/>
          <w:kern w:val="2"/>
          <w:sz w:val="20"/>
          <w:szCs w:val="20"/>
          <w:lang w:val="en-US" w:eastAsia="zh-CN" w:bidi="ar"/>
        </w:rPr>
        <w:t>△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0"/>
          <w:lang w:val="en-US" w:eastAsia="zh-CN" w:bidi="ar"/>
        </w:rPr>
        <w:t>abaI mutant and wild type (wt) were clustered into two groups based on the gene expression matrix.</w:t>
      </w:r>
    </w:p>
    <w:p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宋体" w:cs="Times New Roman"/>
          <w:sz w:val="20"/>
          <w:szCs w:val="20"/>
          <w:lang w:bidi="ar"/>
        </w:rPr>
        <w:drawing>
          <wp:inline distT="0" distB="0" distL="114300" distR="114300">
            <wp:extent cx="2879090" cy="2242185"/>
            <wp:effectExtent l="0" t="0" r="3175" b="3175"/>
            <wp:docPr id="1" name="图片 1" descr="Figure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.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79090" cy="22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left"/>
        <w:rPr>
          <w:rFonts w:ascii="Times New Roman" w:hAnsi="Times New Roman" w:eastAsia="宋体" w:cs="Times New Roman"/>
          <w:sz w:val="20"/>
          <w:szCs w:val="20"/>
          <w:lang w:bidi="ar"/>
        </w:rPr>
      </w:pPr>
      <w:r>
        <w:rPr>
          <w:rFonts w:ascii="Times New Roman" w:hAnsi="Times New Roman" w:eastAsia="宋体" w:cs="Times New Roman"/>
          <w:b/>
          <w:bCs/>
          <w:sz w:val="20"/>
          <w:szCs w:val="20"/>
          <w:lang w:bidi="ar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  <w:lang w:bidi="ar"/>
        </w:rPr>
        <w:t>ure S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  <w:lang w:val="en-US" w:eastAsia="zh-CN" w:bidi="ar"/>
        </w:rPr>
        <w:t>2</w:t>
      </w:r>
      <w:r>
        <w:rPr>
          <w:rFonts w:ascii="Times New Roman" w:hAnsi="Times New Roman" w:eastAsia="宋体" w:cs="Times New Roman"/>
          <w:b/>
          <w:bCs/>
          <w:sz w:val="20"/>
          <w:szCs w:val="20"/>
          <w:lang w:bidi="ar"/>
        </w:rPr>
        <w:t>.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 xml:space="preserve"> Heatmap of the Pearson correlation coefficient between the samples by corrplot. </w:t>
      </w:r>
    </w:p>
    <w:p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宋体" w:cs="Times New Roman"/>
          <w:sz w:val="20"/>
          <w:szCs w:val="20"/>
          <w:lang w:bidi="ar"/>
        </w:rPr>
        <w:drawing>
          <wp:inline distT="0" distB="0" distL="114300" distR="114300">
            <wp:extent cx="5268595" cy="3978910"/>
            <wp:effectExtent l="0" t="0" r="10160" b="4445"/>
            <wp:docPr id="3" name="图片 5" descr="Figure.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Figure.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97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宋体" w:cs="Times New Roman"/>
          <w:b/>
          <w:bCs/>
          <w:sz w:val="20"/>
          <w:szCs w:val="20"/>
          <w:lang w:bidi="ar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  <w:lang w:bidi="ar"/>
        </w:rPr>
        <w:t>ure S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  <w:lang w:val="en-US" w:eastAsia="zh-CN" w:bidi="ar"/>
        </w:rPr>
        <w:t>3</w:t>
      </w:r>
      <w:r>
        <w:rPr>
          <w:rFonts w:ascii="Times New Roman" w:hAnsi="Times New Roman" w:eastAsia="宋体" w:cs="Times New Roman"/>
          <w:b/>
          <w:bCs/>
          <w:sz w:val="20"/>
          <w:szCs w:val="20"/>
          <w:lang w:bidi="ar"/>
        </w:rPr>
        <w:t>.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 xml:space="preserve"> The map of the enriched KEGG pathways from the KEGG database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fldChar w:fldCharType="begin"/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instrText xml:space="preserve"> ADDIN EN.CITE &lt;EndNote&gt;&lt;Cite&gt;&lt;Author&gt;Kanehisa&lt;/Author&gt;&lt;Year&gt;2000&lt;/Year&gt;&lt;RecNum&gt;118&lt;/RecNum&gt;&lt;DisplayText&gt;[1, 2]&lt;/DisplayText&gt;&lt;record&gt;&lt;rec-number&gt;118&lt;/rec-number&gt;&lt;foreign-keys&gt;&lt;key app="EN" db-id="295fesxe75s02vedvw6xvfpk9v2ezzpt5ae0" timestamp="1652005858"&gt;118&lt;/key&gt;&lt;/foreign-keys&gt;&lt;ref-type name="Journal Article"&gt;17&lt;/ref-type&gt;&lt;contributors&gt;&lt;authors&gt;&lt;author&gt;Kanehisa, Minoru&lt;/author&gt;&lt;author&gt;Goto, Susumu&lt;/author&gt;&lt;/authors&gt;&lt;/contributors&gt;&lt;titles&gt;&lt;title&gt;KEGG: Kyoto Encyclopedia of Genes and Genomes&lt;/title&gt;&lt;secondary-title&gt;Nucleic Acids Research&lt;/secondary-title&gt;&lt;/titles&gt;&lt;periodical&gt;&lt;full-title&gt;Nucleic Acids Research&lt;/full-title&gt;&lt;abbr-1&gt;Nucleic Acids Res.&lt;/abbr-1&gt;&lt;abbr-2&gt;Nucleic Acids Res&lt;/abbr-2&gt;&lt;/periodical&gt;&lt;pages&gt;27-30&lt;/pages&gt;&lt;volume&gt;28&lt;/volume&gt;&lt;number&gt;1&lt;/number&gt;&lt;dates&gt;&lt;year&gt;2000&lt;/year&gt;&lt;/dates&gt;&lt;isbn&gt;0305-1048&lt;/isbn&gt;&lt;urls&gt;&lt;related-urls&gt;&lt;url&gt;https://doi.org/10.1093/nar/28.1.27&lt;/url&gt;&lt;/related-urls&gt;&lt;/urls&gt;&lt;electronic-resource-num&gt;10.1093/nar/28.1.27&lt;/electronic-resource-num&gt;&lt;access-date&gt;5/8/2022&lt;/access-date&gt;&lt;/record&gt;&lt;/Cite&gt;&lt;Cite&gt;&lt;Author&gt;Kanehisa&lt;/Author&gt;&lt;Year&gt;2019&lt;/Year&gt;&lt;RecNum&gt;119&lt;/RecNum&gt;&lt;record&gt;&lt;rec-number&gt;119&lt;/rec-number&gt;&lt;foreign-keys&gt;&lt;key app="EN" db-id="295fesxe75s02vedvw6xvfpk9v2ezzpt5ae0" timestamp="1652005875"&gt;119&lt;/key&gt;&lt;/foreign-keys&gt;&lt;ref-type name="Journal Article"&gt;17&lt;/ref-type&gt;&lt;contributors&gt;&lt;authors&gt;&lt;author&gt;Kanehisa, Minoru&lt;/author&gt;&lt;/authors&gt;&lt;/contributors&gt;&lt;titles&gt;&lt;title&gt;Toward understanding the origin and evolution of cellular organisms&lt;/title&gt;&lt;secondary-title&gt;Protein Science&lt;/secondary-title&gt;&lt;/titles&gt;&lt;periodical&gt;&lt;full-title&gt;Protein Science&lt;/full-title&gt;&lt;abbr-1&gt;Protein Sci.&lt;/abbr-1&gt;&lt;abbr-2&gt;Protein Sci&lt;/abbr-2&gt;&lt;/periodical&gt;&lt;pages&gt;1947-1951&lt;/pages&gt;&lt;volume&gt;28&lt;/volume&gt;&lt;number&gt;11&lt;/number&gt;&lt;dates&gt;&lt;year&gt;2019&lt;/year&gt;&lt;/dates&gt;&lt;isbn&gt;0961-8368&lt;/isbn&gt;&lt;urls&gt;&lt;related-urls&gt;&lt;url&gt;https://onlinelibrary.wiley.com/doi/abs/10.1002/pro.3715&lt;/url&gt;&lt;/related-urls&gt;&lt;/urls&gt;&lt;electronic-resource-num&gt;https://doi.org/10.1002/pro.3715&lt;/electronic-resource-num&gt;&lt;/record&gt;&lt;/Cite&gt;&lt;/EndNote&gt;</w:instrTex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fldChar w:fldCharType="separate"/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[1, 2]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fldChar w:fldCharType="end"/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 xml:space="preserve">. Green rectangles represented the downregulated genes and red rectangles represented the upregulated genes. </w:t>
      </w:r>
      <w:r>
        <w:rPr>
          <w:rFonts w:hint="eastAsia" w:ascii="Times New Roman" w:hAnsi="Times New Roman" w:eastAsia="宋体" w:cs="Times New Roman"/>
          <w:sz w:val="20"/>
          <w:szCs w:val="20"/>
          <w:lang w:bidi="ar"/>
        </w:rPr>
        <w:t>B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lue boxes represented</w:t>
      </w:r>
      <w:r>
        <w:rPr>
          <w:rFonts w:hint="eastAsia" w:ascii="Times New Roman" w:hAnsi="Times New Roman" w:eastAsia="宋体" w:cs="Times New Roman"/>
          <w:sz w:val="20"/>
          <w:szCs w:val="20"/>
          <w:lang w:bidi="ar"/>
        </w:rPr>
        <w:t xml:space="preserve"> 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the</w:t>
      </w:r>
      <w:r>
        <w:rPr>
          <w:rFonts w:hint="eastAsia" w:ascii="Times New Roman" w:hAnsi="Times New Roman" w:eastAsia="宋体" w:cs="Times New Roman"/>
          <w:sz w:val="20"/>
          <w:szCs w:val="20"/>
          <w:lang w:bidi="ar"/>
        </w:rPr>
        <w:t xml:space="preserve"> 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genes</w:t>
      </w:r>
      <w:r>
        <w:rPr>
          <w:rFonts w:hint="eastAsia" w:ascii="Times New Roman" w:hAnsi="Times New Roman" w:eastAsia="宋体" w:cs="Times New Roman"/>
          <w:sz w:val="20"/>
          <w:szCs w:val="20"/>
          <w:lang w:bidi="ar"/>
        </w:rPr>
        <w:t xml:space="preserve"> 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hyperlinked to KO entries</w:t>
      </w:r>
      <w:r>
        <w:rPr>
          <w:rFonts w:hint="eastAsia" w:ascii="Times New Roman" w:hAnsi="Times New Roman" w:eastAsia="宋体" w:cs="Times New Roman"/>
          <w:sz w:val="20"/>
          <w:szCs w:val="20"/>
          <w:lang w:bidi="ar"/>
        </w:rPr>
        <w:t xml:space="preserve">, and white 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boxes</w:t>
      </w:r>
      <w:r>
        <w:rPr>
          <w:rFonts w:hint="eastAsia" w:ascii="Times New Roman" w:hAnsi="Times New Roman" w:eastAsia="宋体" w:cs="Times New Roman"/>
          <w:sz w:val="20"/>
          <w:szCs w:val="20"/>
          <w:lang w:bidi="ar"/>
        </w:rPr>
        <w:t xml:space="preserve"> 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represented</w:t>
      </w:r>
      <w:r>
        <w:rPr>
          <w:rFonts w:hint="eastAsia" w:ascii="Times New Roman" w:hAnsi="Times New Roman" w:eastAsia="宋体" w:cs="Times New Roman"/>
          <w:sz w:val="20"/>
          <w:szCs w:val="20"/>
          <w:lang w:bidi="ar"/>
        </w:rPr>
        <w:t xml:space="preserve"> 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the</w:t>
      </w:r>
      <w:r>
        <w:rPr>
          <w:rFonts w:hint="eastAsia" w:ascii="Times New Roman" w:hAnsi="Times New Roman" w:eastAsia="宋体" w:cs="Times New Roman"/>
          <w:sz w:val="20"/>
          <w:szCs w:val="20"/>
          <w:lang w:bidi="ar"/>
        </w:rPr>
        <w:t xml:space="preserve"> 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genes</w:t>
      </w:r>
      <w:r>
        <w:rPr>
          <w:rFonts w:hint="eastAsia" w:ascii="Times New Roman" w:hAnsi="Times New Roman" w:eastAsia="宋体" w:cs="Times New Roman"/>
          <w:sz w:val="20"/>
          <w:szCs w:val="20"/>
          <w:lang w:bidi="ar"/>
        </w:rPr>
        <w:t xml:space="preserve"> which were not 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hyperlinked to KO entries</w:t>
      </w:r>
      <w:r>
        <w:rPr>
          <w:rFonts w:hint="eastAsia" w:ascii="Times New Roman" w:hAnsi="Times New Roman" w:eastAsia="宋体" w:cs="Times New Roman"/>
          <w:sz w:val="20"/>
          <w:szCs w:val="20"/>
          <w:lang w:bidi="ar"/>
        </w:rPr>
        <w:t xml:space="preserve">. 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(A)</w:t>
      </w:r>
      <w:r>
        <w:rPr>
          <w:rFonts w:ascii="Times New Roman" w:hAnsi="Times New Roman" w:eastAsia="宋体" w:cs="Times New Roman"/>
          <w:b/>
          <w:bCs/>
          <w:sz w:val="20"/>
          <w:szCs w:val="20"/>
          <w:lang w:bidi="ar"/>
        </w:rPr>
        <w:t xml:space="preserve"> 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Phenylalanine metabolism (ko00360). (B) The type VI secretion system of bacterial secretion system (ko03070).</w:t>
      </w:r>
    </w:p>
    <w:p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宋体" w:cs="Times New Roman"/>
          <w:sz w:val="20"/>
          <w:szCs w:val="20"/>
          <w:lang w:bidi="ar"/>
        </w:rPr>
        <w:drawing>
          <wp:inline distT="0" distB="0" distL="114300" distR="114300">
            <wp:extent cx="5268595" cy="3069590"/>
            <wp:effectExtent l="0" t="0" r="10160" b="6985"/>
            <wp:docPr id="2" name="图片 6" descr="Figure.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 descr="Figure.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6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宋体" w:cs="Times New Roman"/>
          <w:b/>
          <w:bCs/>
          <w:sz w:val="20"/>
          <w:szCs w:val="20"/>
          <w:lang w:bidi="ar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  <w:lang w:bidi="ar"/>
        </w:rPr>
        <w:t>ure S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  <w:lang w:val="en-US" w:eastAsia="zh-CN" w:bidi="ar"/>
        </w:rPr>
        <w:t>4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/>
          <w:bCs/>
          <w:sz w:val="20"/>
          <w:szCs w:val="20"/>
          <w:lang w:bidi="ar"/>
        </w:rPr>
        <w:t>.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 xml:space="preserve"> The map of the enriched KEGG pathway “propanoate metabolism (ko00640)” from the KEGG database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fldChar w:fldCharType="begin"/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instrText xml:space="preserve"> ADDIN EN.CITE &lt;EndNote&gt;&lt;Cite&gt;&lt;Author&gt;Kanehisa&lt;/Author&gt;&lt;Year&gt;2000&lt;/Year&gt;&lt;RecNum&gt;120&lt;/RecNum&gt;&lt;DisplayText&gt;[1, 2]&lt;/DisplayText&gt;&lt;record&gt;&lt;rec-number&gt;120&lt;/rec-number&gt;&lt;foreign-keys&gt;&lt;key app="EN" db-id="295fesxe75s02vedvw6xvfpk9v2ezzpt5ae0" timestamp="1652005896"&gt;120&lt;/key&gt;&lt;/foreign-keys&gt;&lt;ref-type name="Journal Article"&gt;17&lt;/ref-type&gt;&lt;contributors&gt;&lt;authors&gt;&lt;author&gt;Kanehisa, Minoru&lt;/author&gt;&lt;author&gt;Goto, Susumu&lt;/author&gt;&lt;/authors&gt;&lt;/contributors&gt;&lt;titles&gt;&lt;title&gt;KEGG: Kyoto Encyclopedia of Genes and Genomes&lt;/title&gt;&lt;secondary-title&gt;Nucleic Acids Research&lt;/secondary-title&gt;&lt;/titles&gt;&lt;periodical&gt;&lt;full-title&gt;Nucleic Acids Research&lt;/full-title&gt;&lt;abbr-1&gt;Nucleic Acids Res.&lt;/abbr-1&gt;&lt;abbr-2&gt;Nucleic Acids Res&lt;/abbr-2&gt;&lt;/periodical&gt;&lt;pages&gt;27-30&lt;/pages&gt;&lt;volume&gt;28&lt;/volume&gt;&lt;number&gt;1&lt;/number&gt;&lt;dates&gt;&lt;year&gt;2000&lt;/year&gt;&lt;/dates&gt;&lt;isbn&gt;0305-1048&lt;/isbn&gt;&lt;urls&gt;&lt;related-urls&gt;&lt;url&gt;https://doi.org/10.1093/nar/28.1.27&lt;/url&gt;&lt;/related-urls&gt;&lt;/urls&gt;&lt;electronic-resource-num&gt;10.1093/nar/28.1.27&lt;/electronic-resource-num&gt;&lt;access-date&gt;5/8/2022&lt;/access-date&gt;&lt;/record&gt;&lt;/Cite&gt;&lt;Cite&gt;&lt;Author&gt;Kanehisa&lt;/Author&gt;&lt;Year&gt;2019&lt;/Year&gt;&lt;RecNum&gt;121&lt;/RecNum&gt;&lt;record&gt;&lt;rec-number&gt;121&lt;/rec-number&gt;&lt;foreign-keys&gt;&lt;key app="EN" db-id="295fesxe75s02vedvw6xvfpk9v2ezzpt5ae0" timestamp="1652005903"&gt;121&lt;/key&gt;&lt;/foreign-keys&gt;&lt;ref-type name="Journal Article"&gt;17&lt;/ref-type&gt;&lt;contributors&gt;&lt;authors&gt;&lt;author&gt;Kanehisa, Minoru&lt;/author&gt;&lt;/authors&gt;&lt;/contributors&gt;&lt;titles&gt;&lt;title&gt;Toward understanding the origin and evolution of cellular organisms&lt;/title&gt;&lt;secondary-title&gt;Protein Science&lt;/secondary-title&gt;&lt;/titles&gt;&lt;periodical&gt;&lt;full-title&gt;Protein Science&lt;/full-title&gt;&lt;abbr-1&gt;Protein Sci.&lt;/abbr-1&gt;&lt;abbr-2&gt;Protein Sci&lt;/abbr-2&gt;&lt;/periodical&gt;&lt;pages&gt;1947-1951&lt;/pages&gt;&lt;volume&gt;28&lt;/volume&gt;&lt;number&gt;11&lt;/number&gt;&lt;dates&gt;&lt;year&gt;2019&lt;/year&gt;&lt;/dates&gt;&lt;isbn&gt;0961-8368&lt;/isbn&gt;&lt;urls&gt;&lt;related-urls&gt;&lt;url&gt;https://onlinelibrary.wiley.com/doi/abs/10.1002/pro.3715&lt;/url&gt;&lt;/related-urls&gt;&lt;/urls&gt;&lt;electronic-resource-num&gt;https://doi.org/10.1002/pro.3715&lt;/electronic-resource-num&gt;&lt;/record&gt;&lt;/Cite&gt;&lt;/EndNote&gt;</w:instrTex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fldChar w:fldCharType="separate"/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[1, 2]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fldChar w:fldCharType="end"/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. Green rectangles represented the downregulated genes and red rectangles represented the upregulated genes.</w:t>
      </w:r>
      <w:r>
        <w:rPr>
          <w:rFonts w:hint="eastAsia" w:ascii="Times New Roman" w:hAnsi="Times New Roman" w:eastAsia="宋体" w:cs="Times New Roman"/>
          <w:sz w:val="20"/>
          <w:szCs w:val="20"/>
          <w:lang w:bidi="ar"/>
        </w:rPr>
        <w:t xml:space="preserve"> B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lue boxes represented</w:t>
      </w:r>
      <w:r>
        <w:rPr>
          <w:rFonts w:hint="eastAsia" w:ascii="Times New Roman" w:hAnsi="Times New Roman" w:eastAsia="宋体" w:cs="Times New Roman"/>
          <w:sz w:val="20"/>
          <w:szCs w:val="20"/>
          <w:lang w:bidi="ar"/>
        </w:rPr>
        <w:t xml:space="preserve"> 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the</w:t>
      </w:r>
      <w:r>
        <w:rPr>
          <w:rFonts w:hint="eastAsia" w:ascii="Times New Roman" w:hAnsi="Times New Roman" w:eastAsia="宋体" w:cs="Times New Roman"/>
          <w:sz w:val="20"/>
          <w:szCs w:val="20"/>
          <w:lang w:bidi="ar"/>
        </w:rPr>
        <w:t xml:space="preserve"> 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genes</w:t>
      </w:r>
      <w:r>
        <w:rPr>
          <w:rFonts w:hint="eastAsia" w:ascii="Times New Roman" w:hAnsi="Times New Roman" w:eastAsia="宋体" w:cs="Times New Roman"/>
          <w:sz w:val="20"/>
          <w:szCs w:val="20"/>
          <w:lang w:bidi="ar"/>
        </w:rPr>
        <w:t xml:space="preserve"> 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hyperlinked to KO entries</w:t>
      </w:r>
      <w:r>
        <w:rPr>
          <w:rFonts w:hint="eastAsia" w:ascii="Times New Roman" w:hAnsi="Times New Roman" w:eastAsia="宋体" w:cs="Times New Roman"/>
          <w:sz w:val="20"/>
          <w:szCs w:val="20"/>
          <w:lang w:bidi="ar"/>
        </w:rPr>
        <w:t xml:space="preserve">, and white 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boxes</w:t>
      </w:r>
      <w:r>
        <w:rPr>
          <w:rFonts w:hint="eastAsia" w:ascii="Times New Roman" w:hAnsi="Times New Roman" w:eastAsia="宋体" w:cs="Times New Roman"/>
          <w:sz w:val="20"/>
          <w:szCs w:val="20"/>
          <w:lang w:bidi="ar"/>
        </w:rPr>
        <w:t xml:space="preserve"> 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represented</w:t>
      </w:r>
      <w:r>
        <w:rPr>
          <w:rFonts w:hint="eastAsia" w:ascii="Times New Roman" w:hAnsi="Times New Roman" w:eastAsia="宋体" w:cs="Times New Roman"/>
          <w:sz w:val="20"/>
          <w:szCs w:val="20"/>
          <w:lang w:bidi="ar"/>
        </w:rPr>
        <w:t xml:space="preserve"> 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the</w:t>
      </w:r>
      <w:r>
        <w:rPr>
          <w:rFonts w:hint="eastAsia" w:ascii="Times New Roman" w:hAnsi="Times New Roman" w:eastAsia="宋体" w:cs="Times New Roman"/>
          <w:sz w:val="20"/>
          <w:szCs w:val="20"/>
          <w:lang w:bidi="ar"/>
        </w:rPr>
        <w:t xml:space="preserve"> 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genes</w:t>
      </w:r>
      <w:r>
        <w:rPr>
          <w:rFonts w:hint="eastAsia" w:ascii="Times New Roman" w:hAnsi="Times New Roman" w:eastAsia="宋体" w:cs="Times New Roman"/>
          <w:sz w:val="20"/>
          <w:szCs w:val="20"/>
          <w:lang w:bidi="ar"/>
        </w:rPr>
        <w:t xml:space="preserve"> which were not 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hyperlinked to KO entries</w:t>
      </w:r>
      <w:r>
        <w:rPr>
          <w:rFonts w:hint="eastAsia" w:ascii="Times New Roman" w:hAnsi="Times New Roman" w:eastAsia="宋体" w:cs="Times New Roman"/>
          <w:sz w:val="20"/>
          <w:szCs w:val="20"/>
          <w:lang w:bidi="ar"/>
        </w:rPr>
        <w:t>.</w:t>
      </w:r>
    </w:p>
    <w:p>
      <w:pPr>
        <w:spacing w:line="480" w:lineRule="auto"/>
        <w:jc w:val="left"/>
        <w:rPr>
          <w:rFonts w:ascii="Times New Roman" w:hAnsi="Times New Roman" w:eastAsia="宋体" w:cs="Times New Roman"/>
          <w:sz w:val="20"/>
          <w:szCs w:val="20"/>
          <w:lang w:bidi="ar"/>
        </w:rPr>
      </w:pPr>
    </w:p>
    <w:p>
      <w:pPr>
        <w:spacing w:line="480" w:lineRule="auto"/>
        <w:jc w:val="left"/>
        <w:rPr>
          <w:rFonts w:hint="eastAsia"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References</w:t>
      </w:r>
    </w:p>
    <w:p>
      <w:pPr>
        <w:pStyle w:val="9"/>
        <w:spacing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0"/>
        </w:rPr>
        <w:fldChar w:fldCharType="begin"/>
      </w:r>
      <w:r>
        <w:rPr>
          <w:rFonts w:ascii="Times New Roman" w:hAnsi="Times New Roman" w:cs="Times New Roman"/>
          <w:szCs w:val="20"/>
        </w:rPr>
        <w:instrText xml:space="preserve"> ADDIN EN.REFLIST </w:instrText>
      </w:r>
      <w:r>
        <w:rPr>
          <w:rFonts w:ascii="Times New Roman" w:hAnsi="Times New Roman" w:cs="Times New Roman"/>
          <w:szCs w:val="20"/>
        </w:rPr>
        <w:fldChar w:fldCharType="separate"/>
      </w:r>
      <w:r>
        <w:t>1.</w:t>
      </w:r>
      <w:r>
        <w:tab/>
      </w:r>
      <w:r>
        <w:rPr>
          <w:rFonts w:ascii="Times New Roman" w:hAnsi="Times New Roman" w:cs="Times New Roman"/>
        </w:rPr>
        <w:t xml:space="preserve">Kanehisa M, Goto S. KEGG: Kyoto Encyclopedia of Genes and Genomes. Nucleic Acids Res. 2000;28(1):27-30. </w:t>
      </w:r>
      <w:r>
        <w:fldChar w:fldCharType="begin"/>
      </w:r>
      <w:r>
        <w:instrText xml:space="preserve"> HYPERLINK "https://doi.org/10.1093/nar/28.1.27" </w:instrText>
      </w:r>
      <w:r>
        <w:fldChar w:fldCharType="separate"/>
      </w:r>
      <w:r>
        <w:rPr>
          <w:rStyle w:val="5"/>
          <w:rFonts w:ascii="Times New Roman" w:hAnsi="Times New Roman" w:cs="Times New Roman"/>
          <w:u w:val="none"/>
        </w:rPr>
        <w:t>https://doi.org/10.1093/nar/28.1.27</w:t>
      </w:r>
      <w:r>
        <w:rPr>
          <w:rStyle w:val="5"/>
          <w:rFonts w:ascii="Times New Roman" w:hAnsi="Times New Roman" w:cs="Times New Roman"/>
          <w:u w:val="none"/>
        </w:rPr>
        <w:fldChar w:fldCharType="end"/>
      </w:r>
      <w:r>
        <w:rPr>
          <w:rFonts w:ascii="Times New Roman" w:hAnsi="Times New Roman" w:cs="Times New Roman"/>
        </w:rPr>
        <w:t>.</w:t>
      </w:r>
    </w:p>
    <w:p>
      <w:pPr>
        <w:pStyle w:val="9"/>
        <w:spacing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Kanehisa M. Toward understanding the origin and evolution of cellular organisms. Protein Sci. 2019;28(11):1947-51. </w:t>
      </w:r>
      <w:r>
        <w:fldChar w:fldCharType="begin"/>
      </w:r>
      <w:r>
        <w:instrText xml:space="preserve"> HYPERLINK "https://doi.org/https://doi.org/10.1002/pro.3715" </w:instrText>
      </w:r>
      <w:r>
        <w:fldChar w:fldCharType="separate"/>
      </w:r>
      <w:r>
        <w:rPr>
          <w:rStyle w:val="5"/>
          <w:rFonts w:ascii="Times New Roman" w:hAnsi="Times New Roman" w:cs="Times New Roman"/>
          <w:u w:val="none"/>
        </w:rPr>
        <w:t>https://doi.org/https://doi.org/10.1002/pro.3715</w:t>
      </w:r>
      <w:r>
        <w:rPr>
          <w:rStyle w:val="5"/>
          <w:rFonts w:ascii="Times New Roman" w:hAnsi="Times New Roman" w:cs="Times New Roman"/>
          <w:u w:val="none"/>
        </w:rPr>
        <w:fldChar w:fldCharType="end"/>
      </w:r>
      <w:r>
        <w:rPr>
          <w:rFonts w:ascii="Times New Roman" w:hAnsi="Times New Roman" w:cs="Times New Roman"/>
        </w:rPr>
        <w:t>.</w:t>
      </w:r>
    </w:p>
    <w:p>
      <w:p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ZiNmY3YjM1ZDdjNGQxYzEzYzYyMDZmYjZmNGNlNDU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icrobiology with link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95fesxe75s02vedvw6xvfpk9v2ezzpt5ae0&quot;&gt;My EndNote Library&lt;record-ids&gt;&lt;item&gt;118&lt;/item&gt;&lt;item&gt;119&lt;/item&gt;&lt;item&gt;120&lt;/item&gt;&lt;item&gt;121&lt;/item&gt;&lt;/record-ids&gt;&lt;/item&gt;&lt;/Libraries&gt;"/>
  </w:docVars>
  <w:rsids>
    <w:rsidRoot w:val="00C12A53"/>
    <w:rsid w:val="005958FD"/>
    <w:rsid w:val="00620149"/>
    <w:rsid w:val="00706BF9"/>
    <w:rsid w:val="00A252E5"/>
    <w:rsid w:val="00C12A53"/>
    <w:rsid w:val="00C5355B"/>
    <w:rsid w:val="138A5308"/>
    <w:rsid w:val="33BE67B7"/>
    <w:rsid w:val="431A0BEF"/>
    <w:rsid w:val="4D31498C"/>
    <w:rsid w:val="5A0F2BAB"/>
    <w:rsid w:val="5C330231"/>
    <w:rsid w:val="6B9D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List Paragraph"/>
    <w:basedOn w:val="1"/>
    <w:qFormat/>
    <w:uiPriority w:val="99"/>
    <w:pPr>
      <w:ind w:left="720"/>
      <w:contextualSpacing/>
    </w:pPr>
  </w:style>
  <w:style w:type="paragraph" w:customStyle="1" w:styleId="7">
    <w:name w:val="EndNote Bibliography Title"/>
    <w:basedOn w:val="1"/>
    <w:link w:val="8"/>
    <w:uiPriority w:val="0"/>
    <w:pPr>
      <w:jc w:val="center"/>
    </w:pPr>
    <w:rPr>
      <w:rFonts w:ascii="Calibri" w:hAnsi="Calibri" w:cs="Calibri"/>
      <w:sz w:val="20"/>
    </w:rPr>
  </w:style>
  <w:style w:type="character" w:customStyle="1" w:styleId="8">
    <w:name w:val="EndNote Bibliography Title 字符"/>
    <w:basedOn w:val="4"/>
    <w:link w:val="7"/>
    <w:qFormat/>
    <w:uiPriority w:val="0"/>
    <w:rPr>
      <w:rFonts w:ascii="Calibri" w:hAnsi="Calibri" w:cs="Calibri" w:eastAsiaTheme="minorEastAsia"/>
      <w:kern w:val="2"/>
      <w:szCs w:val="24"/>
    </w:rPr>
  </w:style>
  <w:style w:type="paragraph" w:customStyle="1" w:styleId="9">
    <w:name w:val="EndNote Bibliography"/>
    <w:basedOn w:val="1"/>
    <w:link w:val="10"/>
    <w:uiPriority w:val="0"/>
    <w:pPr>
      <w:jc w:val="left"/>
    </w:pPr>
    <w:rPr>
      <w:rFonts w:ascii="Calibri" w:hAnsi="Calibri" w:cs="Calibri"/>
      <w:sz w:val="20"/>
    </w:rPr>
  </w:style>
  <w:style w:type="character" w:customStyle="1" w:styleId="10">
    <w:name w:val="EndNote Bibliography 字符"/>
    <w:basedOn w:val="4"/>
    <w:link w:val="9"/>
    <w:uiPriority w:val="0"/>
    <w:rPr>
      <w:rFonts w:ascii="Calibri" w:hAnsi="Calibri" w:cs="Calibri" w:eastAsiaTheme="minorEastAsia"/>
      <w:kern w:val="2"/>
      <w:szCs w:val="24"/>
    </w:rPr>
  </w:style>
  <w:style w:type="character" w:customStyle="1" w:styleId="11">
    <w:name w:val="Unresolved Mention"/>
    <w:basedOn w:val="4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daohangxitong.com</Company>
  <Pages>2</Pages>
  <Words>166</Words>
  <Characters>1065</Characters>
  <Lines>38</Lines>
  <Paragraphs>10</Paragraphs>
  <TotalTime>10</TotalTime>
  <ScaleCrop>false</ScaleCrop>
  <LinksUpToDate>false</LinksUpToDate>
  <CharactersWithSpaces>1225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2021-11-08T03:53:00Z</dcterms:created>
  <dc:creator>Tu H</dc:creator>
  <cp:lastModifiedBy>熊奶奶</cp:lastModifiedBy>
  <dcterms:modified xsi:type="dcterms:W3CDTF">2022-05-31T15:09:27Z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A39F971E91654F668AAF303CAF587650</vt:lpwstr>
  </property>
</Properties>
</file>