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239F4" w14:textId="77777777" w:rsidR="00337A1D" w:rsidRDefault="00337A1D" w:rsidP="00337A1D">
      <w:pPr>
        <w:rPr>
          <w:rFonts w:ascii="Arial" w:hAnsi="Arial" w:cs="Arial"/>
          <w:sz w:val="24"/>
          <w:szCs w:val="24"/>
          <w:lang w:val="en-US"/>
        </w:rPr>
      </w:pPr>
    </w:p>
    <w:p w14:paraId="647CAF05" w14:textId="3426978A" w:rsidR="00337A1D" w:rsidRPr="00BB03D9" w:rsidRDefault="00337A1D" w:rsidP="00337A1D">
      <w:pPr>
        <w:spacing w:line="360" w:lineRule="auto"/>
        <w:jc w:val="center"/>
        <w:rPr>
          <w:rFonts w:ascii="Arial" w:hAnsi="Arial" w:cs="Arial"/>
          <w:b/>
          <w:bCs/>
          <w:sz w:val="28"/>
          <w:szCs w:val="28"/>
          <w:lang w:val="en-US"/>
        </w:rPr>
      </w:pPr>
      <w:r>
        <w:rPr>
          <w:rFonts w:ascii="Arial" w:hAnsi="Arial" w:cs="Arial"/>
          <w:sz w:val="24"/>
          <w:szCs w:val="24"/>
          <w:lang w:val="en-US"/>
        </w:rPr>
        <w:tab/>
      </w:r>
      <w:r w:rsidRPr="00BB03D9">
        <w:rPr>
          <w:rFonts w:ascii="Arial" w:hAnsi="Arial" w:cs="Arial"/>
          <w:b/>
          <w:bCs/>
          <w:sz w:val="28"/>
          <w:szCs w:val="28"/>
          <w:lang w:val="en-US"/>
        </w:rPr>
        <w:t>Assessment of</w:t>
      </w:r>
      <w:r>
        <w:rPr>
          <w:rFonts w:ascii="Arial" w:hAnsi="Arial" w:cs="Arial"/>
          <w:b/>
          <w:bCs/>
          <w:sz w:val="28"/>
          <w:szCs w:val="28"/>
          <w:lang w:val="en-US"/>
        </w:rPr>
        <w:t xml:space="preserve"> </w:t>
      </w:r>
      <w:r w:rsidRPr="00BB03D9">
        <w:rPr>
          <w:rFonts w:ascii="Arial" w:hAnsi="Arial" w:cs="Arial"/>
          <w:b/>
          <w:bCs/>
          <w:sz w:val="28"/>
          <w:szCs w:val="28"/>
          <w:lang w:val="en-US"/>
        </w:rPr>
        <w:t>cecal microbiota modulation from dietary supplementation with</w:t>
      </w:r>
      <w:r w:rsidR="00BA60BB" w:rsidRPr="00BB03D9">
        <w:rPr>
          <w:rFonts w:ascii="Arial" w:hAnsi="Arial" w:cs="Arial"/>
          <w:b/>
          <w:bCs/>
          <w:sz w:val="28"/>
          <w:szCs w:val="28"/>
          <w:lang w:val="en-US"/>
        </w:rPr>
        <w:t xml:space="preserve"> copper sources </w:t>
      </w:r>
      <w:r w:rsidR="00BA60BB">
        <w:rPr>
          <w:rFonts w:ascii="Arial" w:hAnsi="Arial" w:cs="Arial"/>
          <w:b/>
          <w:bCs/>
          <w:sz w:val="28"/>
          <w:szCs w:val="28"/>
          <w:lang w:val="en-US"/>
        </w:rPr>
        <w:t>in piglets</w:t>
      </w:r>
    </w:p>
    <w:p w14:paraId="0A79C9D5" w14:textId="77777777" w:rsidR="008A6BC5" w:rsidRDefault="008A6BC5" w:rsidP="008A6BC5">
      <w:pPr>
        <w:jc w:val="center"/>
      </w:pPr>
      <w:r>
        <w:rPr>
          <w:noProof/>
          <w:lang w:val="en-US"/>
        </w:rPr>
        <w:drawing>
          <wp:inline distT="0" distB="0" distL="0" distR="0" wp14:anchorId="7BFDCDE8" wp14:editId="6624EFA5">
            <wp:extent cx="6913066" cy="4000500"/>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2286" t="1135" r="1585"/>
                    <a:stretch/>
                  </pic:blipFill>
                  <pic:spPr bwMode="auto">
                    <a:xfrm>
                      <a:off x="0" y="0"/>
                      <a:ext cx="6945772" cy="4019427"/>
                    </a:xfrm>
                    <a:prstGeom prst="rect">
                      <a:avLst/>
                    </a:prstGeom>
                    <a:noFill/>
                    <a:ln>
                      <a:noFill/>
                    </a:ln>
                    <a:extLst>
                      <a:ext uri="{53640926-AAD7-44D8-BBD7-CCE9431645EC}">
                        <a14:shadowObscured xmlns:a14="http://schemas.microsoft.com/office/drawing/2010/main"/>
                      </a:ext>
                    </a:extLst>
                  </pic:spPr>
                </pic:pic>
              </a:graphicData>
            </a:graphic>
          </wp:inline>
        </w:drawing>
      </w:r>
    </w:p>
    <w:p w14:paraId="072410E5" w14:textId="613B746B" w:rsidR="00253619" w:rsidRDefault="008A6BC5" w:rsidP="008A6BC5">
      <w:pPr>
        <w:spacing w:line="360" w:lineRule="auto"/>
        <w:jc w:val="both"/>
        <w:rPr>
          <w:rFonts w:ascii="Arial" w:hAnsi="Arial" w:cs="Arial"/>
          <w:sz w:val="24"/>
          <w:szCs w:val="24"/>
          <w:lang w:val="en-US"/>
        </w:rPr>
      </w:pPr>
      <w:r w:rsidRPr="005C60BB">
        <w:rPr>
          <w:rFonts w:ascii="Arial" w:hAnsi="Arial" w:cs="Arial"/>
          <w:b/>
          <w:bCs/>
          <w:sz w:val="24"/>
          <w:szCs w:val="24"/>
          <w:lang w:val="en-US"/>
        </w:rPr>
        <w:t xml:space="preserve">FIG S1 </w:t>
      </w:r>
      <w:r>
        <w:rPr>
          <w:rFonts w:ascii="Arial" w:hAnsi="Arial" w:cs="Arial"/>
          <w:b/>
          <w:bCs/>
          <w:sz w:val="24"/>
          <w:szCs w:val="24"/>
          <w:lang w:val="en-US"/>
        </w:rPr>
        <w:t>Rarefaction and diversity</w:t>
      </w:r>
      <w:r w:rsidRPr="005C60BB">
        <w:rPr>
          <w:rFonts w:ascii="Arial" w:hAnsi="Arial" w:cs="Arial"/>
          <w:b/>
          <w:bCs/>
          <w:sz w:val="24"/>
          <w:szCs w:val="24"/>
          <w:lang w:val="en-US"/>
        </w:rPr>
        <w:t xml:space="preserve"> analyzes.</w:t>
      </w:r>
      <w:r w:rsidRPr="005C60BB">
        <w:rPr>
          <w:rFonts w:ascii="Arial" w:hAnsi="Arial" w:cs="Arial"/>
          <w:sz w:val="24"/>
          <w:szCs w:val="24"/>
          <w:lang w:val="en-US"/>
        </w:rPr>
        <w:t xml:space="preserve"> (A) Rarefaction curve to the relation between the number of reads and OTUs by sample. (B) Rarefaction curve based on Chao1 metric estimated bacterial richness. (C) Principal component analysis (PCA) plot of beta diversity based on Bray-Curtis dissimilarity.</w:t>
      </w:r>
      <w:r>
        <w:rPr>
          <w:rFonts w:ascii="Arial" w:hAnsi="Arial" w:cs="Arial"/>
          <w:sz w:val="24"/>
          <w:szCs w:val="24"/>
          <w:lang w:val="en-US"/>
        </w:rPr>
        <w:t xml:space="preserve"> Treatments with respective samples: Control (Ce1, Ce2, Ce3, Ce4), CuSO</w:t>
      </w:r>
      <w:r w:rsidRPr="00EF5960">
        <w:rPr>
          <w:rFonts w:ascii="Arial" w:hAnsi="Arial" w:cs="Arial"/>
          <w:sz w:val="24"/>
          <w:szCs w:val="24"/>
          <w:vertAlign w:val="subscript"/>
          <w:lang w:val="en-US"/>
        </w:rPr>
        <w:t>4</w:t>
      </w:r>
      <w:r>
        <w:rPr>
          <w:rFonts w:ascii="Arial" w:hAnsi="Arial" w:cs="Arial"/>
          <w:sz w:val="24"/>
          <w:szCs w:val="24"/>
          <w:lang w:val="en-US"/>
        </w:rPr>
        <w:t xml:space="preserve"> (Ce5, Ce6, Ce7, Ce8), Cu-MHAC (Ce9, Ce10, Ce11, Ce12), and TBCC (Ce13, Ce14, Ce15, Ce16).</w:t>
      </w:r>
    </w:p>
    <w:p w14:paraId="6A67E1FD" w14:textId="77777777" w:rsidR="00253619" w:rsidRDefault="00253619" w:rsidP="00253619">
      <w:pPr>
        <w:suppressLineNumbers/>
        <w:spacing w:line="360" w:lineRule="auto"/>
        <w:jc w:val="both"/>
        <w:rPr>
          <w:rFonts w:ascii="Arial" w:hAnsi="Arial" w:cs="Arial"/>
          <w:sz w:val="24"/>
          <w:szCs w:val="24"/>
          <w:lang w:val="en-US"/>
        </w:rPr>
        <w:sectPr w:rsidR="00253619" w:rsidSect="0044392A">
          <w:footerReference w:type="default" r:id="rId9"/>
          <w:pgSz w:w="16838" w:h="11906" w:orient="landscape"/>
          <w:pgMar w:top="1134" w:right="851" w:bottom="1134" w:left="567" w:header="709" w:footer="709" w:gutter="0"/>
          <w:lnNumType w:countBy="1" w:restart="continuous"/>
          <w:cols w:space="708"/>
          <w:docGrid w:linePitch="360"/>
        </w:sectPr>
      </w:pPr>
    </w:p>
    <w:p w14:paraId="2E558D43" w14:textId="77777777" w:rsidR="00253619" w:rsidRDefault="00253619" w:rsidP="00253619">
      <w:pPr>
        <w:suppressLineNumbers/>
        <w:spacing w:line="360" w:lineRule="auto"/>
        <w:jc w:val="both"/>
        <w:rPr>
          <w:rFonts w:ascii="Arial" w:hAnsi="Arial" w:cs="Arial"/>
          <w:sz w:val="24"/>
          <w:szCs w:val="24"/>
          <w:lang w:val="en-US"/>
        </w:rPr>
      </w:pPr>
      <w:r>
        <w:rPr>
          <w:noProof/>
          <w:lang w:val="en-US"/>
        </w:rPr>
        <w:drawing>
          <wp:inline distT="0" distB="0" distL="0" distR="0" wp14:anchorId="4C627B16" wp14:editId="7918C6AB">
            <wp:extent cx="5440727" cy="3583172"/>
            <wp:effectExtent l="0" t="0" r="762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8258" cy="3601304"/>
                    </a:xfrm>
                    <a:prstGeom prst="rect">
                      <a:avLst/>
                    </a:prstGeom>
                    <a:noFill/>
                    <a:ln>
                      <a:noFill/>
                    </a:ln>
                  </pic:spPr>
                </pic:pic>
              </a:graphicData>
            </a:graphic>
          </wp:inline>
        </w:drawing>
      </w:r>
    </w:p>
    <w:p w14:paraId="231921D4" w14:textId="77777777" w:rsidR="00253619" w:rsidRDefault="00253619" w:rsidP="00253619">
      <w:pPr>
        <w:spacing w:line="360" w:lineRule="auto"/>
        <w:jc w:val="both"/>
        <w:rPr>
          <w:rFonts w:ascii="Arial" w:eastAsia="Arial" w:hAnsi="Arial" w:cs="Arial"/>
          <w:b/>
          <w:bCs/>
          <w:sz w:val="24"/>
          <w:szCs w:val="24"/>
          <w:lang w:val="en-US" w:eastAsia="pt-BR"/>
        </w:rPr>
      </w:pPr>
      <w:r w:rsidRPr="009A0FB9">
        <w:rPr>
          <w:rFonts w:ascii="Arial" w:hAnsi="Arial" w:cs="Arial"/>
          <w:b/>
          <w:bCs/>
          <w:sz w:val="24"/>
          <w:szCs w:val="24"/>
          <w:lang w:val="en-US"/>
        </w:rPr>
        <w:t>FIG S2</w:t>
      </w:r>
      <w:r>
        <w:rPr>
          <w:rFonts w:ascii="Arial" w:hAnsi="Arial" w:cs="Arial"/>
          <w:sz w:val="24"/>
          <w:szCs w:val="24"/>
          <w:lang w:val="en-US"/>
        </w:rPr>
        <w:t xml:space="preserve"> </w:t>
      </w:r>
      <w:r w:rsidRPr="001132D7">
        <w:rPr>
          <w:rFonts w:ascii="Arial" w:eastAsia="Arial" w:hAnsi="Arial" w:cs="Arial"/>
          <w:b/>
          <w:bCs/>
          <w:sz w:val="24"/>
          <w:szCs w:val="24"/>
          <w:lang w:val="en-US" w:eastAsia="pt-BR"/>
        </w:rPr>
        <w:t xml:space="preserve">Hierarchical cluster analysis to the trials after 10000 interactions using Euclidian distance and complete method. </w:t>
      </w:r>
    </w:p>
    <w:p w14:paraId="1633775E" w14:textId="2860B584" w:rsidR="00253619" w:rsidRDefault="00253619">
      <w:pPr>
        <w:rPr>
          <w:rFonts w:ascii="Arial" w:eastAsia="Arial" w:hAnsi="Arial" w:cs="Arial"/>
          <w:b/>
          <w:bCs/>
          <w:sz w:val="24"/>
          <w:szCs w:val="24"/>
          <w:lang w:val="en-US" w:eastAsia="pt-BR"/>
        </w:rPr>
      </w:pPr>
      <w:r>
        <w:rPr>
          <w:rFonts w:ascii="Arial" w:eastAsia="Arial" w:hAnsi="Arial" w:cs="Arial"/>
          <w:b/>
          <w:bCs/>
          <w:sz w:val="24"/>
          <w:szCs w:val="24"/>
          <w:lang w:val="en-US" w:eastAsia="pt-BR"/>
        </w:rPr>
        <w:br w:type="page"/>
      </w:r>
    </w:p>
    <w:p w14:paraId="20E8CB51" w14:textId="77777777" w:rsidR="00253619" w:rsidRDefault="00253619" w:rsidP="00253619">
      <w:pPr>
        <w:spacing w:line="360" w:lineRule="auto"/>
        <w:jc w:val="both"/>
        <w:rPr>
          <w:rFonts w:ascii="Arial" w:eastAsia="Arial" w:hAnsi="Arial" w:cs="Arial"/>
          <w:b/>
          <w:bCs/>
          <w:sz w:val="24"/>
          <w:szCs w:val="24"/>
          <w:lang w:val="en-US" w:eastAsia="pt-BR"/>
        </w:rPr>
      </w:pPr>
    </w:p>
    <w:p w14:paraId="1DCCA56A" w14:textId="77777777" w:rsidR="00253619" w:rsidRDefault="00253619" w:rsidP="00253619">
      <w:pPr>
        <w:spacing w:line="360" w:lineRule="auto"/>
        <w:jc w:val="center"/>
        <w:rPr>
          <w:rFonts w:ascii="Arial" w:eastAsia="Arial" w:hAnsi="Arial" w:cs="Arial"/>
          <w:b/>
          <w:bCs/>
          <w:sz w:val="24"/>
          <w:szCs w:val="24"/>
          <w:lang w:val="en-US" w:eastAsia="pt-BR"/>
        </w:rPr>
      </w:pPr>
      <w:r>
        <w:rPr>
          <w:noProof/>
          <w:lang w:val="en-US"/>
        </w:rPr>
        <w:drawing>
          <wp:inline distT="0" distB="5715" distL="0" distR="0" wp14:anchorId="468A797E" wp14:editId="1EC7338E">
            <wp:extent cx="7562850" cy="4095750"/>
            <wp:effectExtent l="0" t="0" r="0" b="0"/>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7562850" cy="4095750"/>
                    </a:xfrm>
                    <a:prstGeom prst="rect">
                      <a:avLst/>
                    </a:prstGeom>
                    <a:ln/>
                  </pic:spPr>
                </pic:pic>
              </a:graphicData>
            </a:graphic>
          </wp:inline>
        </w:drawing>
      </w:r>
    </w:p>
    <w:p w14:paraId="4EF295D2" w14:textId="77777777" w:rsidR="00253619" w:rsidRDefault="00253619" w:rsidP="00253619">
      <w:pPr>
        <w:spacing w:line="360" w:lineRule="auto"/>
        <w:rPr>
          <w:rFonts w:ascii="Arial" w:eastAsia="Arial" w:hAnsi="Arial" w:cs="Arial"/>
          <w:sz w:val="24"/>
          <w:szCs w:val="24"/>
          <w:lang w:val="en-US"/>
        </w:rPr>
      </w:pPr>
      <w:r w:rsidRPr="00F26D3F">
        <w:rPr>
          <w:rFonts w:ascii="Arial" w:eastAsia="Arial" w:hAnsi="Arial" w:cs="Arial"/>
          <w:b/>
          <w:sz w:val="24"/>
          <w:szCs w:val="24"/>
          <w:lang w:val="en-US"/>
        </w:rPr>
        <w:t xml:space="preserve">FIG S3 </w:t>
      </w:r>
      <w:r w:rsidRPr="00F26D3F">
        <w:rPr>
          <w:rFonts w:ascii="Arial" w:eastAsia="Arial" w:hAnsi="Arial" w:cs="Arial"/>
          <w:sz w:val="24"/>
          <w:szCs w:val="24"/>
          <w:lang w:val="en-US"/>
        </w:rPr>
        <w:t xml:space="preserve">The graphical abstract shows </w:t>
      </w:r>
      <w:sdt>
        <w:sdtPr>
          <w:tag w:val="goog_rdk_2"/>
          <w:id w:val="701451005"/>
        </w:sdtPr>
        <w:sdtEndPr/>
        <w:sdtContent/>
      </w:sdt>
      <w:r w:rsidRPr="00F26D3F">
        <w:rPr>
          <w:rFonts w:ascii="Arial" w:eastAsia="Arial" w:hAnsi="Arial" w:cs="Arial"/>
          <w:sz w:val="24"/>
          <w:szCs w:val="24"/>
          <w:lang w:val="en-US"/>
        </w:rPr>
        <w:t xml:space="preserve">the methodology resume with the four treatments, the cecum contents collection, sequencing in Illumina </w:t>
      </w:r>
      <w:proofErr w:type="spellStart"/>
      <w:r w:rsidRPr="00F26D3F">
        <w:rPr>
          <w:rFonts w:ascii="Arial" w:eastAsia="Arial" w:hAnsi="Arial" w:cs="Arial"/>
          <w:sz w:val="24"/>
          <w:szCs w:val="24"/>
          <w:lang w:val="en-US"/>
        </w:rPr>
        <w:t>MiSeq</w:t>
      </w:r>
      <w:proofErr w:type="spellEnd"/>
      <w:r w:rsidRPr="00F26D3F">
        <w:rPr>
          <w:rFonts w:ascii="Arial" w:eastAsia="Arial" w:hAnsi="Arial" w:cs="Arial"/>
          <w:sz w:val="24"/>
          <w:szCs w:val="24"/>
          <w:lang w:val="en-US"/>
        </w:rPr>
        <w:t xml:space="preserve">, and the analysis of sequencing. The main results were represented by graphics including the alpha diversity, OTU composition, and the most abundant genera.  We represented some </w:t>
      </w:r>
      <w:proofErr w:type="spellStart"/>
      <w:r w:rsidRPr="00F26D3F">
        <w:rPr>
          <w:rFonts w:ascii="Arial" w:eastAsia="Arial" w:hAnsi="Arial" w:cs="Arial"/>
          <w:sz w:val="24"/>
          <w:szCs w:val="24"/>
          <w:lang w:val="en-US"/>
        </w:rPr>
        <w:t>bacterias</w:t>
      </w:r>
      <w:proofErr w:type="spellEnd"/>
      <w:r w:rsidRPr="00F26D3F">
        <w:rPr>
          <w:rFonts w:ascii="Arial" w:eastAsia="Arial" w:hAnsi="Arial" w:cs="Arial"/>
          <w:sz w:val="24"/>
          <w:szCs w:val="24"/>
          <w:lang w:val="en-US"/>
        </w:rPr>
        <w:t xml:space="preserve"> that are related to pathogenicity, SCFAs production, and FE increasing. Our conclusion about the Cu-MHAC was that it altered the cecum microbiota and could be used as an alternative supplement for swine, once the results were satisfactory</w:t>
      </w:r>
      <w:r>
        <w:rPr>
          <w:rFonts w:ascii="Arial" w:eastAsia="Arial" w:hAnsi="Arial" w:cs="Arial"/>
          <w:sz w:val="24"/>
          <w:szCs w:val="24"/>
          <w:lang w:val="en-US"/>
        </w:rPr>
        <w:t>.</w:t>
      </w:r>
    </w:p>
    <w:p w14:paraId="4B6A699D" w14:textId="77777777" w:rsidR="00253619" w:rsidRDefault="00253619" w:rsidP="00253619">
      <w:pPr>
        <w:spacing w:line="360" w:lineRule="auto"/>
        <w:rPr>
          <w:rFonts w:ascii="Arial" w:eastAsia="Arial" w:hAnsi="Arial" w:cs="Arial"/>
          <w:sz w:val="24"/>
          <w:szCs w:val="24"/>
          <w:lang w:val="en-US"/>
        </w:rPr>
      </w:pPr>
    </w:p>
    <w:p w14:paraId="267BBE1F" w14:textId="77777777" w:rsidR="00531C70" w:rsidRPr="001132D7" w:rsidRDefault="00531C70" w:rsidP="00531C70">
      <w:pPr>
        <w:suppressLineNumbers/>
        <w:spacing w:line="360" w:lineRule="auto"/>
        <w:jc w:val="both"/>
        <w:rPr>
          <w:rFonts w:ascii="Arial" w:hAnsi="Arial" w:cs="Arial"/>
          <w:b/>
          <w:bCs/>
          <w:sz w:val="24"/>
          <w:szCs w:val="24"/>
          <w:lang w:val="en-US"/>
        </w:rPr>
      </w:pPr>
      <w:r w:rsidRPr="002125BB">
        <w:rPr>
          <w:rFonts w:ascii="Arial" w:hAnsi="Arial" w:cs="Arial"/>
          <w:b/>
          <w:bCs/>
          <w:sz w:val="24"/>
          <w:szCs w:val="24"/>
          <w:lang w:val="en-US"/>
        </w:rPr>
        <w:t>Table S1</w:t>
      </w:r>
      <w:r>
        <w:rPr>
          <w:rFonts w:ascii="Arial" w:hAnsi="Arial" w:cs="Arial"/>
          <w:b/>
          <w:bCs/>
          <w:sz w:val="24"/>
          <w:szCs w:val="24"/>
          <w:lang w:val="en-US"/>
        </w:rPr>
        <w:t xml:space="preserve">: </w:t>
      </w:r>
      <w:r w:rsidRPr="001132D7">
        <w:rPr>
          <w:rFonts w:ascii="Arial" w:hAnsi="Arial" w:cs="Arial"/>
          <w:b/>
          <w:bCs/>
          <w:sz w:val="24"/>
          <w:szCs w:val="24"/>
          <w:lang w:val="en-US"/>
        </w:rPr>
        <w:t>Total number of OTUs and reads by sample.</w:t>
      </w:r>
    </w:p>
    <w:tbl>
      <w:tblPr>
        <w:tblW w:w="15362" w:type="dxa"/>
        <w:tblCellMar>
          <w:left w:w="70" w:type="dxa"/>
          <w:right w:w="70" w:type="dxa"/>
        </w:tblCellMar>
        <w:tblLook w:val="04A0" w:firstRow="1" w:lastRow="0" w:firstColumn="1" w:lastColumn="0" w:noHBand="0" w:noVBand="1"/>
      </w:tblPr>
      <w:tblGrid>
        <w:gridCol w:w="994"/>
        <w:gridCol w:w="952"/>
        <w:gridCol w:w="952"/>
        <w:gridCol w:w="808"/>
        <w:gridCol w:w="808"/>
        <w:gridCol w:w="952"/>
        <w:gridCol w:w="952"/>
        <w:gridCol w:w="808"/>
        <w:gridCol w:w="808"/>
        <w:gridCol w:w="952"/>
        <w:gridCol w:w="952"/>
        <w:gridCol w:w="808"/>
        <w:gridCol w:w="952"/>
        <w:gridCol w:w="808"/>
        <w:gridCol w:w="952"/>
        <w:gridCol w:w="952"/>
        <w:gridCol w:w="952"/>
      </w:tblGrid>
      <w:tr w:rsidR="00531C70" w:rsidRPr="00092DF5" w14:paraId="6CB32B60" w14:textId="77777777" w:rsidTr="00356EFC">
        <w:trPr>
          <w:trHeight w:val="315"/>
        </w:trPr>
        <w:tc>
          <w:tcPr>
            <w:tcW w:w="994" w:type="dxa"/>
            <w:tcBorders>
              <w:top w:val="single" w:sz="4" w:space="0" w:color="auto"/>
              <w:left w:val="nil"/>
              <w:bottom w:val="nil"/>
              <w:right w:val="nil"/>
            </w:tcBorders>
            <w:shd w:val="clear" w:color="auto" w:fill="auto"/>
            <w:noWrap/>
            <w:vAlign w:val="bottom"/>
            <w:hideMark/>
          </w:tcPr>
          <w:p w14:paraId="74397AC2" w14:textId="77777777" w:rsidR="00531C70" w:rsidRPr="00DE7445" w:rsidRDefault="00531C70" w:rsidP="00356EFC">
            <w:pPr>
              <w:spacing w:after="0" w:line="240" w:lineRule="auto"/>
              <w:jc w:val="center"/>
              <w:rPr>
                <w:rFonts w:ascii="Arial" w:eastAsia="Times New Roman" w:hAnsi="Arial" w:cs="Arial"/>
                <w:color w:val="000000"/>
                <w:sz w:val="24"/>
                <w:szCs w:val="24"/>
                <w:lang w:val="en-US" w:eastAsia="pt-BR"/>
              </w:rPr>
            </w:pPr>
            <w:r w:rsidRPr="00DE7445">
              <w:rPr>
                <w:rFonts w:ascii="Arial" w:eastAsia="Times New Roman" w:hAnsi="Arial" w:cs="Arial"/>
                <w:color w:val="000000"/>
                <w:sz w:val="24"/>
                <w:szCs w:val="24"/>
                <w:lang w:val="en-US" w:eastAsia="pt-BR"/>
              </w:rPr>
              <w:t> </w:t>
            </w:r>
          </w:p>
        </w:tc>
        <w:tc>
          <w:tcPr>
            <w:tcW w:w="14368" w:type="dxa"/>
            <w:gridSpan w:val="16"/>
            <w:tcBorders>
              <w:top w:val="single" w:sz="4" w:space="0" w:color="auto"/>
              <w:left w:val="nil"/>
              <w:bottom w:val="single" w:sz="4" w:space="0" w:color="auto"/>
              <w:right w:val="nil"/>
            </w:tcBorders>
            <w:shd w:val="clear" w:color="auto" w:fill="auto"/>
            <w:noWrap/>
            <w:vAlign w:val="bottom"/>
            <w:hideMark/>
          </w:tcPr>
          <w:p w14:paraId="5C2759F6"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Treatment</w:t>
            </w:r>
          </w:p>
        </w:tc>
      </w:tr>
      <w:tr w:rsidR="00531C70" w:rsidRPr="00092DF5" w14:paraId="65BD3869" w14:textId="77777777" w:rsidTr="00356EFC">
        <w:trPr>
          <w:trHeight w:val="315"/>
        </w:trPr>
        <w:tc>
          <w:tcPr>
            <w:tcW w:w="994" w:type="dxa"/>
            <w:tcBorders>
              <w:top w:val="nil"/>
              <w:left w:val="nil"/>
              <w:bottom w:val="nil"/>
              <w:right w:val="nil"/>
            </w:tcBorders>
            <w:shd w:val="clear" w:color="auto" w:fill="auto"/>
            <w:noWrap/>
            <w:vAlign w:val="bottom"/>
            <w:hideMark/>
          </w:tcPr>
          <w:p w14:paraId="3093E921"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p>
        </w:tc>
        <w:tc>
          <w:tcPr>
            <w:tcW w:w="3520" w:type="dxa"/>
            <w:gridSpan w:val="4"/>
            <w:tcBorders>
              <w:top w:val="single" w:sz="4" w:space="0" w:color="auto"/>
              <w:left w:val="nil"/>
              <w:bottom w:val="nil"/>
              <w:right w:val="nil"/>
            </w:tcBorders>
            <w:shd w:val="clear" w:color="auto" w:fill="auto"/>
            <w:noWrap/>
            <w:vAlign w:val="bottom"/>
            <w:hideMark/>
          </w:tcPr>
          <w:p w14:paraId="35635627"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Control</w:t>
            </w:r>
          </w:p>
        </w:tc>
        <w:tc>
          <w:tcPr>
            <w:tcW w:w="3520" w:type="dxa"/>
            <w:gridSpan w:val="4"/>
            <w:tcBorders>
              <w:top w:val="single" w:sz="4" w:space="0" w:color="auto"/>
              <w:left w:val="nil"/>
              <w:bottom w:val="nil"/>
              <w:right w:val="nil"/>
            </w:tcBorders>
            <w:shd w:val="clear" w:color="auto" w:fill="auto"/>
            <w:noWrap/>
            <w:vAlign w:val="bottom"/>
            <w:hideMark/>
          </w:tcPr>
          <w:p w14:paraId="3EECF4BA"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CuSO</w:t>
            </w:r>
            <w:r w:rsidRPr="00986EE4">
              <w:rPr>
                <w:rFonts w:ascii="Arial" w:eastAsia="Times New Roman" w:hAnsi="Arial" w:cs="Arial"/>
                <w:b/>
                <w:bCs/>
                <w:color w:val="000000"/>
                <w:sz w:val="24"/>
                <w:szCs w:val="24"/>
                <w:vertAlign w:val="subscript"/>
                <w:lang w:eastAsia="pt-BR"/>
              </w:rPr>
              <w:t>4</w:t>
            </w:r>
          </w:p>
        </w:tc>
        <w:tc>
          <w:tcPr>
            <w:tcW w:w="3664" w:type="dxa"/>
            <w:gridSpan w:val="4"/>
            <w:tcBorders>
              <w:top w:val="single" w:sz="4" w:space="0" w:color="auto"/>
              <w:left w:val="nil"/>
              <w:bottom w:val="nil"/>
              <w:right w:val="nil"/>
            </w:tcBorders>
            <w:shd w:val="clear" w:color="auto" w:fill="auto"/>
            <w:noWrap/>
            <w:vAlign w:val="bottom"/>
            <w:hideMark/>
          </w:tcPr>
          <w:p w14:paraId="23756641"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Cu-MHAC</w:t>
            </w:r>
          </w:p>
        </w:tc>
        <w:tc>
          <w:tcPr>
            <w:tcW w:w="3664" w:type="dxa"/>
            <w:gridSpan w:val="4"/>
            <w:tcBorders>
              <w:top w:val="single" w:sz="4" w:space="0" w:color="auto"/>
              <w:left w:val="nil"/>
              <w:bottom w:val="nil"/>
              <w:right w:val="nil"/>
            </w:tcBorders>
            <w:shd w:val="clear" w:color="auto" w:fill="auto"/>
            <w:noWrap/>
            <w:vAlign w:val="bottom"/>
            <w:hideMark/>
          </w:tcPr>
          <w:p w14:paraId="69E0878E"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TBCC</w:t>
            </w:r>
          </w:p>
        </w:tc>
      </w:tr>
      <w:tr w:rsidR="00531C70" w:rsidRPr="00092DF5" w14:paraId="0AD496BA" w14:textId="77777777" w:rsidTr="00356EFC">
        <w:trPr>
          <w:trHeight w:val="315"/>
        </w:trPr>
        <w:tc>
          <w:tcPr>
            <w:tcW w:w="994" w:type="dxa"/>
            <w:tcBorders>
              <w:top w:val="nil"/>
              <w:left w:val="nil"/>
              <w:bottom w:val="single" w:sz="4" w:space="0" w:color="auto"/>
              <w:right w:val="nil"/>
            </w:tcBorders>
            <w:shd w:val="clear" w:color="auto" w:fill="auto"/>
            <w:noWrap/>
            <w:vAlign w:val="bottom"/>
            <w:hideMark/>
          </w:tcPr>
          <w:p w14:paraId="272A0E94"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Sample</w:t>
            </w:r>
          </w:p>
        </w:tc>
        <w:tc>
          <w:tcPr>
            <w:tcW w:w="952" w:type="dxa"/>
            <w:tcBorders>
              <w:top w:val="nil"/>
              <w:left w:val="nil"/>
              <w:bottom w:val="single" w:sz="4" w:space="0" w:color="auto"/>
              <w:right w:val="nil"/>
            </w:tcBorders>
            <w:shd w:val="clear" w:color="auto" w:fill="auto"/>
            <w:noWrap/>
            <w:vAlign w:val="bottom"/>
            <w:hideMark/>
          </w:tcPr>
          <w:p w14:paraId="137E15F7"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w:t>
            </w:r>
          </w:p>
        </w:tc>
        <w:tc>
          <w:tcPr>
            <w:tcW w:w="952" w:type="dxa"/>
            <w:tcBorders>
              <w:top w:val="nil"/>
              <w:left w:val="nil"/>
              <w:bottom w:val="single" w:sz="4" w:space="0" w:color="auto"/>
              <w:right w:val="nil"/>
            </w:tcBorders>
            <w:shd w:val="clear" w:color="auto" w:fill="auto"/>
            <w:noWrap/>
            <w:vAlign w:val="bottom"/>
            <w:hideMark/>
          </w:tcPr>
          <w:p w14:paraId="671D622B"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Ce2</w:t>
            </w:r>
          </w:p>
        </w:tc>
        <w:tc>
          <w:tcPr>
            <w:tcW w:w="808" w:type="dxa"/>
            <w:tcBorders>
              <w:top w:val="nil"/>
              <w:left w:val="nil"/>
              <w:bottom w:val="single" w:sz="4" w:space="0" w:color="auto"/>
              <w:right w:val="nil"/>
            </w:tcBorders>
            <w:shd w:val="clear" w:color="auto" w:fill="auto"/>
            <w:noWrap/>
            <w:vAlign w:val="bottom"/>
            <w:hideMark/>
          </w:tcPr>
          <w:p w14:paraId="6D4C09B9"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Ce3</w:t>
            </w:r>
          </w:p>
        </w:tc>
        <w:tc>
          <w:tcPr>
            <w:tcW w:w="808" w:type="dxa"/>
            <w:tcBorders>
              <w:top w:val="nil"/>
              <w:left w:val="nil"/>
              <w:bottom w:val="single" w:sz="4" w:space="0" w:color="auto"/>
              <w:right w:val="nil"/>
            </w:tcBorders>
            <w:shd w:val="clear" w:color="auto" w:fill="auto"/>
            <w:noWrap/>
            <w:vAlign w:val="bottom"/>
            <w:hideMark/>
          </w:tcPr>
          <w:p w14:paraId="191DF2F3"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Ce4</w:t>
            </w:r>
          </w:p>
        </w:tc>
        <w:tc>
          <w:tcPr>
            <w:tcW w:w="952" w:type="dxa"/>
            <w:tcBorders>
              <w:top w:val="nil"/>
              <w:left w:val="nil"/>
              <w:bottom w:val="single" w:sz="4" w:space="0" w:color="auto"/>
              <w:right w:val="nil"/>
            </w:tcBorders>
            <w:shd w:val="clear" w:color="auto" w:fill="auto"/>
            <w:noWrap/>
            <w:vAlign w:val="bottom"/>
            <w:hideMark/>
          </w:tcPr>
          <w:p w14:paraId="2CFE07C1"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Ce5</w:t>
            </w:r>
          </w:p>
        </w:tc>
        <w:tc>
          <w:tcPr>
            <w:tcW w:w="952" w:type="dxa"/>
            <w:tcBorders>
              <w:top w:val="nil"/>
              <w:left w:val="nil"/>
              <w:bottom w:val="single" w:sz="4" w:space="0" w:color="auto"/>
              <w:right w:val="nil"/>
            </w:tcBorders>
            <w:shd w:val="clear" w:color="auto" w:fill="auto"/>
            <w:noWrap/>
            <w:vAlign w:val="bottom"/>
            <w:hideMark/>
          </w:tcPr>
          <w:p w14:paraId="287C48C9"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Ce6</w:t>
            </w:r>
          </w:p>
        </w:tc>
        <w:tc>
          <w:tcPr>
            <w:tcW w:w="808" w:type="dxa"/>
            <w:tcBorders>
              <w:top w:val="nil"/>
              <w:left w:val="nil"/>
              <w:bottom w:val="single" w:sz="4" w:space="0" w:color="auto"/>
              <w:right w:val="nil"/>
            </w:tcBorders>
            <w:shd w:val="clear" w:color="auto" w:fill="auto"/>
            <w:noWrap/>
            <w:vAlign w:val="bottom"/>
            <w:hideMark/>
          </w:tcPr>
          <w:p w14:paraId="43012069"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Ce7</w:t>
            </w:r>
          </w:p>
        </w:tc>
        <w:tc>
          <w:tcPr>
            <w:tcW w:w="808" w:type="dxa"/>
            <w:tcBorders>
              <w:top w:val="nil"/>
              <w:left w:val="nil"/>
              <w:bottom w:val="single" w:sz="4" w:space="0" w:color="auto"/>
              <w:right w:val="nil"/>
            </w:tcBorders>
            <w:shd w:val="clear" w:color="auto" w:fill="auto"/>
            <w:noWrap/>
            <w:vAlign w:val="bottom"/>
            <w:hideMark/>
          </w:tcPr>
          <w:p w14:paraId="1D452A5F"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Ce8</w:t>
            </w:r>
          </w:p>
        </w:tc>
        <w:tc>
          <w:tcPr>
            <w:tcW w:w="952" w:type="dxa"/>
            <w:tcBorders>
              <w:top w:val="nil"/>
              <w:left w:val="nil"/>
              <w:bottom w:val="single" w:sz="4" w:space="0" w:color="auto"/>
              <w:right w:val="nil"/>
            </w:tcBorders>
            <w:shd w:val="clear" w:color="auto" w:fill="auto"/>
            <w:noWrap/>
            <w:vAlign w:val="bottom"/>
            <w:hideMark/>
          </w:tcPr>
          <w:p w14:paraId="01774A45"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Ce9</w:t>
            </w:r>
          </w:p>
        </w:tc>
        <w:tc>
          <w:tcPr>
            <w:tcW w:w="952" w:type="dxa"/>
            <w:tcBorders>
              <w:top w:val="nil"/>
              <w:left w:val="nil"/>
              <w:bottom w:val="single" w:sz="4" w:space="0" w:color="auto"/>
              <w:right w:val="nil"/>
            </w:tcBorders>
            <w:shd w:val="clear" w:color="auto" w:fill="auto"/>
            <w:noWrap/>
            <w:vAlign w:val="bottom"/>
            <w:hideMark/>
          </w:tcPr>
          <w:p w14:paraId="5868DEAE"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Ce10</w:t>
            </w:r>
          </w:p>
        </w:tc>
        <w:tc>
          <w:tcPr>
            <w:tcW w:w="808" w:type="dxa"/>
            <w:tcBorders>
              <w:top w:val="nil"/>
              <w:left w:val="nil"/>
              <w:bottom w:val="single" w:sz="4" w:space="0" w:color="auto"/>
              <w:right w:val="nil"/>
            </w:tcBorders>
            <w:shd w:val="clear" w:color="auto" w:fill="auto"/>
            <w:noWrap/>
            <w:vAlign w:val="bottom"/>
            <w:hideMark/>
          </w:tcPr>
          <w:p w14:paraId="4A339A18"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Ce11</w:t>
            </w:r>
          </w:p>
        </w:tc>
        <w:tc>
          <w:tcPr>
            <w:tcW w:w="952" w:type="dxa"/>
            <w:tcBorders>
              <w:top w:val="nil"/>
              <w:left w:val="nil"/>
              <w:bottom w:val="single" w:sz="4" w:space="0" w:color="auto"/>
              <w:right w:val="nil"/>
            </w:tcBorders>
            <w:shd w:val="clear" w:color="auto" w:fill="auto"/>
            <w:noWrap/>
            <w:vAlign w:val="bottom"/>
            <w:hideMark/>
          </w:tcPr>
          <w:p w14:paraId="38AB6AB4"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Ce12</w:t>
            </w:r>
          </w:p>
        </w:tc>
        <w:tc>
          <w:tcPr>
            <w:tcW w:w="808" w:type="dxa"/>
            <w:tcBorders>
              <w:top w:val="nil"/>
              <w:left w:val="nil"/>
              <w:bottom w:val="single" w:sz="4" w:space="0" w:color="auto"/>
              <w:right w:val="nil"/>
            </w:tcBorders>
            <w:shd w:val="clear" w:color="auto" w:fill="auto"/>
            <w:noWrap/>
            <w:vAlign w:val="bottom"/>
            <w:hideMark/>
          </w:tcPr>
          <w:p w14:paraId="23294905"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Ce13</w:t>
            </w:r>
          </w:p>
        </w:tc>
        <w:tc>
          <w:tcPr>
            <w:tcW w:w="952" w:type="dxa"/>
            <w:tcBorders>
              <w:top w:val="nil"/>
              <w:left w:val="nil"/>
              <w:bottom w:val="single" w:sz="4" w:space="0" w:color="auto"/>
              <w:right w:val="nil"/>
            </w:tcBorders>
            <w:shd w:val="clear" w:color="auto" w:fill="auto"/>
            <w:noWrap/>
            <w:vAlign w:val="bottom"/>
            <w:hideMark/>
          </w:tcPr>
          <w:p w14:paraId="01E2FF31"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Ce14</w:t>
            </w:r>
          </w:p>
        </w:tc>
        <w:tc>
          <w:tcPr>
            <w:tcW w:w="952" w:type="dxa"/>
            <w:tcBorders>
              <w:top w:val="nil"/>
              <w:left w:val="nil"/>
              <w:bottom w:val="single" w:sz="4" w:space="0" w:color="auto"/>
              <w:right w:val="nil"/>
            </w:tcBorders>
            <w:shd w:val="clear" w:color="auto" w:fill="auto"/>
            <w:noWrap/>
            <w:vAlign w:val="bottom"/>
            <w:hideMark/>
          </w:tcPr>
          <w:p w14:paraId="7C649B04"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Ce15</w:t>
            </w:r>
          </w:p>
        </w:tc>
        <w:tc>
          <w:tcPr>
            <w:tcW w:w="952" w:type="dxa"/>
            <w:tcBorders>
              <w:top w:val="nil"/>
              <w:left w:val="nil"/>
              <w:bottom w:val="single" w:sz="4" w:space="0" w:color="auto"/>
              <w:right w:val="nil"/>
            </w:tcBorders>
            <w:shd w:val="clear" w:color="auto" w:fill="auto"/>
            <w:noWrap/>
            <w:vAlign w:val="bottom"/>
            <w:hideMark/>
          </w:tcPr>
          <w:p w14:paraId="3A9BECB4"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Ce16</w:t>
            </w:r>
          </w:p>
        </w:tc>
      </w:tr>
      <w:tr w:rsidR="00531C70" w:rsidRPr="00092DF5" w14:paraId="7958AD81" w14:textId="77777777" w:rsidTr="00356EFC">
        <w:trPr>
          <w:trHeight w:val="315"/>
        </w:trPr>
        <w:tc>
          <w:tcPr>
            <w:tcW w:w="994" w:type="dxa"/>
            <w:tcBorders>
              <w:top w:val="nil"/>
              <w:left w:val="nil"/>
              <w:bottom w:val="nil"/>
              <w:right w:val="nil"/>
            </w:tcBorders>
            <w:shd w:val="clear" w:color="auto" w:fill="auto"/>
            <w:noWrap/>
            <w:vAlign w:val="bottom"/>
            <w:hideMark/>
          </w:tcPr>
          <w:p w14:paraId="18A70F2D"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Reads</w:t>
            </w:r>
          </w:p>
        </w:tc>
        <w:tc>
          <w:tcPr>
            <w:tcW w:w="952" w:type="dxa"/>
            <w:tcBorders>
              <w:top w:val="nil"/>
              <w:left w:val="nil"/>
              <w:bottom w:val="nil"/>
              <w:right w:val="nil"/>
            </w:tcBorders>
            <w:shd w:val="clear" w:color="auto" w:fill="auto"/>
            <w:noWrap/>
            <w:vAlign w:val="bottom"/>
            <w:hideMark/>
          </w:tcPr>
          <w:p w14:paraId="5BFDEE43"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119699</w:t>
            </w:r>
          </w:p>
        </w:tc>
        <w:tc>
          <w:tcPr>
            <w:tcW w:w="952" w:type="dxa"/>
            <w:tcBorders>
              <w:top w:val="nil"/>
              <w:left w:val="nil"/>
              <w:bottom w:val="nil"/>
              <w:right w:val="nil"/>
            </w:tcBorders>
            <w:shd w:val="clear" w:color="auto" w:fill="auto"/>
            <w:noWrap/>
            <w:vAlign w:val="bottom"/>
            <w:hideMark/>
          </w:tcPr>
          <w:p w14:paraId="37AA7408"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137219</w:t>
            </w:r>
          </w:p>
        </w:tc>
        <w:tc>
          <w:tcPr>
            <w:tcW w:w="808" w:type="dxa"/>
            <w:tcBorders>
              <w:top w:val="nil"/>
              <w:left w:val="nil"/>
              <w:bottom w:val="nil"/>
              <w:right w:val="nil"/>
            </w:tcBorders>
            <w:shd w:val="clear" w:color="auto" w:fill="auto"/>
            <w:noWrap/>
            <w:vAlign w:val="bottom"/>
            <w:hideMark/>
          </w:tcPr>
          <w:p w14:paraId="21321BC4"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61773</w:t>
            </w:r>
          </w:p>
        </w:tc>
        <w:tc>
          <w:tcPr>
            <w:tcW w:w="808" w:type="dxa"/>
            <w:tcBorders>
              <w:top w:val="nil"/>
              <w:left w:val="nil"/>
              <w:bottom w:val="nil"/>
              <w:right w:val="nil"/>
            </w:tcBorders>
            <w:shd w:val="clear" w:color="auto" w:fill="auto"/>
            <w:noWrap/>
            <w:vAlign w:val="bottom"/>
            <w:hideMark/>
          </w:tcPr>
          <w:p w14:paraId="1A600546"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56819</w:t>
            </w:r>
          </w:p>
        </w:tc>
        <w:tc>
          <w:tcPr>
            <w:tcW w:w="952" w:type="dxa"/>
            <w:tcBorders>
              <w:top w:val="nil"/>
              <w:left w:val="nil"/>
              <w:bottom w:val="nil"/>
              <w:right w:val="nil"/>
            </w:tcBorders>
            <w:shd w:val="clear" w:color="auto" w:fill="auto"/>
            <w:noWrap/>
            <w:vAlign w:val="bottom"/>
            <w:hideMark/>
          </w:tcPr>
          <w:p w14:paraId="70B70473"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196645</w:t>
            </w:r>
          </w:p>
        </w:tc>
        <w:tc>
          <w:tcPr>
            <w:tcW w:w="952" w:type="dxa"/>
            <w:tcBorders>
              <w:top w:val="nil"/>
              <w:left w:val="nil"/>
              <w:bottom w:val="nil"/>
              <w:right w:val="nil"/>
            </w:tcBorders>
            <w:shd w:val="clear" w:color="auto" w:fill="auto"/>
            <w:noWrap/>
            <w:vAlign w:val="bottom"/>
            <w:hideMark/>
          </w:tcPr>
          <w:p w14:paraId="3832AE8F"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134606</w:t>
            </w:r>
          </w:p>
        </w:tc>
        <w:tc>
          <w:tcPr>
            <w:tcW w:w="808" w:type="dxa"/>
            <w:tcBorders>
              <w:top w:val="nil"/>
              <w:left w:val="nil"/>
              <w:bottom w:val="nil"/>
              <w:right w:val="nil"/>
            </w:tcBorders>
            <w:shd w:val="clear" w:color="auto" w:fill="auto"/>
            <w:noWrap/>
            <w:vAlign w:val="bottom"/>
            <w:hideMark/>
          </w:tcPr>
          <w:p w14:paraId="0B5F6451"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67520</w:t>
            </w:r>
          </w:p>
        </w:tc>
        <w:tc>
          <w:tcPr>
            <w:tcW w:w="808" w:type="dxa"/>
            <w:tcBorders>
              <w:top w:val="nil"/>
              <w:left w:val="nil"/>
              <w:bottom w:val="nil"/>
              <w:right w:val="nil"/>
            </w:tcBorders>
            <w:shd w:val="clear" w:color="auto" w:fill="auto"/>
            <w:noWrap/>
            <w:vAlign w:val="bottom"/>
            <w:hideMark/>
          </w:tcPr>
          <w:p w14:paraId="65982C06"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68241</w:t>
            </w:r>
          </w:p>
        </w:tc>
        <w:tc>
          <w:tcPr>
            <w:tcW w:w="952" w:type="dxa"/>
            <w:tcBorders>
              <w:top w:val="nil"/>
              <w:left w:val="nil"/>
              <w:bottom w:val="nil"/>
              <w:right w:val="nil"/>
            </w:tcBorders>
            <w:shd w:val="clear" w:color="auto" w:fill="auto"/>
            <w:noWrap/>
            <w:vAlign w:val="bottom"/>
            <w:hideMark/>
          </w:tcPr>
          <w:p w14:paraId="19DDCFA7"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142206</w:t>
            </w:r>
          </w:p>
        </w:tc>
        <w:tc>
          <w:tcPr>
            <w:tcW w:w="952" w:type="dxa"/>
            <w:tcBorders>
              <w:top w:val="nil"/>
              <w:left w:val="nil"/>
              <w:bottom w:val="nil"/>
              <w:right w:val="nil"/>
            </w:tcBorders>
            <w:shd w:val="clear" w:color="auto" w:fill="auto"/>
            <w:noWrap/>
            <w:vAlign w:val="bottom"/>
            <w:hideMark/>
          </w:tcPr>
          <w:p w14:paraId="6D73FB9A"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145924</w:t>
            </w:r>
          </w:p>
        </w:tc>
        <w:tc>
          <w:tcPr>
            <w:tcW w:w="808" w:type="dxa"/>
            <w:tcBorders>
              <w:top w:val="nil"/>
              <w:left w:val="nil"/>
              <w:bottom w:val="nil"/>
              <w:right w:val="nil"/>
            </w:tcBorders>
            <w:shd w:val="clear" w:color="auto" w:fill="auto"/>
            <w:noWrap/>
            <w:vAlign w:val="bottom"/>
            <w:hideMark/>
          </w:tcPr>
          <w:p w14:paraId="15883D28"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81161</w:t>
            </w:r>
          </w:p>
        </w:tc>
        <w:tc>
          <w:tcPr>
            <w:tcW w:w="952" w:type="dxa"/>
            <w:tcBorders>
              <w:top w:val="nil"/>
              <w:left w:val="nil"/>
              <w:bottom w:val="nil"/>
              <w:right w:val="nil"/>
            </w:tcBorders>
            <w:shd w:val="clear" w:color="auto" w:fill="auto"/>
            <w:noWrap/>
            <w:vAlign w:val="bottom"/>
            <w:hideMark/>
          </w:tcPr>
          <w:p w14:paraId="269EE4E6"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141579</w:t>
            </w:r>
          </w:p>
        </w:tc>
        <w:tc>
          <w:tcPr>
            <w:tcW w:w="808" w:type="dxa"/>
            <w:tcBorders>
              <w:top w:val="nil"/>
              <w:left w:val="nil"/>
              <w:bottom w:val="nil"/>
              <w:right w:val="nil"/>
            </w:tcBorders>
            <w:shd w:val="clear" w:color="auto" w:fill="auto"/>
            <w:noWrap/>
            <w:vAlign w:val="bottom"/>
            <w:hideMark/>
          </w:tcPr>
          <w:p w14:paraId="38C01C54"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85401</w:t>
            </w:r>
          </w:p>
        </w:tc>
        <w:tc>
          <w:tcPr>
            <w:tcW w:w="952" w:type="dxa"/>
            <w:tcBorders>
              <w:top w:val="nil"/>
              <w:left w:val="nil"/>
              <w:bottom w:val="nil"/>
              <w:right w:val="nil"/>
            </w:tcBorders>
            <w:shd w:val="clear" w:color="auto" w:fill="auto"/>
            <w:noWrap/>
            <w:vAlign w:val="bottom"/>
            <w:hideMark/>
          </w:tcPr>
          <w:p w14:paraId="3D0B9503"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128192</w:t>
            </w:r>
          </w:p>
        </w:tc>
        <w:tc>
          <w:tcPr>
            <w:tcW w:w="952" w:type="dxa"/>
            <w:tcBorders>
              <w:top w:val="nil"/>
              <w:left w:val="nil"/>
              <w:bottom w:val="nil"/>
              <w:right w:val="nil"/>
            </w:tcBorders>
            <w:shd w:val="clear" w:color="auto" w:fill="auto"/>
            <w:noWrap/>
            <w:vAlign w:val="bottom"/>
            <w:hideMark/>
          </w:tcPr>
          <w:p w14:paraId="00606D69"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159922</w:t>
            </w:r>
          </w:p>
        </w:tc>
        <w:tc>
          <w:tcPr>
            <w:tcW w:w="952" w:type="dxa"/>
            <w:tcBorders>
              <w:top w:val="nil"/>
              <w:left w:val="nil"/>
              <w:bottom w:val="nil"/>
              <w:right w:val="nil"/>
            </w:tcBorders>
            <w:shd w:val="clear" w:color="auto" w:fill="auto"/>
            <w:noWrap/>
            <w:vAlign w:val="bottom"/>
            <w:hideMark/>
          </w:tcPr>
          <w:p w14:paraId="0E51F60B"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131815</w:t>
            </w:r>
          </w:p>
        </w:tc>
      </w:tr>
      <w:tr w:rsidR="00531C70" w:rsidRPr="00092DF5" w14:paraId="2383A855" w14:textId="77777777" w:rsidTr="00356EFC">
        <w:trPr>
          <w:trHeight w:val="315"/>
        </w:trPr>
        <w:tc>
          <w:tcPr>
            <w:tcW w:w="994" w:type="dxa"/>
            <w:tcBorders>
              <w:top w:val="nil"/>
              <w:left w:val="nil"/>
              <w:bottom w:val="single" w:sz="4" w:space="0" w:color="auto"/>
              <w:right w:val="nil"/>
            </w:tcBorders>
            <w:shd w:val="clear" w:color="auto" w:fill="auto"/>
            <w:noWrap/>
            <w:vAlign w:val="bottom"/>
            <w:hideMark/>
          </w:tcPr>
          <w:p w14:paraId="5A052E32" w14:textId="77777777" w:rsidR="00531C70" w:rsidRPr="00092DF5" w:rsidRDefault="00531C70" w:rsidP="00356EFC">
            <w:pPr>
              <w:spacing w:after="0" w:line="240" w:lineRule="auto"/>
              <w:jc w:val="center"/>
              <w:rPr>
                <w:rFonts w:ascii="Arial" w:eastAsia="Times New Roman" w:hAnsi="Arial" w:cs="Arial"/>
                <w:b/>
                <w:bCs/>
                <w:color w:val="000000"/>
                <w:sz w:val="24"/>
                <w:szCs w:val="24"/>
                <w:lang w:eastAsia="pt-BR"/>
              </w:rPr>
            </w:pPr>
            <w:r w:rsidRPr="00092DF5">
              <w:rPr>
                <w:rFonts w:ascii="Arial" w:eastAsia="Times New Roman" w:hAnsi="Arial" w:cs="Arial"/>
                <w:b/>
                <w:bCs/>
                <w:color w:val="000000"/>
                <w:sz w:val="24"/>
                <w:szCs w:val="24"/>
                <w:lang w:eastAsia="pt-BR"/>
              </w:rPr>
              <w:t>OTUs</w:t>
            </w:r>
          </w:p>
        </w:tc>
        <w:tc>
          <w:tcPr>
            <w:tcW w:w="952" w:type="dxa"/>
            <w:tcBorders>
              <w:top w:val="nil"/>
              <w:left w:val="nil"/>
              <w:bottom w:val="single" w:sz="4" w:space="0" w:color="auto"/>
              <w:right w:val="nil"/>
            </w:tcBorders>
            <w:shd w:val="clear" w:color="auto" w:fill="auto"/>
            <w:noWrap/>
            <w:vAlign w:val="bottom"/>
            <w:hideMark/>
          </w:tcPr>
          <w:p w14:paraId="13CA1BA5"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759</w:t>
            </w:r>
          </w:p>
        </w:tc>
        <w:tc>
          <w:tcPr>
            <w:tcW w:w="952" w:type="dxa"/>
            <w:tcBorders>
              <w:top w:val="nil"/>
              <w:left w:val="nil"/>
              <w:bottom w:val="single" w:sz="4" w:space="0" w:color="auto"/>
              <w:right w:val="nil"/>
            </w:tcBorders>
            <w:shd w:val="clear" w:color="auto" w:fill="auto"/>
            <w:noWrap/>
            <w:vAlign w:val="bottom"/>
            <w:hideMark/>
          </w:tcPr>
          <w:p w14:paraId="4B93367F"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847</w:t>
            </w:r>
          </w:p>
        </w:tc>
        <w:tc>
          <w:tcPr>
            <w:tcW w:w="808" w:type="dxa"/>
            <w:tcBorders>
              <w:top w:val="nil"/>
              <w:left w:val="nil"/>
              <w:bottom w:val="single" w:sz="4" w:space="0" w:color="auto"/>
              <w:right w:val="nil"/>
            </w:tcBorders>
            <w:shd w:val="clear" w:color="auto" w:fill="auto"/>
            <w:noWrap/>
            <w:vAlign w:val="bottom"/>
            <w:hideMark/>
          </w:tcPr>
          <w:p w14:paraId="699E90C2"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662</w:t>
            </w:r>
          </w:p>
        </w:tc>
        <w:tc>
          <w:tcPr>
            <w:tcW w:w="808" w:type="dxa"/>
            <w:tcBorders>
              <w:top w:val="nil"/>
              <w:left w:val="nil"/>
              <w:bottom w:val="single" w:sz="4" w:space="0" w:color="auto"/>
              <w:right w:val="nil"/>
            </w:tcBorders>
            <w:shd w:val="clear" w:color="auto" w:fill="auto"/>
            <w:noWrap/>
            <w:vAlign w:val="bottom"/>
            <w:hideMark/>
          </w:tcPr>
          <w:p w14:paraId="03244E87"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620</w:t>
            </w:r>
          </w:p>
        </w:tc>
        <w:tc>
          <w:tcPr>
            <w:tcW w:w="952" w:type="dxa"/>
            <w:tcBorders>
              <w:top w:val="nil"/>
              <w:left w:val="nil"/>
              <w:bottom w:val="single" w:sz="4" w:space="0" w:color="auto"/>
              <w:right w:val="nil"/>
            </w:tcBorders>
            <w:shd w:val="clear" w:color="auto" w:fill="auto"/>
            <w:noWrap/>
            <w:vAlign w:val="bottom"/>
            <w:hideMark/>
          </w:tcPr>
          <w:p w14:paraId="22E541AC"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792</w:t>
            </w:r>
          </w:p>
        </w:tc>
        <w:tc>
          <w:tcPr>
            <w:tcW w:w="952" w:type="dxa"/>
            <w:tcBorders>
              <w:top w:val="nil"/>
              <w:left w:val="nil"/>
              <w:bottom w:val="single" w:sz="4" w:space="0" w:color="auto"/>
              <w:right w:val="nil"/>
            </w:tcBorders>
            <w:shd w:val="clear" w:color="auto" w:fill="auto"/>
            <w:noWrap/>
            <w:vAlign w:val="bottom"/>
            <w:hideMark/>
          </w:tcPr>
          <w:p w14:paraId="501538E8"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771</w:t>
            </w:r>
          </w:p>
        </w:tc>
        <w:tc>
          <w:tcPr>
            <w:tcW w:w="808" w:type="dxa"/>
            <w:tcBorders>
              <w:top w:val="nil"/>
              <w:left w:val="nil"/>
              <w:bottom w:val="single" w:sz="4" w:space="0" w:color="auto"/>
              <w:right w:val="nil"/>
            </w:tcBorders>
            <w:shd w:val="clear" w:color="auto" w:fill="auto"/>
            <w:noWrap/>
            <w:vAlign w:val="bottom"/>
            <w:hideMark/>
          </w:tcPr>
          <w:p w14:paraId="5934E975"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637</w:t>
            </w:r>
          </w:p>
        </w:tc>
        <w:tc>
          <w:tcPr>
            <w:tcW w:w="808" w:type="dxa"/>
            <w:tcBorders>
              <w:top w:val="nil"/>
              <w:left w:val="nil"/>
              <w:bottom w:val="single" w:sz="4" w:space="0" w:color="auto"/>
              <w:right w:val="nil"/>
            </w:tcBorders>
            <w:shd w:val="clear" w:color="auto" w:fill="auto"/>
            <w:noWrap/>
            <w:vAlign w:val="bottom"/>
            <w:hideMark/>
          </w:tcPr>
          <w:p w14:paraId="5DED0ACA"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777</w:t>
            </w:r>
          </w:p>
        </w:tc>
        <w:tc>
          <w:tcPr>
            <w:tcW w:w="952" w:type="dxa"/>
            <w:tcBorders>
              <w:top w:val="nil"/>
              <w:left w:val="nil"/>
              <w:bottom w:val="single" w:sz="4" w:space="0" w:color="auto"/>
              <w:right w:val="nil"/>
            </w:tcBorders>
            <w:shd w:val="clear" w:color="auto" w:fill="auto"/>
            <w:noWrap/>
            <w:vAlign w:val="bottom"/>
            <w:hideMark/>
          </w:tcPr>
          <w:p w14:paraId="69C3C6B0"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775</w:t>
            </w:r>
          </w:p>
        </w:tc>
        <w:tc>
          <w:tcPr>
            <w:tcW w:w="952" w:type="dxa"/>
            <w:tcBorders>
              <w:top w:val="nil"/>
              <w:left w:val="nil"/>
              <w:bottom w:val="single" w:sz="4" w:space="0" w:color="auto"/>
              <w:right w:val="nil"/>
            </w:tcBorders>
            <w:shd w:val="clear" w:color="auto" w:fill="auto"/>
            <w:noWrap/>
            <w:vAlign w:val="bottom"/>
            <w:hideMark/>
          </w:tcPr>
          <w:p w14:paraId="16AA4FF1"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872</w:t>
            </w:r>
          </w:p>
        </w:tc>
        <w:tc>
          <w:tcPr>
            <w:tcW w:w="808" w:type="dxa"/>
            <w:tcBorders>
              <w:top w:val="nil"/>
              <w:left w:val="nil"/>
              <w:bottom w:val="single" w:sz="4" w:space="0" w:color="auto"/>
              <w:right w:val="nil"/>
            </w:tcBorders>
            <w:shd w:val="clear" w:color="auto" w:fill="auto"/>
            <w:noWrap/>
            <w:vAlign w:val="bottom"/>
            <w:hideMark/>
          </w:tcPr>
          <w:p w14:paraId="1EC989A6"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768</w:t>
            </w:r>
          </w:p>
        </w:tc>
        <w:tc>
          <w:tcPr>
            <w:tcW w:w="952" w:type="dxa"/>
            <w:tcBorders>
              <w:top w:val="nil"/>
              <w:left w:val="nil"/>
              <w:bottom w:val="single" w:sz="4" w:space="0" w:color="auto"/>
              <w:right w:val="nil"/>
            </w:tcBorders>
            <w:shd w:val="clear" w:color="auto" w:fill="auto"/>
            <w:noWrap/>
            <w:vAlign w:val="bottom"/>
            <w:hideMark/>
          </w:tcPr>
          <w:p w14:paraId="34B26884"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777</w:t>
            </w:r>
          </w:p>
        </w:tc>
        <w:tc>
          <w:tcPr>
            <w:tcW w:w="808" w:type="dxa"/>
            <w:tcBorders>
              <w:top w:val="nil"/>
              <w:left w:val="nil"/>
              <w:bottom w:val="single" w:sz="4" w:space="0" w:color="auto"/>
              <w:right w:val="nil"/>
            </w:tcBorders>
            <w:shd w:val="clear" w:color="auto" w:fill="auto"/>
            <w:noWrap/>
            <w:vAlign w:val="bottom"/>
            <w:hideMark/>
          </w:tcPr>
          <w:p w14:paraId="3B60672C"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745</w:t>
            </w:r>
          </w:p>
        </w:tc>
        <w:tc>
          <w:tcPr>
            <w:tcW w:w="952" w:type="dxa"/>
            <w:tcBorders>
              <w:top w:val="nil"/>
              <w:left w:val="nil"/>
              <w:bottom w:val="single" w:sz="4" w:space="0" w:color="auto"/>
              <w:right w:val="nil"/>
            </w:tcBorders>
            <w:shd w:val="clear" w:color="auto" w:fill="auto"/>
            <w:noWrap/>
            <w:vAlign w:val="bottom"/>
            <w:hideMark/>
          </w:tcPr>
          <w:p w14:paraId="7C62C6F1"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768</w:t>
            </w:r>
          </w:p>
        </w:tc>
        <w:tc>
          <w:tcPr>
            <w:tcW w:w="952" w:type="dxa"/>
            <w:tcBorders>
              <w:top w:val="nil"/>
              <w:left w:val="nil"/>
              <w:bottom w:val="single" w:sz="4" w:space="0" w:color="auto"/>
              <w:right w:val="nil"/>
            </w:tcBorders>
            <w:shd w:val="clear" w:color="auto" w:fill="auto"/>
            <w:noWrap/>
            <w:vAlign w:val="bottom"/>
            <w:hideMark/>
          </w:tcPr>
          <w:p w14:paraId="74770216"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841</w:t>
            </w:r>
          </w:p>
        </w:tc>
        <w:tc>
          <w:tcPr>
            <w:tcW w:w="952" w:type="dxa"/>
            <w:tcBorders>
              <w:top w:val="nil"/>
              <w:left w:val="nil"/>
              <w:bottom w:val="single" w:sz="4" w:space="0" w:color="auto"/>
              <w:right w:val="nil"/>
            </w:tcBorders>
            <w:shd w:val="clear" w:color="auto" w:fill="auto"/>
            <w:noWrap/>
            <w:vAlign w:val="bottom"/>
            <w:hideMark/>
          </w:tcPr>
          <w:p w14:paraId="1497ED9F" w14:textId="77777777" w:rsidR="00531C70" w:rsidRPr="00092DF5" w:rsidRDefault="00531C70" w:rsidP="00356EFC">
            <w:pPr>
              <w:spacing w:after="0" w:line="240" w:lineRule="auto"/>
              <w:jc w:val="center"/>
              <w:rPr>
                <w:rFonts w:ascii="Arial" w:eastAsia="Times New Roman" w:hAnsi="Arial" w:cs="Arial"/>
                <w:color w:val="000000"/>
                <w:sz w:val="24"/>
                <w:szCs w:val="24"/>
                <w:lang w:eastAsia="pt-BR"/>
              </w:rPr>
            </w:pPr>
            <w:r w:rsidRPr="00092DF5">
              <w:rPr>
                <w:rFonts w:ascii="Arial" w:eastAsia="Times New Roman" w:hAnsi="Arial" w:cs="Arial"/>
                <w:color w:val="000000"/>
                <w:sz w:val="24"/>
                <w:szCs w:val="24"/>
                <w:lang w:eastAsia="pt-BR"/>
              </w:rPr>
              <w:t>826</w:t>
            </w:r>
          </w:p>
        </w:tc>
      </w:tr>
    </w:tbl>
    <w:p w14:paraId="53956D9B" w14:textId="4EC0693E" w:rsidR="00531C70" w:rsidRDefault="00531C70" w:rsidP="00337A1D">
      <w:pPr>
        <w:tabs>
          <w:tab w:val="left" w:pos="4052"/>
        </w:tabs>
        <w:rPr>
          <w:rFonts w:ascii="Arial" w:hAnsi="Arial" w:cs="Arial"/>
          <w:sz w:val="24"/>
          <w:szCs w:val="24"/>
          <w:lang w:val="en-US"/>
        </w:rPr>
      </w:pPr>
    </w:p>
    <w:p w14:paraId="3EB3E337" w14:textId="77777777" w:rsidR="00BC7664" w:rsidRPr="0026310B" w:rsidRDefault="00BC7664" w:rsidP="00FA4B79">
      <w:pPr>
        <w:tabs>
          <w:tab w:val="left" w:pos="4052"/>
        </w:tabs>
        <w:rPr>
          <w:rFonts w:ascii="Arial" w:hAnsi="Arial" w:cs="Arial"/>
          <w:b/>
          <w:bCs/>
          <w:sz w:val="24"/>
          <w:szCs w:val="24"/>
          <w:lang w:val="en-US"/>
        </w:rPr>
      </w:pPr>
      <w:bookmarkStart w:id="0" w:name="_Hlk54794494"/>
    </w:p>
    <w:p w14:paraId="4211226A" w14:textId="77777777" w:rsidR="00C20B53" w:rsidRPr="0026310B" w:rsidRDefault="00C20B53" w:rsidP="00C20B53">
      <w:pPr>
        <w:tabs>
          <w:tab w:val="left" w:pos="4052"/>
        </w:tabs>
        <w:rPr>
          <w:rFonts w:ascii="Arial" w:hAnsi="Arial" w:cs="Arial"/>
          <w:b/>
          <w:bCs/>
          <w:sz w:val="24"/>
          <w:szCs w:val="24"/>
          <w:lang w:val="en-US"/>
        </w:rPr>
      </w:pPr>
      <w:bookmarkStart w:id="1" w:name="_Hlk127282630"/>
      <w:r w:rsidRPr="0026310B">
        <w:rPr>
          <w:rFonts w:ascii="Arial" w:hAnsi="Arial" w:cs="Arial"/>
          <w:b/>
          <w:bCs/>
          <w:sz w:val="24"/>
          <w:szCs w:val="24"/>
          <w:lang w:val="en-US"/>
        </w:rPr>
        <w:t>Table S2 Phyla relative abundance means by treatment and orthogonal contrast tests.</w:t>
      </w:r>
    </w:p>
    <w:p w14:paraId="266215E6" w14:textId="77777777" w:rsidR="00C20B53" w:rsidRPr="0026310B" w:rsidRDefault="00C20B53" w:rsidP="0026310B">
      <w:pPr>
        <w:tabs>
          <w:tab w:val="left" w:pos="4052"/>
        </w:tabs>
        <w:rPr>
          <w:rFonts w:ascii="Arial" w:hAnsi="Arial" w:cs="Arial"/>
          <w:b/>
          <w:bCs/>
          <w:sz w:val="24"/>
          <w:szCs w:val="24"/>
          <w:lang w:val="en-US"/>
        </w:rPr>
      </w:pPr>
    </w:p>
    <w:tbl>
      <w:tblPr>
        <w:tblW w:w="15078" w:type="dxa"/>
        <w:tblCellMar>
          <w:left w:w="70" w:type="dxa"/>
          <w:right w:w="70" w:type="dxa"/>
        </w:tblCellMar>
        <w:tblLook w:val="04A0" w:firstRow="1" w:lastRow="0" w:firstColumn="1" w:lastColumn="0" w:noHBand="0" w:noVBand="1"/>
      </w:tblPr>
      <w:tblGrid>
        <w:gridCol w:w="3046"/>
        <w:gridCol w:w="1161"/>
        <w:gridCol w:w="1577"/>
        <w:gridCol w:w="1655"/>
        <w:gridCol w:w="1161"/>
        <w:gridCol w:w="1251"/>
        <w:gridCol w:w="1195"/>
        <w:gridCol w:w="1520"/>
        <w:gridCol w:w="1184"/>
        <w:gridCol w:w="1386"/>
      </w:tblGrid>
      <w:tr w:rsidR="00C20B53" w:rsidRPr="0026310B" w14:paraId="15415026" w14:textId="77777777" w:rsidTr="007B389F">
        <w:trPr>
          <w:trHeight w:val="300"/>
        </w:trPr>
        <w:tc>
          <w:tcPr>
            <w:tcW w:w="0" w:type="auto"/>
            <w:tcBorders>
              <w:top w:val="single" w:sz="4" w:space="0" w:color="auto"/>
              <w:left w:val="nil"/>
              <w:bottom w:val="nil"/>
              <w:right w:val="nil"/>
            </w:tcBorders>
            <w:shd w:val="clear" w:color="auto" w:fill="auto"/>
            <w:noWrap/>
            <w:vAlign w:val="center"/>
            <w:hideMark/>
          </w:tcPr>
          <w:p w14:paraId="1BEEE6C8"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 xml:space="preserve">Treatment </w:t>
            </w:r>
          </w:p>
        </w:tc>
        <w:tc>
          <w:tcPr>
            <w:tcW w:w="0" w:type="auto"/>
            <w:gridSpan w:val="8"/>
            <w:tcBorders>
              <w:top w:val="single" w:sz="4" w:space="0" w:color="auto"/>
              <w:left w:val="nil"/>
              <w:bottom w:val="single" w:sz="4" w:space="0" w:color="auto"/>
              <w:right w:val="nil"/>
            </w:tcBorders>
            <w:shd w:val="clear" w:color="auto" w:fill="auto"/>
            <w:noWrap/>
            <w:vAlign w:val="bottom"/>
            <w:hideMark/>
          </w:tcPr>
          <w:p w14:paraId="37185269"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Phylum</w:t>
            </w:r>
          </w:p>
        </w:tc>
        <w:tc>
          <w:tcPr>
            <w:tcW w:w="1354" w:type="dxa"/>
            <w:tcBorders>
              <w:top w:val="single" w:sz="4" w:space="0" w:color="auto"/>
              <w:left w:val="nil"/>
              <w:bottom w:val="single" w:sz="4" w:space="0" w:color="auto"/>
              <w:right w:val="nil"/>
            </w:tcBorders>
            <w:shd w:val="clear" w:color="auto" w:fill="auto"/>
            <w:noWrap/>
            <w:vAlign w:val="bottom"/>
            <w:hideMark/>
          </w:tcPr>
          <w:p w14:paraId="3B1E521F"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 </w:t>
            </w:r>
          </w:p>
        </w:tc>
      </w:tr>
      <w:tr w:rsidR="00C20B53" w:rsidRPr="0026310B" w14:paraId="460FE089" w14:textId="77777777" w:rsidTr="007B389F">
        <w:trPr>
          <w:trHeight w:val="300"/>
        </w:trPr>
        <w:tc>
          <w:tcPr>
            <w:tcW w:w="0" w:type="auto"/>
            <w:tcBorders>
              <w:top w:val="nil"/>
              <w:left w:val="nil"/>
              <w:bottom w:val="nil"/>
              <w:right w:val="nil"/>
            </w:tcBorders>
            <w:shd w:val="clear" w:color="auto" w:fill="auto"/>
            <w:noWrap/>
            <w:vAlign w:val="center"/>
            <w:hideMark/>
          </w:tcPr>
          <w:p w14:paraId="05AC6FF7" w14:textId="77777777" w:rsidR="00C20B53" w:rsidRPr="0026310B" w:rsidRDefault="00C20B53" w:rsidP="0026310B">
            <w:pPr>
              <w:tabs>
                <w:tab w:val="left" w:pos="4052"/>
              </w:tabs>
              <w:rPr>
                <w:rFonts w:ascii="Arial" w:hAnsi="Arial" w:cs="Arial"/>
                <w:b/>
                <w:bCs/>
                <w:sz w:val="24"/>
                <w:szCs w:val="24"/>
                <w:lang w:val="en-US"/>
              </w:rPr>
            </w:pPr>
          </w:p>
        </w:tc>
        <w:tc>
          <w:tcPr>
            <w:tcW w:w="0" w:type="auto"/>
            <w:tcBorders>
              <w:top w:val="nil"/>
              <w:left w:val="nil"/>
              <w:bottom w:val="single" w:sz="4" w:space="0" w:color="auto"/>
              <w:right w:val="nil"/>
            </w:tcBorders>
            <w:shd w:val="clear" w:color="auto" w:fill="auto"/>
            <w:noWrap/>
            <w:vAlign w:val="center"/>
            <w:hideMark/>
          </w:tcPr>
          <w:p w14:paraId="43500603"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Unknown#</w:t>
            </w:r>
          </w:p>
        </w:tc>
        <w:tc>
          <w:tcPr>
            <w:tcW w:w="0" w:type="auto"/>
            <w:tcBorders>
              <w:top w:val="nil"/>
              <w:left w:val="nil"/>
              <w:bottom w:val="single" w:sz="4" w:space="0" w:color="auto"/>
              <w:right w:val="nil"/>
            </w:tcBorders>
            <w:shd w:val="clear" w:color="auto" w:fill="auto"/>
            <w:noWrap/>
            <w:vAlign w:val="center"/>
            <w:hideMark/>
          </w:tcPr>
          <w:p w14:paraId="70036C2A"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Synergistetes</w:t>
            </w:r>
            <w:proofErr w:type="spellEnd"/>
            <w:r w:rsidRPr="0026310B">
              <w:rPr>
                <w:rFonts w:ascii="Arial" w:hAnsi="Arial" w:cs="Arial"/>
                <w:b/>
                <w:bCs/>
                <w:sz w:val="24"/>
                <w:szCs w:val="24"/>
                <w:lang w:val="en-US"/>
              </w:rPr>
              <w:t>#</w:t>
            </w:r>
          </w:p>
        </w:tc>
        <w:tc>
          <w:tcPr>
            <w:tcW w:w="0" w:type="auto"/>
            <w:tcBorders>
              <w:top w:val="nil"/>
              <w:left w:val="nil"/>
              <w:bottom w:val="single" w:sz="4" w:space="0" w:color="auto"/>
              <w:right w:val="nil"/>
            </w:tcBorders>
            <w:shd w:val="clear" w:color="auto" w:fill="auto"/>
            <w:noWrap/>
            <w:vAlign w:val="center"/>
            <w:hideMark/>
          </w:tcPr>
          <w:p w14:paraId="4E59879C"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Euryarchaeota</w:t>
            </w:r>
            <w:proofErr w:type="spellEnd"/>
            <w:r w:rsidRPr="0026310B">
              <w:rPr>
                <w:rFonts w:ascii="Arial" w:hAnsi="Arial" w:cs="Arial"/>
                <w:b/>
                <w:bCs/>
                <w:sz w:val="24"/>
                <w:szCs w:val="24"/>
                <w:lang w:val="en-US"/>
              </w:rPr>
              <w:t>#</w:t>
            </w:r>
          </w:p>
        </w:tc>
        <w:tc>
          <w:tcPr>
            <w:tcW w:w="0" w:type="auto"/>
            <w:tcBorders>
              <w:top w:val="nil"/>
              <w:left w:val="nil"/>
              <w:bottom w:val="single" w:sz="4" w:space="0" w:color="auto"/>
              <w:right w:val="nil"/>
            </w:tcBorders>
            <w:shd w:val="clear" w:color="auto" w:fill="auto"/>
            <w:noWrap/>
            <w:vAlign w:val="center"/>
            <w:hideMark/>
          </w:tcPr>
          <w:p w14:paraId="5BB44B5B"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Firmicutes</w:t>
            </w:r>
          </w:p>
        </w:tc>
        <w:tc>
          <w:tcPr>
            <w:tcW w:w="0" w:type="auto"/>
            <w:tcBorders>
              <w:top w:val="nil"/>
              <w:left w:val="nil"/>
              <w:bottom w:val="single" w:sz="4" w:space="0" w:color="auto"/>
              <w:right w:val="nil"/>
            </w:tcBorders>
            <w:shd w:val="clear" w:color="auto" w:fill="auto"/>
            <w:noWrap/>
            <w:vAlign w:val="center"/>
            <w:hideMark/>
          </w:tcPr>
          <w:p w14:paraId="2EBBBA2D"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Bacteroide-</w:t>
            </w:r>
          </w:p>
          <w:p w14:paraId="72E21B33"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tes</w:t>
            </w:r>
            <w:proofErr w:type="spellEnd"/>
          </w:p>
        </w:tc>
        <w:tc>
          <w:tcPr>
            <w:tcW w:w="0" w:type="auto"/>
            <w:tcBorders>
              <w:top w:val="nil"/>
              <w:left w:val="nil"/>
              <w:bottom w:val="single" w:sz="4" w:space="0" w:color="auto"/>
              <w:right w:val="nil"/>
            </w:tcBorders>
            <w:shd w:val="clear" w:color="auto" w:fill="auto"/>
            <w:noWrap/>
            <w:vAlign w:val="center"/>
            <w:hideMark/>
          </w:tcPr>
          <w:p w14:paraId="673A5EF9"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Proteobac</w:t>
            </w:r>
            <w:proofErr w:type="spellEnd"/>
            <w:r w:rsidRPr="0026310B">
              <w:rPr>
                <w:rFonts w:ascii="Arial" w:hAnsi="Arial" w:cs="Arial"/>
                <w:b/>
                <w:bCs/>
                <w:sz w:val="24"/>
                <w:szCs w:val="24"/>
                <w:lang w:val="en-US"/>
              </w:rPr>
              <w:t>-</w:t>
            </w:r>
          </w:p>
          <w:p w14:paraId="455A6294"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teria</w:t>
            </w:r>
            <w:proofErr w:type="spellEnd"/>
          </w:p>
        </w:tc>
        <w:tc>
          <w:tcPr>
            <w:tcW w:w="0" w:type="auto"/>
            <w:tcBorders>
              <w:top w:val="nil"/>
              <w:left w:val="nil"/>
              <w:bottom w:val="single" w:sz="4" w:space="0" w:color="auto"/>
              <w:right w:val="nil"/>
            </w:tcBorders>
            <w:shd w:val="clear" w:color="auto" w:fill="auto"/>
            <w:noWrap/>
            <w:vAlign w:val="center"/>
            <w:hideMark/>
          </w:tcPr>
          <w:p w14:paraId="3784A5BA" w14:textId="77777777" w:rsidR="00C20B53" w:rsidRPr="0026310B" w:rsidRDefault="00C20B53" w:rsidP="0026310B">
            <w:pPr>
              <w:tabs>
                <w:tab w:val="left" w:pos="4052"/>
              </w:tabs>
              <w:rPr>
                <w:rFonts w:ascii="Arial" w:hAnsi="Arial" w:cs="Arial"/>
                <w:b/>
                <w:bCs/>
                <w:sz w:val="24"/>
                <w:szCs w:val="24"/>
                <w:lang w:val="en-US"/>
              </w:rPr>
            </w:pPr>
            <w:r w:rsidRPr="0026310B">
              <w:rPr>
                <w:rFonts w:ascii="Arial" w:hAnsi="Arial" w:cs="Arial"/>
                <w:b/>
                <w:bCs/>
                <w:sz w:val="24"/>
                <w:szCs w:val="24"/>
                <w:lang w:val="en-US"/>
              </w:rPr>
              <w:t>Spirochaetes#</w:t>
            </w:r>
          </w:p>
        </w:tc>
        <w:tc>
          <w:tcPr>
            <w:tcW w:w="0" w:type="auto"/>
            <w:tcBorders>
              <w:top w:val="nil"/>
              <w:left w:val="nil"/>
              <w:bottom w:val="single" w:sz="4" w:space="0" w:color="auto"/>
              <w:right w:val="nil"/>
            </w:tcBorders>
            <w:shd w:val="clear" w:color="auto" w:fill="auto"/>
            <w:noWrap/>
            <w:vAlign w:val="center"/>
            <w:hideMark/>
          </w:tcPr>
          <w:p w14:paraId="76D6A1DD"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Actinobac</w:t>
            </w:r>
            <w:proofErr w:type="spellEnd"/>
            <w:r w:rsidRPr="0026310B">
              <w:rPr>
                <w:rFonts w:ascii="Arial" w:hAnsi="Arial" w:cs="Arial"/>
                <w:b/>
                <w:bCs/>
                <w:sz w:val="24"/>
                <w:szCs w:val="24"/>
                <w:lang w:val="en-US"/>
              </w:rPr>
              <w:t>-</w:t>
            </w:r>
          </w:p>
          <w:p w14:paraId="230C9E90"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teria</w:t>
            </w:r>
            <w:proofErr w:type="spellEnd"/>
            <w:r w:rsidRPr="0026310B">
              <w:rPr>
                <w:rFonts w:ascii="Arial" w:hAnsi="Arial" w:cs="Arial"/>
                <w:b/>
                <w:bCs/>
                <w:sz w:val="24"/>
                <w:szCs w:val="24"/>
                <w:lang w:val="en-US"/>
              </w:rPr>
              <w:t>#</w:t>
            </w:r>
          </w:p>
        </w:tc>
        <w:tc>
          <w:tcPr>
            <w:tcW w:w="1354" w:type="dxa"/>
            <w:tcBorders>
              <w:top w:val="nil"/>
              <w:left w:val="nil"/>
              <w:bottom w:val="single" w:sz="4" w:space="0" w:color="auto"/>
              <w:right w:val="nil"/>
            </w:tcBorders>
            <w:shd w:val="clear" w:color="auto" w:fill="auto"/>
            <w:noWrap/>
            <w:vAlign w:val="center"/>
            <w:hideMark/>
          </w:tcPr>
          <w:p w14:paraId="362BB6C8" w14:textId="77777777" w:rsidR="00C20B53" w:rsidRPr="0026310B" w:rsidRDefault="00C20B53" w:rsidP="0026310B">
            <w:pPr>
              <w:tabs>
                <w:tab w:val="left" w:pos="4052"/>
              </w:tabs>
              <w:rPr>
                <w:rFonts w:ascii="Arial" w:hAnsi="Arial" w:cs="Arial"/>
                <w:b/>
                <w:bCs/>
                <w:sz w:val="24"/>
                <w:szCs w:val="24"/>
                <w:lang w:val="en-US"/>
              </w:rPr>
            </w:pPr>
            <w:proofErr w:type="spellStart"/>
            <w:r w:rsidRPr="0026310B">
              <w:rPr>
                <w:rFonts w:ascii="Arial" w:hAnsi="Arial" w:cs="Arial"/>
                <w:b/>
                <w:bCs/>
                <w:sz w:val="24"/>
                <w:szCs w:val="24"/>
                <w:lang w:val="en-US"/>
              </w:rPr>
              <w:t>Tenericutes</w:t>
            </w:r>
            <w:proofErr w:type="spellEnd"/>
            <w:r w:rsidRPr="0026310B">
              <w:rPr>
                <w:rFonts w:ascii="Arial" w:hAnsi="Arial" w:cs="Arial"/>
                <w:b/>
                <w:bCs/>
                <w:sz w:val="24"/>
                <w:szCs w:val="24"/>
                <w:lang w:val="en-US"/>
              </w:rPr>
              <w:t>#</w:t>
            </w:r>
          </w:p>
        </w:tc>
      </w:tr>
      <w:tr w:rsidR="00C20B53" w:rsidRPr="00743A17" w14:paraId="25F46D09" w14:textId="77777777" w:rsidTr="007B389F">
        <w:trPr>
          <w:trHeight w:val="300"/>
        </w:trPr>
        <w:tc>
          <w:tcPr>
            <w:tcW w:w="0" w:type="auto"/>
            <w:tcBorders>
              <w:top w:val="nil"/>
              <w:left w:val="nil"/>
              <w:bottom w:val="nil"/>
              <w:right w:val="nil"/>
            </w:tcBorders>
            <w:shd w:val="clear" w:color="auto" w:fill="auto"/>
            <w:noWrap/>
            <w:vAlign w:val="center"/>
            <w:hideMark/>
          </w:tcPr>
          <w:p w14:paraId="6A25C55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Control    </w:t>
            </w:r>
          </w:p>
        </w:tc>
        <w:tc>
          <w:tcPr>
            <w:tcW w:w="0" w:type="auto"/>
            <w:tcBorders>
              <w:top w:val="nil"/>
              <w:left w:val="nil"/>
              <w:bottom w:val="nil"/>
              <w:right w:val="nil"/>
            </w:tcBorders>
            <w:shd w:val="clear" w:color="auto" w:fill="auto"/>
            <w:noWrap/>
            <w:vAlign w:val="center"/>
            <w:hideMark/>
          </w:tcPr>
          <w:p w14:paraId="461108E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5.6450</w:t>
            </w:r>
          </w:p>
        </w:tc>
        <w:tc>
          <w:tcPr>
            <w:tcW w:w="0" w:type="auto"/>
            <w:tcBorders>
              <w:top w:val="nil"/>
              <w:left w:val="nil"/>
              <w:bottom w:val="nil"/>
              <w:right w:val="nil"/>
            </w:tcBorders>
            <w:shd w:val="clear" w:color="auto" w:fill="auto"/>
            <w:noWrap/>
            <w:vAlign w:val="center"/>
            <w:hideMark/>
          </w:tcPr>
          <w:p w14:paraId="168E6AE5"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0.0285</w:t>
            </w:r>
          </w:p>
        </w:tc>
        <w:tc>
          <w:tcPr>
            <w:tcW w:w="0" w:type="auto"/>
            <w:tcBorders>
              <w:top w:val="nil"/>
              <w:left w:val="nil"/>
              <w:bottom w:val="nil"/>
              <w:right w:val="nil"/>
            </w:tcBorders>
            <w:shd w:val="clear" w:color="auto" w:fill="auto"/>
            <w:noWrap/>
            <w:vAlign w:val="center"/>
            <w:hideMark/>
          </w:tcPr>
          <w:p w14:paraId="70A78DC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0.4773</w:t>
            </w:r>
          </w:p>
        </w:tc>
        <w:tc>
          <w:tcPr>
            <w:tcW w:w="0" w:type="auto"/>
            <w:tcBorders>
              <w:top w:val="nil"/>
              <w:left w:val="nil"/>
              <w:bottom w:val="nil"/>
              <w:right w:val="nil"/>
            </w:tcBorders>
            <w:shd w:val="clear" w:color="auto" w:fill="auto"/>
            <w:noWrap/>
            <w:vAlign w:val="center"/>
            <w:hideMark/>
          </w:tcPr>
          <w:p w14:paraId="66F7338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28.4750</w:t>
            </w:r>
          </w:p>
        </w:tc>
        <w:tc>
          <w:tcPr>
            <w:tcW w:w="0" w:type="auto"/>
            <w:tcBorders>
              <w:top w:val="nil"/>
              <w:left w:val="nil"/>
              <w:bottom w:val="nil"/>
              <w:right w:val="nil"/>
            </w:tcBorders>
            <w:shd w:val="clear" w:color="auto" w:fill="auto"/>
            <w:noWrap/>
            <w:vAlign w:val="center"/>
            <w:hideMark/>
          </w:tcPr>
          <w:p w14:paraId="347FD3D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49.7750</w:t>
            </w:r>
          </w:p>
        </w:tc>
        <w:tc>
          <w:tcPr>
            <w:tcW w:w="0" w:type="auto"/>
            <w:tcBorders>
              <w:top w:val="nil"/>
              <w:left w:val="nil"/>
              <w:bottom w:val="nil"/>
              <w:right w:val="nil"/>
            </w:tcBorders>
            <w:shd w:val="clear" w:color="auto" w:fill="auto"/>
            <w:noWrap/>
            <w:vAlign w:val="center"/>
            <w:hideMark/>
          </w:tcPr>
          <w:p w14:paraId="26EE181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13.6000</w:t>
            </w:r>
          </w:p>
        </w:tc>
        <w:tc>
          <w:tcPr>
            <w:tcW w:w="0" w:type="auto"/>
            <w:tcBorders>
              <w:top w:val="nil"/>
              <w:left w:val="nil"/>
              <w:bottom w:val="nil"/>
              <w:right w:val="nil"/>
            </w:tcBorders>
            <w:shd w:val="clear" w:color="auto" w:fill="auto"/>
            <w:noWrap/>
            <w:vAlign w:val="center"/>
            <w:hideMark/>
          </w:tcPr>
          <w:p w14:paraId="171E6340"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1.3700</w:t>
            </w:r>
          </w:p>
        </w:tc>
        <w:tc>
          <w:tcPr>
            <w:tcW w:w="0" w:type="auto"/>
            <w:tcBorders>
              <w:top w:val="nil"/>
              <w:left w:val="nil"/>
              <w:bottom w:val="nil"/>
              <w:right w:val="nil"/>
            </w:tcBorders>
            <w:shd w:val="clear" w:color="auto" w:fill="auto"/>
            <w:noWrap/>
            <w:vAlign w:val="center"/>
            <w:hideMark/>
          </w:tcPr>
          <w:p w14:paraId="03D259A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0.0150</w:t>
            </w:r>
          </w:p>
        </w:tc>
        <w:tc>
          <w:tcPr>
            <w:tcW w:w="1354" w:type="dxa"/>
            <w:tcBorders>
              <w:top w:val="nil"/>
              <w:left w:val="nil"/>
              <w:bottom w:val="nil"/>
              <w:right w:val="nil"/>
            </w:tcBorders>
            <w:shd w:val="clear" w:color="auto" w:fill="auto"/>
            <w:noWrap/>
            <w:vAlign w:val="center"/>
            <w:hideMark/>
          </w:tcPr>
          <w:p w14:paraId="37C544FD"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0.1683</w:t>
            </w:r>
          </w:p>
        </w:tc>
      </w:tr>
      <w:tr w:rsidR="00C20B53" w:rsidRPr="00743A17" w14:paraId="403F85EF" w14:textId="77777777" w:rsidTr="007B389F">
        <w:trPr>
          <w:trHeight w:val="300"/>
        </w:trPr>
        <w:tc>
          <w:tcPr>
            <w:tcW w:w="0" w:type="auto"/>
            <w:tcBorders>
              <w:top w:val="nil"/>
              <w:left w:val="nil"/>
              <w:bottom w:val="nil"/>
              <w:right w:val="nil"/>
            </w:tcBorders>
            <w:shd w:val="clear" w:color="auto" w:fill="auto"/>
            <w:noWrap/>
            <w:vAlign w:val="center"/>
            <w:hideMark/>
          </w:tcPr>
          <w:p w14:paraId="2D07C4EB"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Cu-MHAC</w:t>
            </w:r>
          </w:p>
        </w:tc>
        <w:tc>
          <w:tcPr>
            <w:tcW w:w="0" w:type="auto"/>
            <w:tcBorders>
              <w:top w:val="nil"/>
              <w:left w:val="nil"/>
              <w:bottom w:val="nil"/>
              <w:right w:val="nil"/>
            </w:tcBorders>
            <w:shd w:val="clear" w:color="auto" w:fill="auto"/>
            <w:noWrap/>
            <w:vAlign w:val="center"/>
            <w:hideMark/>
          </w:tcPr>
          <w:p w14:paraId="1E1A2C4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5.1050</w:t>
            </w:r>
          </w:p>
        </w:tc>
        <w:tc>
          <w:tcPr>
            <w:tcW w:w="0" w:type="auto"/>
            <w:tcBorders>
              <w:top w:val="nil"/>
              <w:left w:val="nil"/>
              <w:bottom w:val="nil"/>
              <w:right w:val="nil"/>
            </w:tcBorders>
            <w:shd w:val="clear" w:color="auto" w:fill="auto"/>
            <w:noWrap/>
            <w:vAlign w:val="center"/>
            <w:hideMark/>
          </w:tcPr>
          <w:p w14:paraId="6D20C55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0.0248</w:t>
            </w:r>
          </w:p>
        </w:tc>
        <w:tc>
          <w:tcPr>
            <w:tcW w:w="0" w:type="auto"/>
            <w:tcBorders>
              <w:top w:val="nil"/>
              <w:left w:val="nil"/>
              <w:bottom w:val="nil"/>
              <w:right w:val="nil"/>
            </w:tcBorders>
            <w:shd w:val="clear" w:color="auto" w:fill="auto"/>
            <w:noWrap/>
            <w:vAlign w:val="center"/>
            <w:hideMark/>
          </w:tcPr>
          <w:p w14:paraId="1D4004A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0.1636</w:t>
            </w:r>
          </w:p>
        </w:tc>
        <w:tc>
          <w:tcPr>
            <w:tcW w:w="0" w:type="auto"/>
            <w:tcBorders>
              <w:top w:val="nil"/>
              <w:left w:val="nil"/>
              <w:bottom w:val="nil"/>
              <w:right w:val="nil"/>
            </w:tcBorders>
            <w:shd w:val="clear" w:color="auto" w:fill="auto"/>
            <w:noWrap/>
            <w:vAlign w:val="center"/>
            <w:hideMark/>
          </w:tcPr>
          <w:p w14:paraId="3C00722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31.0000</w:t>
            </w:r>
          </w:p>
        </w:tc>
        <w:tc>
          <w:tcPr>
            <w:tcW w:w="0" w:type="auto"/>
            <w:tcBorders>
              <w:top w:val="nil"/>
              <w:left w:val="nil"/>
              <w:bottom w:val="nil"/>
              <w:right w:val="nil"/>
            </w:tcBorders>
            <w:shd w:val="clear" w:color="auto" w:fill="auto"/>
            <w:noWrap/>
            <w:vAlign w:val="center"/>
            <w:hideMark/>
          </w:tcPr>
          <w:p w14:paraId="782763E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50.9500</w:t>
            </w:r>
          </w:p>
        </w:tc>
        <w:tc>
          <w:tcPr>
            <w:tcW w:w="0" w:type="auto"/>
            <w:tcBorders>
              <w:top w:val="nil"/>
              <w:left w:val="nil"/>
              <w:bottom w:val="nil"/>
              <w:right w:val="nil"/>
            </w:tcBorders>
            <w:shd w:val="clear" w:color="auto" w:fill="auto"/>
            <w:noWrap/>
            <w:vAlign w:val="center"/>
            <w:hideMark/>
          </w:tcPr>
          <w:p w14:paraId="1A30A82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11.3950</w:t>
            </w:r>
          </w:p>
        </w:tc>
        <w:tc>
          <w:tcPr>
            <w:tcW w:w="0" w:type="auto"/>
            <w:tcBorders>
              <w:top w:val="nil"/>
              <w:left w:val="nil"/>
              <w:bottom w:val="nil"/>
              <w:right w:val="nil"/>
            </w:tcBorders>
            <w:shd w:val="clear" w:color="auto" w:fill="auto"/>
            <w:noWrap/>
            <w:vAlign w:val="center"/>
            <w:hideMark/>
          </w:tcPr>
          <w:p w14:paraId="57AFB729"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0.9325</w:t>
            </w:r>
          </w:p>
        </w:tc>
        <w:tc>
          <w:tcPr>
            <w:tcW w:w="0" w:type="auto"/>
            <w:tcBorders>
              <w:top w:val="nil"/>
              <w:left w:val="nil"/>
              <w:bottom w:val="nil"/>
              <w:right w:val="nil"/>
            </w:tcBorders>
            <w:shd w:val="clear" w:color="auto" w:fill="auto"/>
            <w:noWrap/>
            <w:vAlign w:val="center"/>
            <w:hideMark/>
          </w:tcPr>
          <w:p w14:paraId="0B12755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0.0329</w:t>
            </w:r>
          </w:p>
        </w:tc>
        <w:tc>
          <w:tcPr>
            <w:tcW w:w="1354" w:type="dxa"/>
            <w:tcBorders>
              <w:top w:val="nil"/>
              <w:left w:val="nil"/>
              <w:bottom w:val="nil"/>
              <w:right w:val="nil"/>
            </w:tcBorders>
            <w:shd w:val="clear" w:color="auto" w:fill="auto"/>
            <w:noWrap/>
            <w:vAlign w:val="center"/>
            <w:hideMark/>
          </w:tcPr>
          <w:p w14:paraId="5E2B5A99"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0.1296</w:t>
            </w:r>
          </w:p>
        </w:tc>
      </w:tr>
      <w:tr w:rsidR="00C20B53" w:rsidRPr="00743A17" w14:paraId="55DDD390" w14:textId="77777777" w:rsidTr="007B389F">
        <w:trPr>
          <w:trHeight w:val="300"/>
        </w:trPr>
        <w:tc>
          <w:tcPr>
            <w:tcW w:w="0" w:type="auto"/>
            <w:tcBorders>
              <w:top w:val="nil"/>
              <w:left w:val="nil"/>
              <w:bottom w:val="nil"/>
              <w:right w:val="nil"/>
            </w:tcBorders>
            <w:shd w:val="clear" w:color="auto" w:fill="auto"/>
            <w:noWrap/>
            <w:vAlign w:val="center"/>
            <w:hideMark/>
          </w:tcPr>
          <w:p w14:paraId="6002004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CuSO4     </w:t>
            </w:r>
          </w:p>
        </w:tc>
        <w:tc>
          <w:tcPr>
            <w:tcW w:w="0" w:type="auto"/>
            <w:tcBorders>
              <w:top w:val="nil"/>
              <w:left w:val="nil"/>
              <w:bottom w:val="nil"/>
              <w:right w:val="nil"/>
            </w:tcBorders>
            <w:shd w:val="clear" w:color="auto" w:fill="auto"/>
            <w:noWrap/>
            <w:vAlign w:val="center"/>
            <w:hideMark/>
          </w:tcPr>
          <w:p w14:paraId="47D2B269"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4.0050</w:t>
            </w:r>
          </w:p>
        </w:tc>
        <w:tc>
          <w:tcPr>
            <w:tcW w:w="0" w:type="auto"/>
            <w:tcBorders>
              <w:top w:val="nil"/>
              <w:left w:val="nil"/>
              <w:bottom w:val="nil"/>
              <w:right w:val="nil"/>
            </w:tcBorders>
            <w:shd w:val="clear" w:color="auto" w:fill="auto"/>
            <w:noWrap/>
            <w:vAlign w:val="center"/>
            <w:hideMark/>
          </w:tcPr>
          <w:p w14:paraId="79134C9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0.0463</w:t>
            </w:r>
          </w:p>
        </w:tc>
        <w:tc>
          <w:tcPr>
            <w:tcW w:w="0" w:type="auto"/>
            <w:tcBorders>
              <w:top w:val="nil"/>
              <w:left w:val="nil"/>
              <w:bottom w:val="nil"/>
              <w:right w:val="nil"/>
            </w:tcBorders>
            <w:shd w:val="clear" w:color="auto" w:fill="auto"/>
            <w:noWrap/>
            <w:vAlign w:val="center"/>
            <w:hideMark/>
          </w:tcPr>
          <w:p w14:paraId="746D627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0.3235</w:t>
            </w:r>
          </w:p>
        </w:tc>
        <w:tc>
          <w:tcPr>
            <w:tcW w:w="0" w:type="auto"/>
            <w:tcBorders>
              <w:top w:val="nil"/>
              <w:left w:val="nil"/>
              <w:bottom w:val="nil"/>
              <w:right w:val="nil"/>
            </w:tcBorders>
            <w:shd w:val="clear" w:color="auto" w:fill="auto"/>
            <w:noWrap/>
            <w:vAlign w:val="center"/>
            <w:hideMark/>
          </w:tcPr>
          <w:p w14:paraId="2368538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31.1000</w:t>
            </w:r>
          </w:p>
        </w:tc>
        <w:tc>
          <w:tcPr>
            <w:tcW w:w="0" w:type="auto"/>
            <w:tcBorders>
              <w:top w:val="nil"/>
              <w:left w:val="nil"/>
              <w:bottom w:val="nil"/>
              <w:right w:val="nil"/>
            </w:tcBorders>
            <w:shd w:val="clear" w:color="auto" w:fill="auto"/>
            <w:noWrap/>
            <w:vAlign w:val="center"/>
            <w:hideMark/>
          </w:tcPr>
          <w:p w14:paraId="7458BD66"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47.9750</w:t>
            </w:r>
          </w:p>
        </w:tc>
        <w:tc>
          <w:tcPr>
            <w:tcW w:w="0" w:type="auto"/>
            <w:tcBorders>
              <w:top w:val="nil"/>
              <w:left w:val="nil"/>
              <w:bottom w:val="nil"/>
              <w:right w:val="nil"/>
            </w:tcBorders>
            <w:shd w:val="clear" w:color="auto" w:fill="auto"/>
            <w:noWrap/>
            <w:vAlign w:val="center"/>
            <w:hideMark/>
          </w:tcPr>
          <w:p w14:paraId="0B66F91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13.6175</w:t>
            </w:r>
          </w:p>
        </w:tc>
        <w:tc>
          <w:tcPr>
            <w:tcW w:w="0" w:type="auto"/>
            <w:tcBorders>
              <w:top w:val="nil"/>
              <w:left w:val="nil"/>
              <w:bottom w:val="nil"/>
              <w:right w:val="nil"/>
            </w:tcBorders>
            <w:shd w:val="clear" w:color="auto" w:fill="auto"/>
            <w:noWrap/>
            <w:vAlign w:val="center"/>
            <w:hideMark/>
          </w:tcPr>
          <w:p w14:paraId="086E3409"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1.8150</w:t>
            </w:r>
          </w:p>
        </w:tc>
        <w:tc>
          <w:tcPr>
            <w:tcW w:w="0" w:type="auto"/>
            <w:tcBorders>
              <w:top w:val="nil"/>
              <w:left w:val="nil"/>
              <w:bottom w:val="nil"/>
              <w:right w:val="nil"/>
            </w:tcBorders>
            <w:shd w:val="clear" w:color="auto" w:fill="auto"/>
            <w:noWrap/>
            <w:vAlign w:val="center"/>
            <w:hideMark/>
          </w:tcPr>
          <w:p w14:paraId="06CEE07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0.0205</w:t>
            </w:r>
          </w:p>
        </w:tc>
        <w:tc>
          <w:tcPr>
            <w:tcW w:w="1354" w:type="dxa"/>
            <w:tcBorders>
              <w:top w:val="nil"/>
              <w:left w:val="nil"/>
              <w:bottom w:val="nil"/>
              <w:right w:val="nil"/>
            </w:tcBorders>
            <w:shd w:val="clear" w:color="auto" w:fill="auto"/>
            <w:noWrap/>
            <w:vAlign w:val="center"/>
            <w:hideMark/>
          </w:tcPr>
          <w:p w14:paraId="4986DD1F"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0.1384</w:t>
            </w:r>
          </w:p>
        </w:tc>
      </w:tr>
      <w:tr w:rsidR="00C20B53" w:rsidRPr="00743A17" w14:paraId="4F5FC9F6" w14:textId="77777777" w:rsidTr="007B389F">
        <w:trPr>
          <w:trHeight w:val="300"/>
        </w:trPr>
        <w:tc>
          <w:tcPr>
            <w:tcW w:w="0" w:type="auto"/>
            <w:tcBorders>
              <w:top w:val="nil"/>
              <w:left w:val="nil"/>
              <w:bottom w:val="single" w:sz="4" w:space="0" w:color="auto"/>
              <w:right w:val="nil"/>
            </w:tcBorders>
            <w:shd w:val="clear" w:color="auto" w:fill="auto"/>
            <w:noWrap/>
            <w:vAlign w:val="center"/>
            <w:hideMark/>
          </w:tcPr>
          <w:p w14:paraId="3A0A2B55"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TBCC        </w:t>
            </w:r>
          </w:p>
        </w:tc>
        <w:tc>
          <w:tcPr>
            <w:tcW w:w="0" w:type="auto"/>
            <w:tcBorders>
              <w:top w:val="nil"/>
              <w:left w:val="nil"/>
              <w:bottom w:val="single" w:sz="4" w:space="0" w:color="auto"/>
              <w:right w:val="nil"/>
            </w:tcBorders>
            <w:shd w:val="clear" w:color="auto" w:fill="auto"/>
            <w:noWrap/>
            <w:vAlign w:val="center"/>
            <w:hideMark/>
          </w:tcPr>
          <w:p w14:paraId="332D248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3.2750</w:t>
            </w:r>
          </w:p>
        </w:tc>
        <w:tc>
          <w:tcPr>
            <w:tcW w:w="0" w:type="auto"/>
            <w:tcBorders>
              <w:top w:val="nil"/>
              <w:left w:val="nil"/>
              <w:bottom w:val="single" w:sz="4" w:space="0" w:color="auto"/>
              <w:right w:val="nil"/>
            </w:tcBorders>
            <w:shd w:val="clear" w:color="auto" w:fill="auto"/>
            <w:noWrap/>
            <w:vAlign w:val="center"/>
            <w:hideMark/>
          </w:tcPr>
          <w:p w14:paraId="65E0632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0.0184</w:t>
            </w:r>
          </w:p>
        </w:tc>
        <w:tc>
          <w:tcPr>
            <w:tcW w:w="0" w:type="auto"/>
            <w:tcBorders>
              <w:top w:val="nil"/>
              <w:left w:val="nil"/>
              <w:bottom w:val="single" w:sz="4" w:space="0" w:color="auto"/>
              <w:right w:val="nil"/>
            </w:tcBorders>
            <w:shd w:val="clear" w:color="auto" w:fill="auto"/>
            <w:noWrap/>
            <w:vAlign w:val="center"/>
            <w:hideMark/>
          </w:tcPr>
          <w:p w14:paraId="6C47D96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0.2636</w:t>
            </w:r>
          </w:p>
        </w:tc>
        <w:tc>
          <w:tcPr>
            <w:tcW w:w="0" w:type="auto"/>
            <w:tcBorders>
              <w:top w:val="nil"/>
              <w:left w:val="nil"/>
              <w:bottom w:val="single" w:sz="4" w:space="0" w:color="auto"/>
              <w:right w:val="nil"/>
            </w:tcBorders>
            <w:shd w:val="clear" w:color="auto" w:fill="auto"/>
            <w:noWrap/>
            <w:vAlign w:val="center"/>
            <w:hideMark/>
          </w:tcPr>
          <w:p w14:paraId="1B6B49C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29.3750</w:t>
            </w:r>
          </w:p>
        </w:tc>
        <w:tc>
          <w:tcPr>
            <w:tcW w:w="0" w:type="auto"/>
            <w:tcBorders>
              <w:top w:val="nil"/>
              <w:left w:val="nil"/>
              <w:bottom w:val="single" w:sz="4" w:space="0" w:color="auto"/>
              <w:right w:val="nil"/>
            </w:tcBorders>
            <w:shd w:val="clear" w:color="auto" w:fill="auto"/>
            <w:noWrap/>
            <w:vAlign w:val="center"/>
            <w:hideMark/>
          </w:tcPr>
          <w:p w14:paraId="7DF98A7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48.8750</w:t>
            </w:r>
          </w:p>
        </w:tc>
        <w:tc>
          <w:tcPr>
            <w:tcW w:w="0" w:type="auto"/>
            <w:tcBorders>
              <w:top w:val="nil"/>
              <w:left w:val="nil"/>
              <w:bottom w:val="single" w:sz="4" w:space="0" w:color="auto"/>
              <w:right w:val="nil"/>
            </w:tcBorders>
            <w:shd w:val="clear" w:color="auto" w:fill="auto"/>
            <w:noWrap/>
            <w:vAlign w:val="center"/>
            <w:hideMark/>
          </w:tcPr>
          <w:p w14:paraId="6942D6A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15.3500</w:t>
            </w:r>
          </w:p>
        </w:tc>
        <w:tc>
          <w:tcPr>
            <w:tcW w:w="0" w:type="auto"/>
            <w:tcBorders>
              <w:top w:val="nil"/>
              <w:left w:val="nil"/>
              <w:bottom w:val="single" w:sz="4" w:space="0" w:color="auto"/>
              <w:right w:val="nil"/>
            </w:tcBorders>
            <w:shd w:val="clear" w:color="auto" w:fill="auto"/>
            <w:noWrap/>
            <w:vAlign w:val="center"/>
            <w:hideMark/>
          </w:tcPr>
          <w:p w14:paraId="44314DE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2.0775</w:t>
            </w:r>
          </w:p>
        </w:tc>
        <w:tc>
          <w:tcPr>
            <w:tcW w:w="0" w:type="auto"/>
            <w:tcBorders>
              <w:top w:val="nil"/>
              <w:left w:val="nil"/>
              <w:bottom w:val="single" w:sz="4" w:space="0" w:color="auto"/>
              <w:right w:val="nil"/>
            </w:tcBorders>
            <w:shd w:val="clear" w:color="auto" w:fill="auto"/>
            <w:noWrap/>
            <w:vAlign w:val="center"/>
            <w:hideMark/>
          </w:tcPr>
          <w:p w14:paraId="3285BE0E"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0.0248</w:t>
            </w:r>
          </w:p>
        </w:tc>
        <w:tc>
          <w:tcPr>
            <w:tcW w:w="1354" w:type="dxa"/>
            <w:tcBorders>
              <w:top w:val="nil"/>
              <w:left w:val="nil"/>
              <w:bottom w:val="single" w:sz="4" w:space="0" w:color="auto"/>
              <w:right w:val="nil"/>
            </w:tcBorders>
            <w:shd w:val="clear" w:color="auto" w:fill="auto"/>
            <w:noWrap/>
            <w:vAlign w:val="center"/>
            <w:hideMark/>
          </w:tcPr>
          <w:p w14:paraId="4FD8E897"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0.2036</w:t>
            </w:r>
          </w:p>
        </w:tc>
      </w:tr>
      <w:tr w:rsidR="00C20B53" w:rsidRPr="00743A17" w14:paraId="13521CDB" w14:textId="77777777" w:rsidTr="007B389F">
        <w:trPr>
          <w:trHeight w:val="300"/>
        </w:trPr>
        <w:tc>
          <w:tcPr>
            <w:tcW w:w="0" w:type="auto"/>
            <w:tcBorders>
              <w:top w:val="nil"/>
              <w:left w:val="nil"/>
              <w:bottom w:val="single" w:sz="4" w:space="0" w:color="auto"/>
              <w:right w:val="nil"/>
            </w:tcBorders>
            <w:shd w:val="clear" w:color="auto" w:fill="auto"/>
            <w:noWrap/>
            <w:vAlign w:val="center"/>
            <w:hideMark/>
          </w:tcPr>
          <w:p w14:paraId="28D3CBCB"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roofErr w:type="spellStart"/>
            <w:r w:rsidRPr="0026310B">
              <w:rPr>
                <w:rFonts w:ascii="Arial" w:eastAsia="Times New Roman" w:hAnsi="Arial" w:cs="Arial"/>
                <w:color w:val="000000"/>
                <w:sz w:val="24"/>
                <w:szCs w:val="24"/>
                <w:lang w:eastAsia="pt-BR"/>
              </w:rPr>
              <w:t>CVmean</w:t>
            </w:r>
            <w:proofErr w:type="spellEnd"/>
            <w:r w:rsidRPr="0026310B">
              <w:rPr>
                <w:rFonts w:ascii="Arial" w:eastAsia="Times New Roman" w:hAnsi="Arial" w:cs="Arial"/>
                <w:color w:val="000000"/>
                <w:sz w:val="24"/>
                <w:szCs w:val="24"/>
                <w:lang w:eastAsia="pt-BR"/>
              </w:rPr>
              <w:t xml:space="preserve"> (%)</w:t>
            </w:r>
          </w:p>
        </w:tc>
        <w:tc>
          <w:tcPr>
            <w:tcW w:w="0" w:type="auto"/>
            <w:tcBorders>
              <w:top w:val="nil"/>
              <w:left w:val="nil"/>
              <w:bottom w:val="single" w:sz="4" w:space="0" w:color="auto"/>
              <w:right w:val="nil"/>
            </w:tcBorders>
            <w:shd w:val="clear" w:color="auto" w:fill="auto"/>
            <w:noWrap/>
            <w:vAlign w:val="center"/>
            <w:hideMark/>
          </w:tcPr>
          <w:p w14:paraId="603DF406"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0.6001</w:t>
            </w:r>
          </w:p>
        </w:tc>
        <w:tc>
          <w:tcPr>
            <w:tcW w:w="0" w:type="auto"/>
            <w:tcBorders>
              <w:top w:val="nil"/>
              <w:left w:val="nil"/>
              <w:bottom w:val="single" w:sz="4" w:space="0" w:color="auto"/>
              <w:right w:val="nil"/>
            </w:tcBorders>
            <w:shd w:val="clear" w:color="auto" w:fill="auto"/>
            <w:noWrap/>
            <w:vAlign w:val="center"/>
            <w:hideMark/>
          </w:tcPr>
          <w:p w14:paraId="43C77CB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0.0083</w:t>
            </w:r>
          </w:p>
        </w:tc>
        <w:tc>
          <w:tcPr>
            <w:tcW w:w="0" w:type="auto"/>
            <w:tcBorders>
              <w:top w:val="nil"/>
              <w:left w:val="nil"/>
              <w:bottom w:val="single" w:sz="4" w:space="0" w:color="auto"/>
              <w:right w:val="nil"/>
            </w:tcBorders>
            <w:shd w:val="clear" w:color="auto" w:fill="auto"/>
            <w:noWrap/>
            <w:vAlign w:val="center"/>
            <w:hideMark/>
          </w:tcPr>
          <w:p w14:paraId="57097AC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0.1011</w:t>
            </w:r>
          </w:p>
        </w:tc>
        <w:tc>
          <w:tcPr>
            <w:tcW w:w="0" w:type="auto"/>
            <w:tcBorders>
              <w:top w:val="nil"/>
              <w:left w:val="nil"/>
              <w:bottom w:val="single" w:sz="4" w:space="0" w:color="auto"/>
              <w:right w:val="nil"/>
            </w:tcBorders>
            <w:shd w:val="clear" w:color="auto" w:fill="auto"/>
            <w:noWrap/>
            <w:vAlign w:val="center"/>
            <w:hideMark/>
          </w:tcPr>
          <w:p w14:paraId="21B945B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1.1702</w:t>
            </w:r>
          </w:p>
        </w:tc>
        <w:tc>
          <w:tcPr>
            <w:tcW w:w="0" w:type="auto"/>
            <w:tcBorders>
              <w:top w:val="nil"/>
              <w:left w:val="nil"/>
              <w:bottom w:val="single" w:sz="4" w:space="0" w:color="auto"/>
              <w:right w:val="nil"/>
            </w:tcBorders>
            <w:shd w:val="clear" w:color="auto" w:fill="auto"/>
            <w:noWrap/>
            <w:vAlign w:val="center"/>
            <w:hideMark/>
          </w:tcPr>
          <w:p w14:paraId="5BB47A9C"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1.3211</w:t>
            </w:r>
          </w:p>
        </w:tc>
        <w:tc>
          <w:tcPr>
            <w:tcW w:w="0" w:type="auto"/>
            <w:tcBorders>
              <w:top w:val="nil"/>
              <w:left w:val="nil"/>
              <w:bottom w:val="single" w:sz="4" w:space="0" w:color="auto"/>
              <w:right w:val="nil"/>
            </w:tcBorders>
            <w:shd w:val="clear" w:color="auto" w:fill="auto"/>
            <w:noWrap/>
            <w:vAlign w:val="center"/>
            <w:hideMark/>
          </w:tcPr>
          <w:p w14:paraId="35D0998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1.2255</w:t>
            </w:r>
          </w:p>
        </w:tc>
        <w:tc>
          <w:tcPr>
            <w:tcW w:w="0" w:type="auto"/>
            <w:tcBorders>
              <w:top w:val="nil"/>
              <w:left w:val="nil"/>
              <w:bottom w:val="single" w:sz="4" w:space="0" w:color="auto"/>
              <w:right w:val="nil"/>
            </w:tcBorders>
            <w:shd w:val="clear" w:color="auto" w:fill="auto"/>
            <w:noWrap/>
            <w:vAlign w:val="center"/>
            <w:hideMark/>
          </w:tcPr>
          <w:p w14:paraId="1E9F78C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0.4528</w:t>
            </w:r>
          </w:p>
        </w:tc>
        <w:tc>
          <w:tcPr>
            <w:tcW w:w="0" w:type="auto"/>
            <w:tcBorders>
              <w:top w:val="nil"/>
              <w:left w:val="nil"/>
              <w:bottom w:val="single" w:sz="4" w:space="0" w:color="auto"/>
              <w:right w:val="nil"/>
            </w:tcBorders>
            <w:shd w:val="clear" w:color="auto" w:fill="auto"/>
            <w:noWrap/>
            <w:vAlign w:val="center"/>
            <w:hideMark/>
          </w:tcPr>
          <w:p w14:paraId="66E88FB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0.0056</w:t>
            </w:r>
          </w:p>
        </w:tc>
        <w:tc>
          <w:tcPr>
            <w:tcW w:w="1354" w:type="dxa"/>
            <w:tcBorders>
              <w:top w:val="nil"/>
              <w:left w:val="nil"/>
              <w:bottom w:val="single" w:sz="4" w:space="0" w:color="auto"/>
              <w:right w:val="nil"/>
            </w:tcBorders>
            <w:shd w:val="clear" w:color="auto" w:fill="auto"/>
            <w:noWrap/>
            <w:vAlign w:val="center"/>
            <w:hideMark/>
          </w:tcPr>
          <w:p w14:paraId="02DDD572"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0.0690</w:t>
            </w:r>
          </w:p>
        </w:tc>
      </w:tr>
      <w:tr w:rsidR="00C20B53" w:rsidRPr="00743A17" w14:paraId="6D064B60" w14:textId="77777777" w:rsidTr="007B389F">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5029B801" w14:textId="77777777" w:rsidR="00C20B53" w:rsidRPr="0026310B" w:rsidRDefault="00C20B53" w:rsidP="0026310B">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P-value for ANOVA</w:t>
            </w:r>
          </w:p>
        </w:tc>
        <w:tc>
          <w:tcPr>
            <w:tcW w:w="0" w:type="auto"/>
            <w:tcBorders>
              <w:top w:val="single" w:sz="4" w:space="0" w:color="auto"/>
              <w:left w:val="nil"/>
              <w:bottom w:val="single" w:sz="4" w:space="0" w:color="auto"/>
              <w:right w:val="nil"/>
            </w:tcBorders>
            <w:shd w:val="clear" w:color="auto" w:fill="auto"/>
            <w:noWrap/>
            <w:vAlign w:val="center"/>
            <w:hideMark/>
          </w:tcPr>
          <w:p w14:paraId="6B84E2E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6402221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40E1D82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332DC17C"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7D6474CE"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11E1FCF9"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25B292E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0" w:type="auto"/>
            <w:tcBorders>
              <w:top w:val="single" w:sz="4" w:space="0" w:color="auto"/>
              <w:left w:val="nil"/>
              <w:bottom w:val="single" w:sz="4" w:space="0" w:color="auto"/>
              <w:right w:val="nil"/>
            </w:tcBorders>
            <w:shd w:val="clear" w:color="auto" w:fill="auto"/>
            <w:noWrap/>
            <w:vAlign w:val="center"/>
            <w:hideMark/>
          </w:tcPr>
          <w:p w14:paraId="4EBB905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p>
        </w:tc>
        <w:tc>
          <w:tcPr>
            <w:tcW w:w="1354" w:type="dxa"/>
            <w:tcBorders>
              <w:top w:val="single" w:sz="4" w:space="0" w:color="auto"/>
              <w:left w:val="nil"/>
              <w:bottom w:val="single" w:sz="4" w:space="0" w:color="auto"/>
              <w:right w:val="nil"/>
            </w:tcBorders>
            <w:shd w:val="clear" w:color="auto" w:fill="auto"/>
            <w:noWrap/>
            <w:vAlign w:val="center"/>
            <w:hideMark/>
          </w:tcPr>
          <w:p w14:paraId="0C9C8E28" w14:textId="77777777" w:rsidR="00C20B53" w:rsidRPr="00743A17" w:rsidRDefault="00C20B53" w:rsidP="007B389F">
            <w:pPr>
              <w:spacing w:after="0" w:line="240" w:lineRule="auto"/>
              <w:jc w:val="center"/>
              <w:rPr>
                <w:rFonts w:ascii="Times New Roman" w:eastAsia="Times New Roman" w:hAnsi="Times New Roman" w:cs="Times New Roman"/>
                <w:sz w:val="20"/>
                <w:szCs w:val="20"/>
                <w:highlight w:val="yellow"/>
                <w:lang w:val="en-US" w:eastAsia="pt-BR"/>
              </w:rPr>
            </w:pPr>
          </w:p>
        </w:tc>
      </w:tr>
      <w:tr w:rsidR="00C20B53" w:rsidRPr="00743A17" w14:paraId="286D9965" w14:textId="77777777" w:rsidTr="007B389F">
        <w:trPr>
          <w:trHeight w:val="300"/>
        </w:trPr>
        <w:tc>
          <w:tcPr>
            <w:tcW w:w="0" w:type="auto"/>
            <w:tcBorders>
              <w:top w:val="single" w:sz="4" w:space="0" w:color="auto"/>
              <w:left w:val="nil"/>
              <w:bottom w:val="nil"/>
              <w:right w:val="nil"/>
            </w:tcBorders>
            <w:shd w:val="clear" w:color="auto" w:fill="auto"/>
            <w:noWrap/>
            <w:vAlign w:val="center"/>
            <w:hideMark/>
          </w:tcPr>
          <w:p w14:paraId="2586A095"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Trial</w:t>
            </w:r>
          </w:p>
        </w:tc>
        <w:tc>
          <w:tcPr>
            <w:tcW w:w="0" w:type="auto"/>
            <w:tcBorders>
              <w:top w:val="single" w:sz="4" w:space="0" w:color="auto"/>
              <w:left w:val="nil"/>
              <w:bottom w:val="nil"/>
              <w:right w:val="nil"/>
            </w:tcBorders>
            <w:shd w:val="clear" w:color="auto" w:fill="auto"/>
            <w:noWrap/>
            <w:vAlign w:val="center"/>
            <w:hideMark/>
          </w:tcPr>
          <w:p w14:paraId="38CB2D9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0.0524*</w:t>
            </w:r>
          </w:p>
        </w:tc>
        <w:tc>
          <w:tcPr>
            <w:tcW w:w="0" w:type="auto"/>
            <w:tcBorders>
              <w:top w:val="single" w:sz="4" w:space="0" w:color="auto"/>
              <w:left w:val="nil"/>
              <w:bottom w:val="nil"/>
              <w:right w:val="nil"/>
            </w:tcBorders>
            <w:shd w:val="clear" w:color="auto" w:fill="auto"/>
            <w:noWrap/>
            <w:vAlign w:val="center"/>
            <w:hideMark/>
          </w:tcPr>
          <w:p w14:paraId="65A12CA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0.0016**</w:t>
            </w:r>
          </w:p>
        </w:tc>
        <w:tc>
          <w:tcPr>
            <w:tcW w:w="0" w:type="auto"/>
            <w:tcBorders>
              <w:top w:val="single" w:sz="4" w:space="0" w:color="auto"/>
              <w:left w:val="nil"/>
              <w:bottom w:val="nil"/>
              <w:right w:val="nil"/>
            </w:tcBorders>
            <w:shd w:val="clear" w:color="auto" w:fill="auto"/>
            <w:noWrap/>
            <w:vAlign w:val="center"/>
            <w:hideMark/>
          </w:tcPr>
          <w:p w14:paraId="733A2BD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 &lt;0.0001**</w:t>
            </w:r>
          </w:p>
        </w:tc>
        <w:tc>
          <w:tcPr>
            <w:tcW w:w="0" w:type="auto"/>
            <w:tcBorders>
              <w:top w:val="single" w:sz="4" w:space="0" w:color="auto"/>
              <w:left w:val="nil"/>
              <w:bottom w:val="nil"/>
              <w:right w:val="nil"/>
            </w:tcBorders>
            <w:shd w:val="clear" w:color="auto" w:fill="auto"/>
            <w:noWrap/>
            <w:vAlign w:val="center"/>
            <w:hideMark/>
          </w:tcPr>
          <w:p w14:paraId="19B029D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0.0581*</w:t>
            </w:r>
          </w:p>
        </w:tc>
        <w:tc>
          <w:tcPr>
            <w:tcW w:w="0" w:type="auto"/>
            <w:tcBorders>
              <w:top w:val="single" w:sz="4" w:space="0" w:color="auto"/>
              <w:left w:val="nil"/>
              <w:bottom w:val="nil"/>
              <w:right w:val="nil"/>
            </w:tcBorders>
            <w:shd w:val="clear" w:color="auto" w:fill="auto"/>
            <w:noWrap/>
            <w:vAlign w:val="center"/>
            <w:hideMark/>
          </w:tcPr>
          <w:p w14:paraId="16424EC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0.1260</w:t>
            </w:r>
          </w:p>
        </w:tc>
        <w:tc>
          <w:tcPr>
            <w:tcW w:w="0" w:type="auto"/>
            <w:tcBorders>
              <w:top w:val="single" w:sz="4" w:space="0" w:color="auto"/>
              <w:left w:val="nil"/>
              <w:bottom w:val="nil"/>
              <w:right w:val="nil"/>
            </w:tcBorders>
            <w:shd w:val="clear" w:color="auto" w:fill="auto"/>
            <w:noWrap/>
            <w:vAlign w:val="center"/>
            <w:hideMark/>
          </w:tcPr>
          <w:p w14:paraId="08D45C05"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0.0004**</w:t>
            </w:r>
          </w:p>
        </w:tc>
        <w:tc>
          <w:tcPr>
            <w:tcW w:w="0" w:type="auto"/>
            <w:tcBorders>
              <w:top w:val="single" w:sz="4" w:space="0" w:color="auto"/>
              <w:left w:val="nil"/>
              <w:bottom w:val="nil"/>
              <w:right w:val="nil"/>
            </w:tcBorders>
            <w:shd w:val="clear" w:color="auto" w:fill="auto"/>
            <w:noWrap/>
            <w:vAlign w:val="center"/>
            <w:hideMark/>
          </w:tcPr>
          <w:p w14:paraId="55DAE2B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0.1402</w:t>
            </w:r>
          </w:p>
        </w:tc>
        <w:tc>
          <w:tcPr>
            <w:tcW w:w="0" w:type="auto"/>
            <w:tcBorders>
              <w:top w:val="single" w:sz="4" w:space="0" w:color="auto"/>
              <w:left w:val="nil"/>
              <w:bottom w:val="nil"/>
              <w:right w:val="nil"/>
            </w:tcBorders>
            <w:shd w:val="clear" w:color="auto" w:fill="auto"/>
            <w:noWrap/>
            <w:vAlign w:val="center"/>
            <w:hideMark/>
          </w:tcPr>
          <w:p w14:paraId="49394BF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0.0019**</w:t>
            </w:r>
          </w:p>
        </w:tc>
        <w:tc>
          <w:tcPr>
            <w:tcW w:w="1354" w:type="dxa"/>
            <w:tcBorders>
              <w:top w:val="single" w:sz="4" w:space="0" w:color="auto"/>
              <w:left w:val="nil"/>
              <w:bottom w:val="nil"/>
              <w:right w:val="nil"/>
            </w:tcBorders>
            <w:shd w:val="clear" w:color="auto" w:fill="auto"/>
            <w:noWrap/>
            <w:vAlign w:val="center"/>
            <w:hideMark/>
          </w:tcPr>
          <w:p w14:paraId="362444BB"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0.0226**</w:t>
            </w:r>
          </w:p>
        </w:tc>
      </w:tr>
      <w:tr w:rsidR="00C20B53" w:rsidRPr="00743A17" w14:paraId="78A213C3" w14:textId="77777777" w:rsidTr="007B389F">
        <w:trPr>
          <w:trHeight w:val="300"/>
        </w:trPr>
        <w:tc>
          <w:tcPr>
            <w:tcW w:w="0" w:type="auto"/>
            <w:tcBorders>
              <w:top w:val="nil"/>
              <w:left w:val="nil"/>
              <w:bottom w:val="single" w:sz="4" w:space="0" w:color="auto"/>
              <w:right w:val="nil"/>
            </w:tcBorders>
            <w:shd w:val="clear" w:color="auto" w:fill="auto"/>
            <w:noWrap/>
            <w:vAlign w:val="center"/>
            <w:hideMark/>
          </w:tcPr>
          <w:p w14:paraId="0FA27AE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Treatment</w:t>
            </w:r>
          </w:p>
        </w:tc>
        <w:tc>
          <w:tcPr>
            <w:tcW w:w="0" w:type="auto"/>
            <w:tcBorders>
              <w:top w:val="nil"/>
              <w:left w:val="nil"/>
              <w:bottom w:val="single" w:sz="4" w:space="0" w:color="auto"/>
              <w:right w:val="nil"/>
            </w:tcBorders>
            <w:shd w:val="clear" w:color="auto" w:fill="auto"/>
            <w:noWrap/>
            <w:vAlign w:val="center"/>
            <w:hideMark/>
          </w:tcPr>
          <w:p w14:paraId="6751C72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0.0558*</w:t>
            </w:r>
          </w:p>
        </w:tc>
        <w:tc>
          <w:tcPr>
            <w:tcW w:w="0" w:type="auto"/>
            <w:tcBorders>
              <w:top w:val="nil"/>
              <w:left w:val="nil"/>
              <w:bottom w:val="single" w:sz="4" w:space="0" w:color="auto"/>
              <w:right w:val="nil"/>
            </w:tcBorders>
            <w:shd w:val="clear" w:color="auto" w:fill="auto"/>
            <w:noWrap/>
            <w:vAlign w:val="center"/>
            <w:hideMark/>
          </w:tcPr>
          <w:p w14:paraId="47514DA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0.1230</w:t>
            </w:r>
          </w:p>
        </w:tc>
        <w:tc>
          <w:tcPr>
            <w:tcW w:w="0" w:type="auto"/>
            <w:tcBorders>
              <w:top w:val="nil"/>
              <w:left w:val="nil"/>
              <w:bottom w:val="single" w:sz="4" w:space="0" w:color="auto"/>
              <w:right w:val="nil"/>
            </w:tcBorders>
            <w:shd w:val="clear" w:color="auto" w:fill="auto"/>
            <w:noWrap/>
            <w:vAlign w:val="center"/>
            <w:hideMark/>
          </w:tcPr>
          <w:p w14:paraId="151DB606"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0.0812*</w:t>
            </w:r>
          </w:p>
        </w:tc>
        <w:tc>
          <w:tcPr>
            <w:tcW w:w="0" w:type="auto"/>
            <w:tcBorders>
              <w:top w:val="nil"/>
              <w:left w:val="nil"/>
              <w:bottom w:val="single" w:sz="4" w:space="0" w:color="auto"/>
              <w:right w:val="nil"/>
            </w:tcBorders>
            <w:shd w:val="clear" w:color="auto" w:fill="auto"/>
            <w:noWrap/>
            <w:vAlign w:val="center"/>
            <w:hideMark/>
          </w:tcPr>
          <w:p w14:paraId="2FDCC54B"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0.3554</w:t>
            </w:r>
          </w:p>
        </w:tc>
        <w:tc>
          <w:tcPr>
            <w:tcW w:w="0" w:type="auto"/>
            <w:tcBorders>
              <w:top w:val="nil"/>
              <w:left w:val="nil"/>
              <w:bottom w:val="single" w:sz="4" w:space="0" w:color="auto"/>
              <w:right w:val="nil"/>
            </w:tcBorders>
            <w:shd w:val="clear" w:color="auto" w:fill="auto"/>
            <w:noWrap/>
            <w:vAlign w:val="center"/>
            <w:hideMark/>
          </w:tcPr>
          <w:p w14:paraId="4389A22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0.4603</w:t>
            </w:r>
          </w:p>
        </w:tc>
        <w:tc>
          <w:tcPr>
            <w:tcW w:w="0" w:type="auto"/>
            <w:tcBorders>
              <w:top w:val="nil"/>
              <w:left w:val="nil"/>
              <w:bottom w:val="single" w:sz="4" w:space="0" w:color="auto"/>
              <w:right w:val="nil"/>
            </w:tcBorders>
            <w:shd w:val="clear" w:color="auto" w:fill="auto"/>
            <w:noWrap/>
            <w:vAlign w:val="center"/>
            <w:hideMark/>
          </w:tcPr>
          <w:p w14:paraId="121F0FE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0.2150</w:t>
            </w:r>
          </w:p>
        </w:tc>
        <w:tc>
          <w:tcPr>
            <w:tcW w:w="0" w:type="auto"/>
            <w:tcBorders>
              <w:top w:val="nil"/>
              <w:left w:val="nil"/>
              <w:bottom w:val="single" w:sz="4" w:space="0" w:color="auto"/>
              <w:right w:val="nil"/>
            </w:tcBorders>
            <w:shd w:val="clear" w:color="auto" w:fill="auto"/>
            <w:noWrap/>
            <w:vAlign w:val="center"/>
            <w:hideMark/>
          </w:tcPr>
          <w:p w14:paraId="4CB116C9"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0.3423</w:t>
            </w:r>
          </w:p>
        </w:tc>
        <w:tc>
          <w:tcPr>
            <w:tcW w:w="0" w:type="auto"/>
            <w:tcBorders>
              <w:top w:val="nil"/>
              <w:left w:val="nil"/>
              <w:bottom w:val="single" w:sz="4" w:space="0" w:color="auto"/>
              <w:right w:val="nil"/>
            </w:tcBorders>
            <w:shd w:val="clear" w:color="auto" w:fill="auto"/>
            <w:noWrap/>
            <w:vAlign w:val="center"/>
            <w:hideMark/>
          </w:tcPr>
          <w:p w14:paraId="40C3F40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0.2040</w:t>
            </w:r>
          </w:p>
        </w:tc>
        <w:tc>
          <w:tcPr>
            <w:tcW w:w="1354" w:type="dxa"/>
            <w:tcBorders>
              <w:top w:val="nil"/>
              <w:left w:val="nil"/>
              <w:bottom w:val="single" w:sz="4" w:space="0" w:color="auto"/>
              <w:right w:val="nil"/>
            </w:tcBorders>
            <w:shd w:val="clear" w:color="auto" w:fill="auto"/>
            <w:noWrap/>
            <w:vAlign w:val="center"/>
            <w:hideMark/>
          </w:tcPr>
          <w:p w14:paraId="3874EC82"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0.8696</w:t>
            </w:r>
          </w:p>
        </w:tc>
      </w:tr>
      <w:tr w:rsidR="00C20B53" w:rsidRPr="00743A17" w14:paraId="6B75BC2E" w14:textId="77777777" w:rsidTr="007B389F">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7CDD0630"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P-value for Orthogonal contrasts</w:t>
            </w:r>
          </w:p>
        </w:tc>
        <w:tc>
          <w:tcPr>
            <w:tcW w:w="0" w:type="auto"/>
            <w:tcBorders>
              <w:top w:val="single" w:sz="4" w:space="0" w:color="auto"/>
              <w:left w:val="nil"/>
              <w:bottom w:val="single" w:sz="4" w:space="0" w:color="auto"/>
              <w:right w:val="nil"/>
            </w:tcBorders>
            <w:shd w:val="clear" w:color="auto" w:fill="auto"/>
            <w:noWrap/>
            <w:vAlign w:val="center"/>
            <w:hideMark/>
          </w:tcPr>
          <w:p w14:paraId="4643646F"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2270E00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5F50118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1DBCB0AC"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6AD2876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29A18137"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33E6EC2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0" w:type="auto"/>
            <w:tcBorders>
              <w:top w:val="single" w:sz="4" w:space="0" w:color="auto"/>
              <w:left w:val="nil"/>
              <w:bottom w:val="single" w:sz="4" w:space="0" w:color="auto"/>
              <w:right w:val="nil"/>
            </w:tcBorders>
            <w:shd w:val="clear" w:color="auto" w:fill="auto"/>
            <w:noWrap/>
            <w:vAlign w:val="center"/>
            <w:hideMark/>
          </w:tcPr>
          <w:p w14:paraId="3CFD7CF7"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w:t>
            </w:r>
          </w:p>
        </w:tc>
        <w:tc>
          <w:tcPr>
            <w:tcW w:w="1354" w:type="dxa"/>
            <w:tcBorders>
              <w:top w:val="single" w:sz="4" w:space="0" w:color="auto"/>
              <w:left w:val="nil"/>
              <w:bottom w:val="single" w:sz="4" w:space="0" w:color="auto"/>
              <w:right w:val="nil"/>
            </w:tcBorders>
            <w:shd w:val="clear" w:color="auto" w:fill="auto"/>
            <w:noWrap/>
            <w:vAlign w:val="center"/>
            <w:hideMark/>
          </w:tcPr>
          <w:p w14:paraId="63AFD470"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 </w:t>
            </w:r>
          </w:p>
        </w:tc>
      </w:tr>
      <w:tr w:rsidR="00C20B53" w:rsidRPr="00743A17" w14:paraId="130A843F" w14:textId="77777777" w:rsidTr="007B389F">
        <w:trPr>
          <w:trHeight w:val="300"/>
        </w:trPr>
        <w:tc>
          <w:tcPr>
            <w:tcW w:w="0" w:type="auto"/>
            <w:tcBorders>
              <w:top w:val="single" w:sz="4" w:space="0" w:color="auto"/>
              <w:left w:val="nil"/>
              <w:bottom w:val="nil"/>
              <w:right w:val="nil"/>
            </w:tcBorders>
            <w:shd w:val="clear" w:color="auto" w:fill="auto"/>
            <w:noWrap/>
            <w:vAlign w:val="center"/>
            <w:hideMark/>
          </w:tcPr>
          <w:p w14:paraId="1EC1155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Control vs Others    </w:t>
            </w:r>
          </w:p>
        </w:tc>
        <w:tc>
          <w:tcPr>
            <w:tcW w:w="0" w:type="auto"/>
            <w:tcBorders>
              <w:top w:val="single" w:sz="4" w:space="0" w:color="auto"/>
              <w:left w:val="nil"/>
              <w:bottom w:val="nil"/>
              <w:right w:val="nil"/>
            </w:tcBorders>
            <w:shd w:val="clear" w:color="auto" w:fill="auto"/>
            <w:noWrap/>
            <w:vAlign w:val="center"/>
            <w:hideMark/>
          </w:tcPr>
          <w:p w14:paraId="705C825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0.0745*</w:t>
            </w:r>
          </w:p>
        </w:tc>
        <w:tc>
          <w:tcPr>
            <w:tcW w:w="0" w:type="auto"/>
            <w:tcBorders>
              <w:top w:val="single" w:sz="4" w:space="0" w:color="auto"/>
              <w:left w:val="nil"/>
              <w:bottom w:val="nil"/>
              <w:right w:val="nil"/>
            </w:tcBorders>
            <w:shd w:val="clear" w:color="auto" w:fill="auto"/>
            <w:noWrap/>
            <w:vAlign w:val="center"/>
            <w:hideMark/>
          </w:tcPr>
          <w:p w14:paraId="28015EB5"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0.9065</w:t>
            </w:r>
          </w:p>
        </w:tc>
        <w:tc>
          <w:tcPr>
            <w:tcW w:w="0" w:type="auto"/>
            <w:tcBorders>
              <w:top w:val="single" w:sz="4" w:space="0" w:color="auto"/>
              <w:left w:val="nil"/>
              <w:bottom w:val="nil"/>
              <w:right w:val="nil"/>
            </w:tcBorders>
            <w:shd w:val="clear" w:color="auto" w:fill="auto"/>
            <w:noWrap/>
            <w:vAlign w:val="center"/>
            <w:hideMark/>
          </w:tcPr>
          <w:p w14:paraId="579B1F9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0.0442**</w:t>
            </w:r>
          </w:p>
        </w:tc>
        <w:tc>
          <w:tcPr>
            <w:tcW w:w="0" w:type="auto"/>
            <w:tcBorders>
              <w:top w:val="single" w:sz="4" w:space="0" w:color="auto"/>
              <w:left w:val="nil"/>
              <w:bottom w:val="nil"/>
              <w:right w:val="nil"/>
            </w:tcBorders>
            <w:shd w:val="clear" w:color="auto" w:fill="auto"/>
            <w:noWrap/>
            <w:vAlign w:val="center"/>
            <w:hideMark/>
          </w:tcPr>
          <w:p w14:paraId="7517DBE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0.1637</w:t>
            </w:r>
          </w:p>
        </w:tc>
        <w:tc>
          <w:tcPr>
            <w:tcW w:w="0" w:type="auto"/>
            <w:tcBorders>
              <w:top w:val="single" w:sz="4" w:space="0" w:color="auto"/>
              <w:left w:val="nil"/>
              <w:bottom w:val="nil"/>
              <w:right w:val="nil"/>
            </w:tcBorders>
            <w:shd w:val="clear" w:color="auto" w:fill="auto"/>
            <w:noWrap/>
            <w:vAlign w:val="center"/>
            <w:hideMark/>
          </w:tcPr>
          <w:p w14:paraId="2F5B933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0.7452</w:t>
            </w:r>
          </w:p>
        </w:tc>
        <w:tc>
          <w:tcPr>
            <w:tcW w:w="0" w:type="auto"/>
            <w:tcBorders>
              <w:top w:val="single" w:sz="4" w:space="0" w:color="auto"/>
              <w:left w:val="nil"/>
              <w:bottom w:val="nil"/>
              <w:right w:val="nil"/>
            </w:tcBorders>
            <w:shd w:val="clear" w:color="auto" w:fill="auto"/>
            <w:noWrap/>
            <w:vAlign w:val="center"/>
            <w:hideMark/>
          </w:tcPr>
          <w:p w14:paraId="672B99A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0.9198</w:t>
            </w:r>
          </w:p>
        </w:tc>
        <w:tc>
          <w:tcPr>
            <w:tcW w:w="0" w:type="auto"/>
            <w:tcBorders>
              <w:top w:val="single" w:sz="4" w:space="0" w:color="auto"/>
              <w:left w:val="nil"/>
              <w:bottom w:val="nil"/>
              <w:right w:val="nil"/>
            </w:tcBorders>
            <w:shd w:val="clear" w:color="auto" w:fill="auto"/>
            <w:noWrap/>
            <w:vAlign w:val="center"/>
            <w:hideMark/>
          </w:tcPr>
          <w:p w14:paraId="0EB221A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0.8802</w:t>
            </w:r>
          </w:p>
        </w:tc>
        <w:tc>
          <w:tcPr>
            <w:tcW w:w="0" w:type="auto"/>
            <w:tcBorders>
              <w:top w:val="single" w:sz="4" w:space="0" w:color="auto"/>
              <w:left w:val="nil"/>
              <w:bottom w:val="nil"/>
              <w:right w:val="nil"/>
            </w:tcBorders>
            <w:shd w:val="clear" w:color="auto" w:fill="auto"/>
            <w:noWrap/>
            <w:vAlign w:val="center"/>
            <w:hideMark/>
          </w:tcPr>
          <w:p w14:paraId="62C23E9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0.2066</w:t>
            </w:r>
          </w:p>
        </w:tc>
        <w:tc>
          <w:tcPr>
            <w:tcW w:w="1354" w:type="dxa"/>
            <w:tcBorders>
              <w:top w:val="single" w:sz="4" w:space="0" w:color="auto"/>
              <w:left w:val="nil"/>
              <w:bottom w:val="nil"/>
              <w:right w:val="nil"/>
            </w:tcBorders>
            <w:shd w:val="clear" w:color="auto" w:fill="auto"/>
            <w:noWrap/>
            <w:vAlign w:val="center"/>
            <w:hideMark/>
          </w:tcPr>
          <w:p w14:paraId="50E8EE4B"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0.7256</w:t>
            </w:r>
          </w:p>
        </w:tc>
      </w:tr>
      <w:tr w:rsidR="00C20B53" w:rsidRPr="00743A17" w14:paraId="7352F9CF" w14:textId="77777777" w:rsidTr="007B389F">
        <w:trPr>
          <w:trHeight w:val="300"/>
        </w:trPr>
        <w:tc>
          <w:tcPr>
            <w:tcW w:w="0" w:type="auto"/>
            <w:tcBorders>
              <w:top w:val="nil"/>
              <w:left w:val="nil"/>
              <w:bottom w:val="nil"/>
              <w:right w:val="nil"/>
            </w:tcBorders>
            <w:shd w:val="clear" w:color="auto" w:fill="auto"/>
            <w:noWrap/>
            <w:vAlign w:val="center"/>
            <w:hideMark/>
          </w:tcPr>
          <w:p w14:paraId="158025E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Cu-MHAC vs </w:t>
            </w:r>
          </w:p>
          <w:p w14:paraId="703BC20C"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(CuSO4 +TBCC)</w:t>
            </w:r>
          </w:p>
        </w:tc>
        <w:tc>
          <w:tcPr>
            <w:tcW w:w="0" w:type="auto"/>
            <w:tcBorders>
              <w:top w:val="nil"/>
              <w:left w:val="nil"/>
              <w:bottom w:val="nil"/>
              <w:right w:val="nil"/>
            </w:tcBorders>
            <w:shd w:val="clear" w:color="auto" w:fill="auto"/>
            <w:noWrap/>
            <w:vAlign w:val="center"/>
            <w:hideMark/>
          </w:tcPr>
          <w:p w14:paraId="3F90351B"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0.8876</w:t>
            </w:r>
          </w:p>
        </w:tc>
        <w:tc>
          <w:tcPr>
            <w:tcW w:w="0" w:type="auto"/>
            <w:tcBorders>
              <w:top w:val="nil"/>
              <w:left w:val="nil"/>
              <w:bottom w:val="nil"/>
              <w:right w:val="nil"/>
            </w:tcBorders>
            <w:shd w:val="clear" w:color="auto" w:fill="auto"/>
            <w:noWrap/>
            <w:vAlign w:val="center"/>
            <w:hideMark/>
          </w:tcPr>
          <w:p w14:paraId="1A521245"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0.0330**</w:t>
            </w:r>
          </w:p>
        </w:tc>
        <w:tc>
          <w:tcPr>
            <w:tcW w:w="0" w:type="auto"/>
            <w:tcBorders>
              <w:top w:val="nil"/>
              <w:left w:val="nil"/>
              <w:bottom w:val="nil"/>
              <w:right w:val="nil"/>
            </w:tcBorders>
            <w:shd w:val="clear" w:color="auto" w:fill="auto"/>
            <w:noWrap/>
            <w:vAlign w:val="center"/>
            <w:hideMark/>
          </w:tcPr>
          <w:p w14:paraId="5993A327"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0.1969</w:t>
            </w:r>
          </w:p>
        </w:tc>
        <w:tc>
          <w:tcPr>
            <w:tcW w:w="0" w:type="auto"/>
            <w:tcBorders>
              <w:top w:val="nil"/>
              <w:left w:val="nil"/>
              <w:bottom w:val="nil"/>
              <w:right w:val="nil"/>
            </w:tcBorders>
            <w:shd w:val="clear" w:color="auto" w:fill="auto"/>
            <w:noWrap/>
            <w:vAlign w:val="center"/>
            <w:hideMark/>
          </w:tcPr>
          <w:p w14:paraId="0FE6F0F4"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0.5374</w:t>
            </w:r>
          </w:p>
        </w:tc>
        <w:tc>
          <w:tcPr>
            <w:tcW w:w="0" w:type="auto"/>
            <w:tcBorders>
              <w:top w:val="nil"/>
              <w:left w:val="nil"/>
              <w:bottom w:val="nil"/>
              <w:right w:val="nil"/>
            </w:tcBorders>
            <w:shd w:val="clear" w:color="auto" w:fill="auto"/>
            <w:noWrap/>
            <w:vAlign w:val="center"/>
            <w:hideMark/>
          </w:tcPr>
          <w:p w14:paraId="29B675B1"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0.2563</w:t>
            </w:r>
          </w:p>
        </w:tc>
        <w:tc>
          <w:tcPr>
            <w:tcW w:w="0" w:type="auto"/>
            <w:tcBorders>
              <w:top w:val="nil"/>
              <w:left w:val="nil"/>
              <w:bottom w:val="nil"/>
              <w:right w:val="nil"/>
            </w:tcBorders>
            <w:shd w:val="clear" w:color="auto" w:fill="auto"/>
            <w:noWrap/>
            <w:vAlign w:val="center"/>
            <w:hideMark/>
          </w:tcPr>
          <w:p w14:paraId="57CDD1D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0.8733</w:t>
            </w:r>
          </w:p>
        </w:tc>
        <w:tc>
          <w:tcPr>
            <w:tcW w:w="0" w:type="auto"/>
            <w:tcBorders>
              <w:top w:val="nil"/>
              <w:left w:val="nil"/>
              <w:bottom w:val="nil"/>
              <w:right w:val="nil"/>
            </w:tcBorders>
            <w:shd w:val="clear" w:color="auto" w:fill="auto"/>
            <w:noWrap/>
            <w:vAlign w:val="center"/>
            <w:hideMark/>
          </w:tcPr>
          <w:p w14:paraId="0DF88E23"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0.7011</w:t>
            </w:r>
          </w:p>
        </w:tc>
        <w:tc>
          <w:tcPr>
            <w:tcW w:w="0" w:type="auto"/>
            <w:tcBorders>
              <w:top w:val="nil"/>
              <w:left w:val="nil"/>
              <w:bottom w:val="nil"/>
              <w:right w:val="nil"/>
            </w:tcBorders>
            <w:shd w:val="clear" w:color="auto" w:fill="auto"/>
            <w:noWrap/>
            <w:vAlign w:val="center"/>
            <w:hideMark/>
          </w:tcPr>
          <w:p w14:paraId="13718472"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0.0631*</w:t>
            </w:r>
          </w:p>
        </w:tc>
        <w:tc>
          <w:tcPr>
            <w:tcW w:w="1354" w:type="dxa"/>
            <w:tcBorders>
              <w:top w:val="nil"/>
              <w:left w:val="nil"/>
              <w:bottom w:val="nil"/>
              <w:right w:val="nil"/>
            </w:tcBorders>
            <w:shd w:val="clear" w:color="auto" w:fill="auto"/>
            <w:noWrap/>
            <w:vAlign w:val="center"/>
            <w:hideMark/>
          </w:tcPr>
          <w:p w14:paraId="04F2D7F1"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0.8266</w:t>
            </w:r>
          </w:p>
        </w:tc>
      </w:tr>
      <w:tr w:rsidR="00C20B53" w:rsidRPr="00743A17" w14:paraId="111110B2" w14:textId="77777777" w:rsidTr="007B389F">
        <w:trPr>
          <w:trHeight w:val="300"/>
        </w:trPr>
        <w:tc>
          <w:tcPr>
            <w:tcW w:w="0" w:type="auto"/>
            <w:tcBorders>
              <w:top w:val="nil"/>
              <w:left w:val="nil"/>
              <w:bottom w:val="single" w:sz="4" w:space="0" w:color="auto"/>
              <w:right w:val="nil"/>
            </w:tcBorders>
            <w:shd w:val="clear" w:color="auto" w:fill="auto"/>
            <w:noWrap/>
            <w:vAlign w:val="center"/>
            <w:hideMark/>
          </w:tcPr>
          <w:p w14:paraId="5146826B"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 xml:space="preserve">CuSO4 vs TBCC       </w:t>
            </w:r>
          </w:p>
        </w:tc>
        <w:tc>
          <w:tcPr>
            <w:tcW w:w="0" w:type="auto"/>
            <w:tcBorders>
              <w:top w:val="nil"/>
              <w:left w:val="nil"/>
              <w:bottom w:val="single" w:sz="4" w:space="0" w:color="auto"/>
              <w:right w:val="nil"/>
            </w:tcBorders>
            <w:shd w:val="clear" w:color="auto" w:fill="auto"/>
            <w:noWrap/>
            <w:vAlign w:val="center"/>
            <w:hideMark/>
          </w:tcPr>
          <w:p w14:paraId="19062568"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0.2787</w:t>
            </w:r>
          </w:p>
        </w:tc>
        <w:tc>
          <w:tcPr>
            <w:tcW w:w="0" w:type="auto"/>
            <w:tcBorders>
              <w:top w:val="nil"/>
              <w:left w:val="nil"/>
              <w:bottom w:val="single" w:sz="4" w:space="0" w:color="auto"/>
              <w:right w:val="nil"/>
            </w:tcBorders>
            <w:shd w:val="clear" w:color="auto" w:fill="auto"/>
            <w:noWrap/>
            <w:vAlign w:val="center"/>
            <w:hideMark/>
          </w:tcPr>
          <w:p w14:paraId="1BD5B4C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0.1497</w:t>
            </w:r>
          </w:p>
        </w:tc>
        <w:tc>
          <w:tcPr>
            <w:tcW w:w="0" w:type="auto"/>
            <w:tcBorders>
              <w:top w:val="nil"/>
              <w:left w:val="nil"/>
              <w:bottom w:val="single" w:sz="4" w:space="0" w:color="auto"/>
              <w:right w:val="nil"/>
            </w:tcBorders>
            <w:shd w:val="clear" w:color="auto" w:fill="auto"/>
            <w:noWrap/>
            <w:vAlign w:val="center"/>
            <w:hideMark/>
          </w:tcPr>
          <w:p w14:paraId="70857116"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0.5910</w:t>
            </w:r>
          </w:p>
        </w:tc>
        <w:tc>
          <w:tcPr>
            <w:tcW w:w="0" w:type="auto"/>
            <w:tcBorders>
              <w:top w:val="nil"/>
              <w:left w:val="nil"/>
              <w:bottom w:val="single" w:sz="4" w:space="0" w:color="auto"/>
              <w:right w:val="nil"/>
            </w:tcBorders>
            <w:shd w:val="clear" w:color="auto" w:fill="auto"/>
            <w:noWrap/>
            <w:vAlign w:val="center"/>
            <w:hideMark/>
          </w:tcPr>
          <w:p w14:paraId="4A5052AD"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0.3196</w:t>
            </w:r>
          </w:p>
        </w:tc>
        <w:tc>
          <w:tcPr>
            <w:tcW w:w="0" w:type="auto"/>
            <w:tcBorders>
              <w:top w:val="nil"/>
              <w:left w:val="nil"/>
              <w:bottom w:val="single" w:sz="4" w:space="0" w:color="auto"/>
              <w:right w:val="nil"/>
            </w:tcBorders>
            <w:shd w:val="clear" w:color="auto" w:fill="auto"/>
            <w:noWrap/>
            <w:vAlign w:val="center"/>
            <w:hideMark/>
          </w:tcPr>
          <w:p w14:paraId="06809017"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0.6394</w:t>
            </w:r>
          </w:p>
        </w:tc>
        <w:tc>
          <w:tcPr>
            <w:tcW w:w="0" w:type="auto"/>
            <w:tcBorders>
              <w:top w:val="nil"/>
              <w:left w:val="nil"/>
              <w:bottom w:val="single" w:sz="4" w:space="0" w:color="auto"/>
              <w:right w:val="nil"/>
            </w:tcBorders>
            <w:shd w:val="clear" w:color="auto" w:fill="auto"/>
            <w:noWrap/>
            <w:vAlign w:val="center"/>
            <w:hideMark/>
          </w:tcPr>
          <w:p w14:paraId="0D2482A6"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0.3390</w:t>
            </w:r>
          </w:p>
        </w:tc>
        <w:tc>
          <w:tcPr>
            <w:tcW w:w="0" w:type="auto"/>
            <w:tcBorders>
              <w:top w:val="nil"/>
              <w:left w:val="nil"/>
              <w:bottom w:val="single" w:sz="4" w:space="0" w:color="auto"/>
              <w:right w:val="nil"/>
            </w:tcBorders>
            <w:shd w:val="clear" w:color="auto" w:fill="auto"/>
            <w:noWrap/>
            <w:vAlign w:val="center"/>
            <w:hideMark/>
          </w:tcPr>
          <w:p w14:paraId="4CB4C7F0"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0.3502</w:t>
            </w:r>
          </w:p>
        </w:tc>
        <w:tc>
          <w:tcPr>
            <w:tcW w:w="0" w:type="auto"/>
            <w:tcBorders>
              <w:top w:val="nil"/>
              <w:left w:val="nil"/>
              <w:bottom w:val="single" w:sz="4" w:space="0" w:color="auto"/>
              <w:right w:val="nil"/>
            </w:tcBorders>
            <w:shd w:val="clear" w:color="auto" w:fill="auto"/>
            <w:noWrap/>
            <w:vAlign w:val="center"/>
            <w:hideMark/>
          </w:tcPr>
          <w:p w14:paraId="4E670D6A" w14:textId="77777777" w:rsidR="00C20B53" w:rsidRPr="0026310B" w:rsidRDefault="00C20B53" w:rsidP="007B389F">
            <w:pPr>
              <w:spacing w:after="0" w:line="240" w:lineRule="auto"/>
              <w:jc w:val="center"/>
              <w:rPr>
                <w:rFonts w:ascii="Arial" w:eastAsia="Times New Roman" w:hAnsi="Arial" w:cs="Arial"/>
                <w:color w:val="000000"/>
                <w:sz w:val="24"/>
                <w:szCs w:val="24"/>
                <w:lang w:eastAsia="pt-BR"/>
              </w:rPr>
            </w:pPr>
            <w:r w:rsidRPr="0026310B">
              <w:rPr>
                <w:rFonts w:ascii="Arial" w:eastAsia="Times New Roman" w:hAnsi="Arial" w:cs="Arial"/>
                <w:color w:val="000000"/>
                <w:sz w:val="24"/>
                <w:szCs w:val="24"/>
                <w:lang w:eastAsia="pt-BR"/>
              </w:rPr>
              <w:t>0.1764</w:t>
            </w:r>
          </w:p>
        </w:tc>
        <w:tc>
          <w:tcPr>
            <w:tcW w:w="1354" w:type="dxa"/>
            <w:tcBorders>
              <w:top w:val="nil"/>
              <w:left w:val="nil"/>
              <w:bottom w:val="single" w:sz="4" w:space="0" w:color="auto"/>
              <w:right w:val="nil"/>
            </w:tcBorders>
            <w:shd w:val="clear" w:color="auto" w:fill="auto"/>
            <w:noWrap/>
            <w:vAlign w:val="center"/>
            <w:hideMark/>
          </w:tcPr>
          <w:p w14:paraId="627A836E" w14:textId="77777777" w:rsidR="00C20B53" w:rsidRPr="00743A17" w:rsidRDefault="00C20B53" w:rsidP="007B389F">
            <w:pPr>
              <w:spacing w:after="0" w:line="240" w:lineRule="auto"/>
              <w:jc w:val="center"/>
              <w:rPr>
                <w:rFonts w:ascii="Arial" w:eastAsia="Times New Roman" w:hAnsi="Arial" w:cs="Arial"/>
                <w:color w:val="000000"/>
                <w:sz w:val="20"/>
                <w:szCs w:val="20"/>
                <w:highlight w:val="yellow"/>
                <w:lang w:val="en-US" w:eastAsia="pt-BR"/>
              </w:rPr>
            </w:pPr>
            <w:r w:rsidRPr="00743A17">
              <w:rPr>
                <w:rFonts w:ascii="Arial" w:eastAsia="Times New Roman" w:hAnsi="Arial" w:cs="Arial"/>
                <w:color w:val="000000"/>
                <w:sz w:val="20"/>
                <w:szCs w:val="20"/>
                <w:highlight w:val="yellow"/>
                <w:lang w:val="en-US" w:eastAsia="pt-BR"/>
              </w:rPr>
              <w:t>0.9047</w:t>
            </w:r>
          </w:p>
        </w:tc>
      </w:tr>
    </w:tbl>
    <w:p w14:paraId="56BA2832" w14:textId="77777777" w:rsidR="00C20B53" w:rsidRPr="0026310B" w:rsidRDefault="00C20B53" w:rsidP="0026310B">
      <w:pPr>
        <w:spacing w:line="360" w:lineRule="auto"/>
        <w:rPr>
          <w:rFonts w:ascii="Arial" w:eastAsia="Arial" w:hAnsi="Arial" w:cs="Arial"/>
          <w:sz w:val="24"/>
          <w:szCs w:val="24"/>
          <w:lang w:val="en-US"/>
        </w:rPr>
      </w:pPr>
      <w:r w:rsidRPr="0026310B">
        <w:rPr>
          <w:rFonts w:ascii="Arial" w:eastAsia="Arial" w:hAnsi="Arial" w:cs="Arial"/>
          <w:sz w:val="24"/>
          <w:szCs w:val="24"/>
          <w:lang w:val="en-US"/>
        </w:rPr>
        <w:t>Significance level was considered p-value &lt; 0.05**, and p-value from 0.05 to 0.10 indicated a statistical trend*. Coefficient of variation of the mean (</w:t>
      </w:r>
      <w:proofErr w:type="spellStart"/>
      <w:r w:rsidRPr="0026310B">
        <w:rPr>
          <w:rFonts w:ascii="Arial" w:eastAsia="Arial" w:hAnsi="Arial" w:cs="Arial"/>
          <w:sz w:val="24"/>
          <w:szCs w:val="24"/>
          <w:lang w:val="en-US"/>
        </w:rPr>
        <w:t>CVmean</w:t>
      </w:r>
      <w:proofErr w:type="spellEnd"/>
      <w:r w:rsidRPr="0026310B">
        <w:rPr>
          <w:rFonts w:ascii="Arial" w:eastAsia="Arial" w:hAnsi="Arial" w:cs="Arial"/>
          <w:sz w:val="24"/>
          <w:szCs w:val="24"/>
          <w:lang w:val="en-US"/>
        </w:rPr>
        <w:t xml:space="preserve">). </w:t>
      </w:r>
    </w:p>
    <w:p w14:paraId="3EA4F475" w14:textId="77777777" w:rsidR="00C20B53" w:rsidRPr="0026310B" w:rsidRDefault="00C20B53" w:rsidP="0026310B">
      <w:pPr>
        <w:spacing w:line="360" w:lineRule="auto"/>
        <w:rPr>
          <w:rFonts w:ascii="Arial" w:eastAsia="Arial" w:hAnsi="Arial" w:cs="Arial"/>
          <w:sz w:val="24"/>
          <w:szCs w:val="24"/>
          <w:lang w:val="en-US"/>
        </w:rPr>
      </w:pPr>
      <w:r w:rsidRPr="0026310B">
        <w:rPr>
          <w:rFonts w:ascii="Arial" w:eastAsia="Arial" w:hAnsi="Arial" w:cs="Arial"/>
          <w:sz w:val="24"/>
          <w:szCs w:val="24"/>
          <w:lang w:val="en-US"/>
        </w:rPr>
        <w:t># Data transformed to log</w:t>
      </w:r>
    </w:p>
    <w:p w14:paraId="594314BA" w14:textId="77777777" w:rsidR="00C20B53" w:rsidRPr="0026310B" w:rsidRDefault="00C20B53" w:rsidP="0026310B">
      <w:pPr>
        <w:spacing w:line="360" w:lineRule="auto"/>
        <w:rPr>
          <w:rFonts w:ascii="Arial" w:eastAsia="Arial" w:hAnsi="Arial" w:cs="Arial"/>
          <w:sz w:val="24"/>
          <w:szCs w:val="24"/>
          <w:lang w:val="en-US"/>
        </w:rPr>
      </w:pPr>
    </w:p>
    <w:p w14:paraId="7D7F16CE" w14:textId="77777777" w:rsidR="00C20B53" w:rsidRPr="00743A17" w:rsidRDefault="00C20B53" w:rsidP="00C20B53">
      <w:pPr>
        <w:rPr>
          <w:rFonts w:ascii="Arial" w:hAnsi="Arial" w:cs="Arial"/>
          <w:sz w:val="20"/>
          <w:szCs w:val="20"/>
          <w:highlight w:val="yellow"/>
          <w:lang w:val="en-US"/>
        </w:rPr>
      </w:pPr>
    </w:p>
    <w:bookmarkEnd w:id="1"/>
    <w:p w14:paraId="15D680AF" w14:textId="4CFA7052" w:rsidR="00C20B53" w:rsidRPr="00FA4B79" w:rsidRDefault="00C20B53" w:rsidP="00FA4B79">
      <w:pPr>
        <w:tabs>
          <w:tab w:val="left" w:pos="4052"/>
        </w:tabs>
        <w:rPr>
          <w:rFonts w:ascii="Arial" w:hAnsi="Arial" w:cs="Arial"/>
          <w:sz w:val="24"/>
          <w:szCs w:val="24"/>
          <w:lang w:val="en-US"/>
        </w:rPr>
        <w:sectPr w:rsidR="00C20B53" w:rsidRPr="00FA4B79" w:rsidSect="005C387C">
          <w:footerReference w:type="default" r:id="rId12"/>
          <w:pgSz w:w="16838" w:h="11906" w:orient="landscape"/>
          <w:pgMar w:top="567" w:right="851" w:bottom="567" w:left="851" w:header="709" w:footer="709" w:gutter="0"/>
          <w:lnNumType w:countBy="1" w:restart="continuous"/>
          <w:cols w:space="708"/>
          <w:docGrid w:linePitch="360"/>
        </w:sectPr>
      </w:pPr>
    </w:p>
    <w:bookmarkEnd w:id="0"/>
    <w:p w14:paraId="726A04F0" w14:textId="77777777" w:rsidR="00FA4B79" w:rsidRDefault="00FA4B79" w:rsidP="00337A1D">
      <w:pPr>
        <w:tabs>
          <w:tab w:val="left" w:pos="4052"/>
        </w:tabs>
        <w:rPr>
          <w:rFonts w:ascii="Arial" w:hAnsi="Arial" w:cs="Arial"/>
          <w:b/>
          <w:bCs/>
          <w:sz w:val="24"/>
          <w:szCs w:val="24"/>
          <w:lang w:val="en-US"/>
        </w:rPr>
      </w:pPr>
    </w:p>
    <w:p w14:paraId="389F45D3" w14:textId="3A988B22" w:rsidR="00356EFC" w:rsidRPr="001132D7" w:rsidRDefault="00273972" w:rsidP="00BA60BB">
      <w:pPr>
        <w:suppressLineNumbers/>
        <w:tabs>
          <w:tab w:val="left" w:pos="652"/>
          <w:tab w:val="center" w:pos="7710"/>
        </w:tabs>
        <w:spacing w:line="360" w:lineRule="auto"/>
        <w:rPr>
          <w:rFonts w:ascii="Arial" w:hAnsi="Arial" w:cs="Arial"/>
          <w:b/>
          <w:bCs/>
          <w:sz w:val="24"/>
          <w:szCs w:val="24"/>
          <w:lang w:val="en-US"/>
        </w:rPr>
      </w:pPr>
      <w:bookmarkStart w:id="2" w:name="_Hlk44431204"/>
      <w:r>
        <w:rPr>
          <w:rFonts w:ascii="Arial" w:hAnsi="Arial" w:cs="Arial"/>
          <w:b/>
          <w:bCs/>
          <w:sz w:val="24"/>
          <w:szCs w:val="24"/>
          <w:lang w:val="en-US"/>
        </w:rPr>
        <w:t>Table S</w:t>
      </w:r>
      <w:r w:rsidR="006A20D0">
        <w:rPr>
          <w:rFonts w:ascii="Arial" w:hAnsi="Arial" w:cs="Arial"/>
          <w:b/>
          <w:bCs/>
          <w:sz w:val="24"/>
          <w:szCs w:val="24"/>
          <w:lang w:val="en-US"/>
        </w:rPr>
        <w:t>3</w:t>
      </w:r>
      <w:r>
        <w:rPr>
          <w:rFonts w:ascii="Arial" w:hAnsi="Arial" w:cs="Arial"/>
          <w:b/>
          <w:bCs/>
          <w:sz w:val="24"/>
          <w:szCs w:val="24"/>
          <w:lang w:val="en-US"/>
        </w:rPr>
        <w:t xml:space="preserve"> </w:t>
      </w:r>
      <w:r w:rsidR="00310E8D" w:rsidRPr="001132D7">
        <w:rPr>
          <w:rFonts w:ascii="Arial" w:eastAsia="Arial" w:hAnsi="Arial" w:cs="Arial"/>
          <w:b/>
          <w:bCs/>
          <w:sz w:val="24"/>
          <w:szCs w:val="24"/>
          <w:lang w:val="en-US"/>
        </w:rPr>
        <w:t>Genus relative abundances means by treatment and the taxonomic levels correspondents.</w:t>
      </w:r>
    </w:p>
    <w:tbl>
      <w:tblPr>
        <w:tblW w:w="14078" w:type="dxa"/>
        <w:jc w:val="center"/>
        <w:tblCellMar>
          <w:left w:w="70" w:type="dxa"/>
          <w:right w:w="70" w:type="dxa"/>
        </w:tblCellMar>
        <w:tblLook w:val="04A0" w:firstRow="1" w:lastRow="0" w:firstColumn="1" w:lastColumn="0" w:noHBand="0" w:noVBand="1"/>
      </w:tblPr>
      <w:tblGrid>
        <w:gridCol w:w="1463"/>
        <w:gridCol w:w="2237"/>
        <w:gridCol w:w="1924"/>
        <w:gridCol w:w="2211"/>
        <w:gridCol w:w="2573"/>
        <w:gridCol w:w="932"/>
        <w:gridCol w:w="1026"/>
        <w:gridCol w:w="863"/>
        <w:gridCol w:w="863"/>
      </w:tblGrid>
      <w:tr w:rsidR="000424EF" w:rsidRPr="000424EF" w14:paraId="48A2B7B1" w14:textId="77777777" w:rsidTr="008A6BC5">
        <w:trPr>
          <w:trHeight w:val="300"/>
          <w:jc w:val="center"/>
        </w:trPr>
        <w:tc>
          <w:tcPr>
            <w:tcW w:w="10408" w:type="dxa"/>
            <w:gridSpan w:val="5"/>
            <w:tcBorders>
              <w:top w:val="single" w:sz="4" w:space="0" w:color="auto"/>
              <w:left w:val="nil"/>
              <w:bottom w:val="single" w:sz="4" w:space="0" w:color="auto"/>
              <w:right w:val="nil"/>
            </w:tcBorders>
            <w:shd w:val="clear" w:color="auto" w:fill="auto"/>
            <w:noWrap/>
            <w:vAlign w:val="bottom"/>
            <w:hideMark/>
          </w:tcPr>
          <w:p w14:paraId="3C5D7BBE"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Taxonomy</w:t>
            </w:r>
          </w:p>
        </w:tc>
        <w:tc>
          <w:tcPr>
            <w:tcW w:w="3670" w:type="dxa"/>
            <w:gridSpan w:val="4"/>
            <w:tcBorders>
              <w:top w:val="single" w:sz="4" w:space="0" w:color="auto"/>
              <w:left w:val="nil"/>
              <w:bottom w:val="single" w:sz="4" w:space="0" w:color="auto"/>
              <w:right w:val="nil"/>
            </w:tcBorders>
            <w:shd w:val="clear" w:color="auto" w:fill="auto"/>
            <w:noWrap/>
            <w:vAlign w:val="bottom"/>
            <w:hideMark/>
          </w:tcPr>
          <w:p w14:paraId="6960FBA4"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Treatment</w:t>
            </w:r>
          </w:p>
        </w:tc>
      </w:tr>
      <w:tr w:rsidR="000424EF" w:rsidRPr="000424EF" w14:paraId="5C423820" w14:textId="77777777" w:rsidTr="008A6BC5">
        <w:trPr>
          <w:trHeight w:val="300"/>
          <w:jc w:val="center"/>
        </w:trPr>
        <w:tc>
          <w:tcPr>
            <w:tcW w:w="1463" w:type="dxa"/>
            <w:tcBorders>
              <w:top w:val="nil"/>
              <w:left w:val="nil"/>
              <w:bottom w:val="single" w:sz="4" w:space="0" w:color="auto"/>
              <w:right w:val="nil"/>
            </w:tcBorders>
            <w:shd w:val="clear" w:color="auto" w:fill="auto"/>
            <w:noWrap/>
            <w:vAlign w:val="bottom"/>
            <w:hideMark/>
          </w:tcPr>
          <w:p w14:paraId="256DD778"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Phylum</w:t>
            </w:r>
          </w:p>
        </w:tc>
        <w:tc>
          <w:tcPr>
            <w:tcW w:w="2237" w:type="dxa"/>
            <w:tcBorders>
              <w:top w:val="nil"/>
              <w:left w:val="nil"/>
              <w:bottom w:val="single" w:sz="4" w:space="0" w:color="auto"/>
              <w:right w:val="nil"/>
            </w:tcBorders>
            <w:shd w:val="clear" w:color="auto" w:fill="auto"/>
            <w:noWrap/>
            <w:vAlign w:val="bottom"/>
            <w:hideMark/>
          </w:tcPr>
          <w:p w14:paraId="01EFEC17"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Class</w:t>
            </w:r>
          </w:p>
        </w:tc>
        <w:tc>
          <w:tcPr>
            <w:tcW w:w="1924" w:type="dxa"/>
            <w:tcBorders>
              <w:top w:val="nil"/>
              <w:left w:val="nil"/>
              <w:bottom w:val="single" w:sz="4" w:space="0" w:color="auto"/>
              <w:right w:val="nil"/>
            </w:tcBorders>
            <w:shd w:val="clear" w:color="auto" w:fill="auto"/>
            <w:noWrap/>
            <w:vAlign w:val="bottom"/>
            <w:hideMark/>
          </w:tcPr>
          <w:p w14:paraId="6C40EB7F"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Order</w:t>
            </w:r>
          </w:p>
        </w:tc>
        <w:tc>
          <w:tcPr>
            <w:tcW w:w="2211" w:type="dxa"/>
            <w:tcBorders>
              <w:top w:val="nil"/>
              <w:left w:val="nil"/>
              <w:bottom w:val="single" w:sz="4" w:space="0" w:color="auto"/>
              <w:right w:val="nil"/>
            </w:tcBorders>
            <w:shd w:val="clear" w:color="auto" w:fill="auto"/>
            <w:noWrap/>
            <w:vAlign w:val="bottom"/>
            <w:hideMark/>
          </w:tcPr>
          <w:p w14:paraId="11974960"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Family</w:t>
            </w:r>
          </w:p>
        </w:tc>
        <w:tc>
          <w:tcPr>
            <w:tcW w:w="2573" w:type="dxa"/>
            <w:tcBorders>
              <w:top w:val="nil"/>
              <w:left w:val="nil"/>
              <w:bottom w:val="single" w:sz="4" w:space="0" w:color="auto"/>
              <w:right w:val="nil"/>
            </w:tcBorders>
            <w:shd w:val="clear" w:color="auto" w:fill="auto"/>
            <w:noWrap/>
            <w:vAlign w:val="bottom"/>
            <w:hideMark/>
          </w:tcPr>
          <w:p w14:paraId="73E69102" w14:textId="77777777" w:rsidR="000424EF" w:rsidRPr="000424EF" w:rsidRDefault="000424EF" w:rsidP="000424EF">
            <w:pPr>
              <w:spacing w:after="0" w:line="240" w:lineRule="auto"/>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Genus</w:t>
            </w:r>
          </w:p>
        </w:tc>
        <w:tc>
          <w:tcPr>
            <w:tcW w:w="932" w:type="dxa"/>
            <w:tcBorders>
              <w:top w:val="nil"/>
              <w:left w:val="nil"/>
              <w:bottom w:val="single" w:sz="4" w:space="0" w:color="auto"/>
              <w:right w:val="nil"/>
            </w:tcBorders>
            <w:shd w:val="clear" w:color="auto" w:fill="auto"/>
            <w:noWrap/>
            <w:vAlign w:val="bottom"/>
            <w:hideMark/>
          </w:tcPr>
          <w:p w14:paraId="6F55EF36" w14:textId="77777777" w:rsidR="000424EF" w:rsidRPr="000424EF" w:rsidRDefault="000424EF" w:rsidP="000424EF">
            <w:pPr>
              <w:spacing w:after="0" w:line="240" w:lineRule="auto"/>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Control</w:t>
            </w:r>
          </w:p>
        </w:tc>
        <w:tc>
          <w:tcPr>
            <w:tcW w:w="1026" w:type="dxa"/>
            <w:tcBorders>
              <w:top w:val="nil"/>
              <w:left w:val="nil"/>
              <w:bottom w:val="single" w:sz="4" w:space="0" w:color="auto"/>
              <w:right w:val="nil"/>
            </w:tcBorders>
            <w:shd w:val="clear" w:color="auto" w:fill="auto"/>
            <w:noWrap/>
            <w:vAlign w:val="bottom"/>
            <w:hideMark/>
          </w:tcPr>
          <w:p w14:paraId="4EC6E3A0" w14:textId="77777777" w:rsidR="000424EF" w:rsidRPr="000424EF" w:rsidRDefault="000424EF" w:rsidP="008A6BC5">
            <w:pPr>
              <w:spacing w:after="0" w:line="240" w:lineRule="auto"/>
              <w:ind w:left="6" w:hanging="6"/>
              <w:jc w:val="center"/>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Cu-MHAC</w:t>
            </w:r>
          </w:p>
        </w:tc>
        <w:tc>
          <w:tcPr>
            <w:tcW w:w="856" w:type="dxa"/>
            <w:tcBorders>
              <w:top w:val="nil"/>
              <w:left w:val="nil"/>
              <w:bottom w:val="single" w:sz="4" w:space="0" w:color="auto"/>
              <w:right w:val="nil"/>
            </w:tcBorders>
            <w:shd w:val="clear" w:color="auto" w:fill="auto"/>
            <w:noWrap/>
            <w:vAlign w:val="bottom"/>
            <w:hideMark/>
          </w:tcPr>
          <w:p w14:paraId="3F175874" w14:textId="538BBC14" w:rsidR="000424EF" w:rsidRPr="000424EF" w:rsidRDefault="000424EF" w:rsidP="000424EF">
            <w:pPr>
              <w:spacing w:after="0" w:line="240" w:lineRule="auto"/>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CuSO</w:t>
            </w:r>
            <w:r w:rsidRPr="000424EF">
              <w:rPr>
                <w:rFonts w:ascii="Arial" w:eastAsia="Times New Roman" w:hAnsi="Arial" w:cs="Arial"/>
                <w:b/>
                <w:bCs/>
                <w:color w:val="000000"/>
                <w:sz w:val="20"/>
                <w:szCs w:val="20"/>
                <w:vertAlign w:val="subscript"/>
                <w:lang w:eastAsia="pt-BR"/>
              </w:rPr>
              <w:t>4</w:t>
            </w:r>
          </w:p>
        </w:tc>
        <w:tc>
          <w:tcPr>
            <w:tcW w:w="856" w:type="dxa"/>
            <w:tcBorders>
              <w:top w:val="nil"/>
              <w:left w:val="nil"/>
              <w:bottom w:val="single" w:sz="4" w:space="0" w:color="auto"/>
              <w:right w:val="nil"/>
            </w:tcBorders>
            <w:shd w:val="clear" w:color="auto" w:fill="auto"/>
            <w:noWrap/>
            <w:vAlign w:val="bottom"/>
            <w:hideMark/>
          </w:tcPr>
          <w:p w14:paraId="7DA9201F" w14:textId="77777777" w:rsidR="000424EF" w:rsidRPr="000424EF" w:rsidRDefault="000424EF" w:rsidP="000424EF">
            <w:pPr>
              <w:spacing w:after="0" w:line="240" w:lineRule="auto"/>
              <w:rPr>
                <w:rFonts w:ascii="Arial" w:eastAsia="Times New Roman" w:hAnsi="Arial" w:cs="Arial"/>
                <w:b/>
                <w:bCs/>
                <w:color w:val="000000"/>
                <w:sz w:val="20"/>
                <w:szCs w:val="20"/>
                <w:lang w:eastAsia="pt-BR"/>
              </w:rPr>
            </w:pPr>
            <w:r w:rsidRPr="000424EF">
              <w:rPr>
                <w:rFonts w:ascii="Arial" w:eastAsia="Times New Roman" w:hAnsi="Arial" w:cs="Arial"/>
                <w:b/>
                <w:bCs/>
                <w:color w:val="000000"/>
                <w:sz w:val="20"/>
                <w:szCs w:val="20"/>
                <w:lang w:eastAsia="pt-BR"/>
              </w:rPr>
              <w:t>TBCC</w:t>
            </w:r>
          </w:p>
        </w:tc>
      </w:tr>
      <w:tr w:rsidR="000424EF" w:rsidRPr="000424EF" w14:paraId="4D9766C5"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73700EF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Bacteroidetes</w:t>
            </w:r>
          </w:p>
        </w:tc>
        <w:tc>
          <w:tcPr>
            <w:tcW w:w="2237" w:type="dxa"/>
            <w:tcBorders>
              <w:top w:val="nil"/>
              <w:left w:val="nil"/>
              <w:bottom w:val="nil"/>
              <w:right w:val="nil"/>
            </w:tcBorders>
            <w:shd w:val="clear" w:color="auto" w:fill="auto"/>
            <w:noWrap/>
            <w:vAlign w:val="bottom"/>
            <w:hideMark/>
          </w:tcPr>
          <w:p w14:paraId="2CFC31A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Bacteroidia</w:t>
            </w:r>
          </w:p>
        </w:tc>
        <w:tc>
          <w:tcPr>
            <w:tcW w:w="1924" w:type="dxa"/>
            <w:tcBorders>
              <w:top w:val="nil"/>
              <w:left w:val="nil"/>
              <w:bottom w:val="nil"/>
              <w:right w:val="nil"/>
            </w:tcBorders>
            <w:shd w:val="clear" w:color="auto" w:fill="auto"/>
            <w:noWrap/>
            <w:vAlign w:val="bottom"/>
            <w:hideMark/>
          </w:tcPr>
          <w:p w14:paraId="620934B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Bacteroidales</w:t>
            </w:r>
          </w:p>
        </w:tc>
        <w:tc>
          <w:tcPr>
            <w:tcW w:w="2211" w:type="dxa"/>
            <w:tcBorders>
              <w:top w:val="nil"/>
              <w:left w:val="nil"/>
              <w:bottom w:val="nil"/>
              <w:right w:val="nil"/>
            </w:tcBorders>
            <w:shd w:val="clear" w:color="auto" w:fill="auto"/>
            <w:noWrap/>
            <w:vAlign w:val="bottom"/>
            <w:hideMark/>
          </w:tcPr>
          <w:p w14:paraId="1638766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Prevotellaceae</w:t>
            </w:r>
          </w:p>
        </w:tc>
        <w:tc>
          <w:tcPr>
            <w:tcW w:w="2573" w:type="dxa"/>
            <w:tcBorders>
              <w:top w:val="nil"/>
              <w:left w:val="nil"/>
              <w:bottom w:val="nil"/>
              <w:right w:val="nil"/>
            </w:tcBorders>
            <w:shd w:val="clear" w:color="auto" w:fill="auto"/>
            <w:noWrap/>
            <w:vAlign w:val="bottom"/>
            <w:hideMark/>
          </w:tcPr>
          <w:p w14:paraId="0F21FA3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Prevotella</w:t>
            </w:r>
          </w:p>
        </w:tc>
        <w:tc>
          <w:tcPr>
            <w:tcW w:w="932" w:type="dxa"/>
            <w:tcBorders>
              <w:top w:val="nil"/>
              <w:left w:val="nil"/>
              <w:bottom w:val="nil"/>
              <w:right w:val="nil"/>
            </w:tcBorders>
            <w:shd w:val="clear" w:color="auto" w:fill="auto"/>
            <w:noWrap/>
            <w:vAlign w:val="center"/>
            <w:hideMark/>
          </w:tcPr>
          <w:p w14:paraId="25882848" w14:textId="37B0994C"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29</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8750</w:t>
            </w:r>
          </w:p>
        </w:tc>
        <w:tc>
          <w:tcPr>
            <w:tcW w:w="1026" w:type="dxa"/>
            <w:tcBorders>
              <w:top w:val="nil"/>
              <w:left w:val="nil"/>
              <w:bottom w:val="nil"/>
              <w:right w:val="nil"/>
            </w:tcBorders>
            <w:shd w:val="clear" w:color="auto" w:fill="auto"/>
            <w:noWrap/>
            <w:vAlign w:val="center"/>
            <w:hideMark/>
          </w:tcPr>
          <w:p w14:paraId="737E1D02" w14:textId="4D2CFC3C"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7500</w:t>
            </w:r>
          </w:p>
        </w:tc>
        <w:tc>
          <w:tcPr>
            <w:tcW w:w="856" w:type="dxa"/>
            <w:tcBorders>
              <w:top w:val="nil"/>
              <w:left w:val="nil"/>
              <w:bottom w:val="nil"/>
              <w:right w:val="nil"/>
            </w:tcBorders>
            <w:shd w:val="clear" w:color="auto" w:fill="auto"/>
            <w:noWrap/>
            <w:vAlign w:val="center"/>
            <w:hideMark/>
          </w:tcPr>
          <w:p w14:paraId="482BC12C" w14:textId="02259859"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1500</w:t>
            </w:r>
          </w:p>
        </w:tc>
        <w:tc>
          <w:tcPr>
            <w:tcW w:w="856" w:type="dxa"/>
            <w:tcBorders>
              <w:top w:val="nil"/>
              <w:left w:val="nil"/>
              <w:bottom w:val="nil"/>
              <w:right w:val="nil"/>
            </w:tcBorders>
            <w:shd w:val="clear" w:color="auto" w:fill="auto"/>
            <w:noWrap/>
            <w:vAlign w:val="center"/>
            <w:hideMark/>
          </w:tcPr>
          <w:p w14:paraId="519EA11B" w14:textId="29DE91EF"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28</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8250</w:t>
            </w:r>
          </w:p>
        </w:tc>
      </w:tr>
      <w:tr w:rsidR="000424EF" w:rsidRPr="000424EF" w14:paraId="1BC2F813"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444E64DD"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Spirochaetes</w:t>
            </w:r>
          </w:p>
        </w:tc>
        <w:tc>
          <w:tcPr>
            <w:tcW w:w="2237" w:type="dxa"/>
            <w:tcBorders>
              <w:top w:val="nil"/>
              <w:left w:val="nil"/>
              <w:bottom w:val="nil"/>
              <w:right w:val="nil"/>
            </w:tcBorders>
            <w:shd w:val="clear" w:color="auto" w:fill="auto"/>
            <w:noWrap/>
            <w:vAlign w:val="bottom"/>
            <w:hideMark/>
          </w:tcPr>
          <w:p w14:paraId="0E804F3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Spirochaetia</w:t>
            </w:r>
          </w:p>
        </w:tc>
        <w:tc>
          <w:tcPr>
            <w:tcW w:w="1924" w:type="dxa"/>
            <w:tcBorders>
              <w:top w:val="nil"/>
              <w:left w:val="nil"/>
              <w:bottom w:val="nil"/>
              <w:right w:val="nil"/>
            </w:tcBorders>
            <w:shd w:val="clear" w:color="auto" w:fill="auto"/>
            <w:noWrap/>
            <w:vAlign w:val="bottom"/>
            <w:hideMark/>
          </w:tcPr>
          <w:p w14:paraId="6B6B13F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Spirochaetales</w:t>
            </w:r>
          </w:p>
        </w:tc>
        <w:tc>
          <w:tcPr>
            <w:tcW w:w="2211" w:type="dxa"/>
            <w:tcBorders>
              <w:top w:val="nil"/>
              <w:left w:val="nil"/>
              <w:bottom w:val="nil"/>
              <w:right w:val="nil"/>
            </w:tcBorders>
            <w:shd w:val="clear" w:color="auto" w:fill="auto"/>
            <w:noWrap/>
            <w:vAlign w:val="bottom"/>
            <w:hideMark/>
          </w:tcPr>
          <w:p w14:paraId="05EAE785"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Spirochaetaceae</w:t>
            </w:r>
          </w:p>
        </w:tc>
        <w:tc>
          <w:tcPr>
            <w:tcW w:w="2573" w:type="dxa"/>
            <w:tcBorders>
              <w:top w:val="nil"/>
              <w:left w:val="nil"/>
              <w:bottom w:val="nil"/>
              <w:right w:val="nil"/>
            </w:tcBorders>
            <w:shd w:val="clear" w:color="auto" w:fill="auto"/>
            <w:noWrap/>
            <w:vAlign w:val="bottom"/>
            <w:hideMark/>
          </w:tcPr>
          <w:p w14:paraId="1FC090B1"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Treponema</w:t>
            </w:r>
          </w:p>
        </w:tc>
        <w:tc>
          <w:tcPr>
            <w:tcW w:w="932" w:type="dxa"/>
            <w:tcBorders>
              <w:top w:val="nil"/>
              <w:left w:val="nil"/>
              <w:bottom w:val="nil"/>
              <w:right w:val="nil"/>
            </w:tcBorders>
            <w:shd w:val="clear" w:color="auto" w:fill="auto"/>
            <w:noWrap/>
            <w:vAlign w:val="center"/>
            <w:hideMark/>
          </w:tcPr>
          <w:p w14:paraId="397B92B2" w14:textId="14BA67FC"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8400</w:t>
            </w:r>
          </w:p>
        </w:tc>
        <w:tc>
          <w:tcPr>
            <w:tcW w:w="1026" w:type="dxa"/>
            <w:tcBorders>
              <w:top w:val="nil"/>
              <w:left w:val="nil"/>
              <w:bottom w:val="nil"/>
              <w:right w:val="nil"/>
            </w:tcBorders>
            <w:shd w:val="clear" w:color="auto" w:fill="auto"/>
            <w:noWrap/>
            <w:vAlign w:val="center"/>
            <w:hideMark/>
          </w:tcPr>
          <w:p w14:paraId="54B77993" w14:textId="390AFF7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7343</w:t>
            </w:r>
          </w:p>
        </w:tc>
        <w:tc>
          <w:tcPr>
            <w:tcW w:w="856" w:type="dxa"/>
            <w:tcBorders>
              <w:top w:val="nil"/>
              <w:left w:val="nil"/>
              <w:bottom w:val="nil"/>
              <w:right w:val="nil"/>
            </w:tcBorders>
            <w:shd w:val="clear" w:color="auto" w:fill="auto"/>
            <w:noWrap/>
            <w:vAlign w:val="center"/>
            <w:hideMark/>
          </w:tcPr>
          <w:p w14:paraId="1DBFDE1C" w14:textId="4D0BD282"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4365</w:t>
            </w:r>
          </w:p>
        </w:tc>
        <w:tc>
          <w:tcPr>
            <w:tcW w:w="856" w:type="dxa"/>
            <w:tcBorders>
              <w:top w:val="nil"/>
              <w:left w:val="nil"/>
              <w:bottom w:val="nil"/>
              <w:right w:val="nil"/>
            </w:tcBorders>
            <w:shd w:val="clear" w:color="auto" w:fill="auto"/>
            <w:noWrap/>
            <w:vAlign w:val="center"/>
            <w:hideMark/>
          </w:tcPr>
          <w:p w14:paraId="64B8AC9D" w14:textId="2C33790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4660</w:t>
            </w:r>
          </w:p>
        </w:tc>
      </w:tr>
      <w:tr w:rsidR="000424EF" w:rsidRPr="000424EF" w14:paraId="004E38D7"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21B3C01B"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Bacteroidetes</w:t>
            </w:r>
          </w:p>
        </w:tc>
        <w:tc>
          <w:tcPr>
            <w:tcW w:w="2237" w:type="dxa"/>
            <w:tcBorders>
              <w:top w:val="nil"/>
              <w:left w:val="nil"/>
              <w:bottom w:val="nil"/>
              <w:right w:val="nil"/>
            </w:tcBorders>
            <w:shd w:val="clear" w:color="auto" w:fill="auto"/>
            <w:noWrap/>
            <w:vAlign w:val="bottom"/>
            <w:hideMark/>
          </w:tcPr>
          <w:p w14:paraId="07DD7F1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Bacteroidia</w:t>
            </w:r>
          </w:p>
        </w:tc>
        <w:tc>
          <w:tcPr>
            <w:tcW w:w="1924" w:type="dxa"/>
            <w:tcBorders>
              <w:top w:val="nil"/>
              <w:left w:val="nil"/>
              <w:bottom w:val="nil"/>
              <w:right w:val="nil"/>
            </w:tcBorders>
            <w:shd w:val="clear" w:color="auto" w:fill="auto"/>
            <w:noWrap/>
            <w:vAlign w:val="bottom"/>
            <w:hideMark/>
          </w:tcPr>
          <w:p w14:paraId="5760459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Bacteroidales</w:t>
            </w:r>
          </w:p>
        </w:tc>
        <w:tc>
          <w:tcPr>
            <w:tcW w:w="2211" w:type="dxa"/>
            <w:tcBorders>
              <w:top w:val="nil"/>
              <w:left w:val="nil"/>
              <w:bottom w:val="nil"/>
              <w:right w:val="nil"/>
            </w:tcBorders>
            <w:shd w:val="clear" w:color="auto" w:fill="auto"/>
            <w:noWrap/>
            <w:vAlign w:val="bottom"/>
            <w:hideMark/>
          </w:tcPr>
          <w:p w14:paraId="235A2485"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Bacteroidaceae</w:t>
            </w:r>
          </w:p>
        </w:tc>
        <w:tc>
          <w:tcPr>
            <w:tcW w:w="2573" w:type="dxa"/>
            <w:tcBorders>
              <w:top w:val="nil"/>
              <w:left w:val="nil"/>
              <w:bottom w:val="nil"/>
              <w:right w:val="nil"/>
            </w:tcBorders>
            <w:shd w:val="clear" w:color="auto" w:fill="auto"/>
            <w:noWrap/>
            <w:vAlign w:val="bottom"/>
            <w:hideMark/>
          </w:tcPr>
          <w:p w14:paraId="5437CF6B"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Bacteroides</w:t>
            </w:r>
          </w:p>
        </w:tc>
        <w:tc>
          <w:tcPr>
            <w:tcW w:w="932" w:type="dxa"/>
            <w:tcBorders>
              <w:top w:val="nil"/>
              <w:left w:val="nil"/>
              <w:bottom w:val="nil"/>
              <w:right w:val="nil"/>
            </w:tcBorders>
            <w:shd w:val="clear" w:color="auto" w:fill="auto"/>
            <w:noWrap/>
            <w:vAlign w:val="center"/>
            <w:hideMark/>
          </w:tcPr>
          <w:p w14:paraId="7C1D122F" w14:textId="693C1D62"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5775</w:t>
            </w:r>
          </w:p>
        </w:tc>
        <w:tc>
          <w:tcPr>
            <w:tcW w:w="1026" w:type="dxa"/>
            <w:tcBorders>
              <w:top w:val="nil"/>
              <w:left w:val="nil"/>
              <w:bottom w:val="nil"/>
              <w:right w:val="nil"/>
            </w:tcBorders>
            <w:shd w:val="clear" w:color="auto" w:fill="auto"/>
            <w:noWrap/>
            <w:vAlign w:val="center"/>
            <w:hideMark/>
          </w:tcPr>
          <w:p w14:paraId="024F9EDF" w14:textId="312132EE"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4158</w:t>
            </w:r>
          </w:p>
        </w:tc>
        <w:tc>
          <w:tcPr>
            <w:tcW w:w="856" w:type="dxa"/>
            <w:tcBorders>
              <w:top w:val="nil"/>
              <w:left w:val="nil"/>
              <w:bottom w:val="nil"/>
              <w:right w:val="nil"/>
            </w:tcBorders>
            <w:shd w:val="clear" w:color="auto" w:fill="auto"/>
            <w:noWrap/>
            <w:vAlign w:val="center"/>
            <w:hideMark/>
          </w:tcPr>
          <w:p w14:paraId="438E85FC" w14:textId="0DD2851F"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6033</w:t>
            </w:r>
          </w:p>
        </w:tc>
        <w:tc>
          <w:tcPr>
            <w:tcW w:w="856" w:type="dxa"/>
            <w:tcBorders>
              <w:top w:val="nil"/>
              <w:left w:val="nil"/>
              <w:bottom w:val="nil"/>
              <w:right w:val="nil"/>
            </w:tcBorders>
            <w:shd w:val="clear" w:color="auto" w:fill="auto"/>
            <w:noWrap/>
            <w:vAlign w:val="center"/>
            <w:hideMark/>
          </w:tcPr>
          <w:p w14:paraId="4DB6FE7F" w14:textId="03861A68"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5840</w:t>
            </w:r>
          </w:p>
        </w:tc>
      </w:tr>
      <w:tr w:rsidR="000424EF" w:rsidRPr="000424EF" w14:paraId="5EF6EA11"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53E73665"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681E939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w:t>
            </w:r>
          </w:p>
        </w:tc>
        <w:tc>
          <w:tcPr>
            <w:tcW w:w="1924" w:type="dxa"/>
            <w:tcBorders>
              <w:top w:val="nil"/>
              <w:left w:val="nil"/>
              <w:bottom w:val="nil"/>
              <w:right w:val="nil"/>
            </w:tcBorders>
            <w:shd w:val="clear" w:color="auto" w:fill="auto"/>
            <w:noWrap/>
            <w:vAlign w:val="bottom"/>
            <w:hideMark/>
          </w:tcPr>
          <w:p w14:paraId="780FDF7D"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Clostridiales</w:t>
            </w:r>
          </w:p>
        </w:tc>
        <w:tc>
          <w:tcPr>
            <w:tcW w:w="2211" w:type="dxa"/>
            <w:tcBorders>
              <w:top w:val="nil"/>
              <w:left w:val="nil"/>
              <w:bottom w:val="nil"/>
              <w:right w:val="nil"/>
            </w:tcBorders>
            <w:shd w:val="clear" w:color="auto" w:fill="auto"/>
            <w:noWrap/>
            <w:vAlign w:val="bottom"/>
            <w:hideMark/>
          </w:tcPr>
          <w:p w14:paraId="13FDB8F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Ruminococcaceae</w:t>
            </w:r>
          </w:p>
        </w:tc>
        <w:tc>
          <w:tcPr>
            <w:tcW w:w="2573" w:type="dxa"/>
            <w:tcBorders>
              <w:top w:val="nil"/>
              <w:left w:val="nil"/>
              <w:bottom w:val="nil"/>
              <w:right w:val="nil"/>
            </w:tcBorders>
            <w:shd w:val="clear" w:color="auto" w:fill="auto"/>
            <w:noWrap/>
            <w:vAlign w:val="bottom"/>
            <w:hideMark/>
          </w:tcPr>
          <w:p w14:paraId="07AEC86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Oscillibacter</w:t>
            </w:r>
          </w:p>
        </w:tc>
        <w:tc>
          <w:tcPr>
            <w:tcW w:w="932" w:type="dxa"/>
            <w:tcBorders>
              <w:top w:val="nil"/>
              <w:left w:val="nil"/>
              <w:bottom w:val="nil"/>
              <w:right w:val="nil"/>
            </w:tcBorders>
            <w:shd w:val="clear" w:color="auto" w:fill="auto"/>
            <w:noWrap/>
            <w:vAlign w:val="bottom"/>
            <w:hideMark/>
          </w:tcPr>
          <w:p w14:paraId="574B1958" w14:textId="53A6D987"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8825</w:t>
            </w:r>
          </w:p>
        </w:tc>
        <w:tc>
          <w:tcPr>
            <w:tcW w:w="1026" w:type="dxa"/>
            <w:tcBorders>
              <w:top w:val="nil"/>
              <w:left w:val="nil"/>
              <w:bottom w:val="nil"/>
              <w:right w:val="nil"/>
            </w:tcBorders>
            <w:shd w:val="clear" w:color="auto" w:fill="auto"/>
            <w:noWrap/>
            <w:vAlign w:val="bottom"/>
            <w:hideMark/>
          </w:tcPr>
          <w:p w14:paraId="77181D75" w14:textId="20F0655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5275</w:t>
            </w:r>
          </w:p>
        </w:tc>
        <w:tc>
          <w:tcPr>
            <w:tcW w:w="856" w:type="dxa"/>
            <w:tcBorders>
              <w:top w:val="nil"/>
              <w:left w:val="nil"/>
              <w:bottom w:val="nil"/>
              <w:right w:val="nil"/>
            </w:tcBorders>
            <w:shd w:val="clear" w:color="auto" w:fill="auto"/>
            <w:noWrap/>
            <w:vAlign w:val="bottom"/>
            <w:hideMark/>
          </w:tcPr>
          <w:p w14:paraId="732EFF32" w14:textId="6AC7430F"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4675</w:t>
            </w:r>
          </w:p>
        </w:tc>
        <w:tc>
          <w:tcPr>
            <w:tcW w:w="856" w:type="dxa"/>
            <w:tcBorders>
              <w:top w:val="nil"/>
              <w:left w:val="nil"/>
              <w:bottom w:val="nil"/>
              <w:right w:val="nil"/>
            </w:tcBorders>
            <w:shd w:val="clear" w:color="auto" w:fill="auto"/>
            <w:noWrap/>
            <w:vAlign w:val="bottom"/>
            <w:hideMark/>
          </w:tcPr>
          <w:p w14:paraId="6D011E5E" w14:textId="1F67FF49"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2625</w:t>
            </w:r>
          </w:p>
        </w:tc>
      </w:tr>
      <w:tr w:rsidR="000424EF" w:rsidRPr="000424EF" w14:paraId="33D530BA"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417E79F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2C1B141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w:t>
            </w:r>
          </w:p>
        </w:tc>
        <w:tc>
          <w:tcPr>
            <w:tcW w:w="1924" w:type="dxa"/>
            <w:tcBorders>
              <w:top w:val="nil"/>
              <w:left w:val="nil"/>
              <w:bottom w:val="nil"/>
              <w:right w:val="nil"/>
            </w:tcBorders>
            <w:shd w:val="clear" w:color="auto" w:fill="auto"/>
            <w:noWrap/>
            <w:vAlign w:val="bottom"/>
            <w:hideMark/>
          </w:tcPr>
          <w:p w14:paraId="25DE71C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Clostridiales</w:t>
            </w:r>
          </w:p>
        </w:tc>
        <w:tc>
          <w:tcPr>
            <w:tcW w:w="2211" w:type="dxa"/>
            <w:tcBorders>
              <w:top w:val="nil"/>
              <w:left w:val="nil"/>
              <w:bottom w:val="nil"/>
              <w:right w:val="nil"/>
            </w:tcBorders>
            <w:shd w:val="clear" w:color="auto" w:fill="auto"/>
            <w:noWrap/>
            <w:vAlign w:val="bottom"/>
            <w:hideMark/>
          </w:tcPr>
          <w:p w14:paraId="61BF945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Lachnospiraceae</w:t>
            </w:r>
          </w:p>
        </w:tc>
        <w:tc>
          <w:tcPr>
            <w:tcW w:w="2573" w:type="dxa"/>
            <w:tcBorders>
              <w:top w:val="nil"/>
              <w:left w:val="nil"/>
              <w:bottom w:val="nil"/>
              <w:right w:val="nil"/>
            </w:tcBorders>
            <w:shd w:val="clear" w:color="auto" w:fill="auto"/>
            <w:noWrap/>
            <w:vAlign w:val="bottom"/>
            <w:hideMark/>
          </w:tcPr>
          <w:p w14:paraId="0DAABE8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Clostridium_XlVa</w:t>
            </w:r>
          </w:p>
        </w:tc>
        <w:tc>
          <w:tcPr>
            <w:tcW w:w="932" w:type="dxa"/>
            <w:tcBorders>
              <w:top w:val="nil"/>
              <w:left w:val="nil"/>
              <w:bottom w:val="nil"/>
              <w:right w:val="nil"/>
            </w:tcBorders>
            <w:shd w:val="clear" w:color="auto" w:fill="auto"/>
            <w:noWrap/>
            <w:vAlign w:val="center"/>
            <w:hideMark/>
          </w:tcPr>
          <w:p w14:paraId="6A5BEA40" w14:textId="2691EE8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1975</w:t>
            </w:r>
          </w:p>
        </w:tc>
        <w:tc>
          <w:tcPr>
            <w:tcW w:w="1026" w:type="dxa"/>
            <w:tcBorders>
              <w:top w:val="nil"/>
              <w:left w:val="nil"/>
              <w:bottom w:val="nil"/>
              <w:right w:val="nil"/>
            </w:tcBorders>
            <w:shd w:val="clear" w:color="auto" w:fill="auto"/>
            <w:noWrap/>
            <w:vAlign w:val="center"/>
            <w:hideMark/>
          </w:tcPr>
          <w:p w14:paraId="633695B4" w14:textId="1658627E"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4253</w:t>
            </w:r>
          </w:p>
        </w:tc>
        <w:tc>
          <w:tcPr>
            <w:tcW w:w="856" w:type="dxa"/>
            <w:tcBorders>
              <w:top w:val="nil"/>
              <w:left w:val="nil"/>
              <w:bottom w:val="nil"/>
              <w:right w:val="nil"/>
            </w:tcBorders>
            <w:shd w:val="clear" w:color="auto" w:fill="auto"/>
            <w:noWrap/>
            <w:vAlign w:val="center"/>
            <w:hideMark/>
          </w:tcPr>
          <w:p w14:paraId="401A0F47" w14:textId="0EE841E0"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6033</w:t>
            </w:r>
          </w:p>
        </w:tc>
        <w:tc>
          <w:tcPr>
            <w:tcW w:w="856" w:type="dxa"/>
            <w:tcBorders>
              <w:top w:val="nil"/>
              <w:left w:val="nil"/>
              <w:bottom w:val="nil"/>
              <w:right w:val="nil"/>
            </w:tcBorders>
            <w:shd w:val="clear" w:color="auto" w:fill="auto"/>
            <w:noWrap/>
            <w:vAlign w:val="center"/>
            <w:hideMark/>
          </w:tcPr>
          <w:p w14:paraId="42C8FE6B" w14:textId="0404BE87"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6445</w:t>
            </w:r>
          </w:p>
        </w:tc>
      </w:tr>
      <w:tr w:rsidR="000424EF" w:rsidRPr="000424EF" w14:paraId="021F35D2"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14BB31F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 xml:space="preserve">Proteobacteria </w:t>
            </w:r>
          </w:p>
        </w:tc>
        <w:tc>
          <w:tcPr>
            <w:tcW w:w="2237" w:type="dxa"/>
            <w:tcBorders>
              <w:top w:val="nil"/>
              <w:left w:val="nil"/>
              <w:bottom w:val="nil"/>
              <w:right w:val="nil"/>
            </w:tcBorders>
            <w:shd w:val="clear" w:color="auto" w:fill="auto"/>
            <w:noWrap/>
            <w:vAlign w:val="bottom"/>
            <w:hideMark/>
          </w:tcPr>
          <w:p w14:paraId="6C782412"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Deltaproteobacteria</w:t>
            </w:r>
          </w:p>
        </w:tc>
        <w:tc>
          <w:tcPr>
            <w:tcW w:w="1924" w:type="dxa"/>
            <w:tcBorders>
              <w:top w:val="nil"/>
              <w:left w:val="nil"/>
              <w:bottom w:val="nil"/>
              <w:right w:val="nil"/>
            </w:tcBorders>
            <w:shd w:val="clear" w:color="auto" w:fill="auto"/>
            <w:noWrap/>
            <w:vAlign w:val="bottom"/>
            <w:hideMark/>
          </w:tcPr>
          <w:p w14:paraId="580CBCD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Desulfovibrionales</w:t>
            </w:r>
          </w:p>
        </w:tc>
        <w:tc>
          <w:tcPr>
            <w:tcW w:w="2211" w:type="dxa"/>
            <w:tcBorders>
              <w:top w:val="nil"/>
              <w:left w:val="nil"/>
              <w:bottom w:val="nil"/>
              <w:right w:val="nil"/>
            </w:tcBorders>
            <w:shd w:val="clear" w:color="auto" w:fill="auto"/>
            <w:noWrap/>
            <w:vAlign w:val="bottom"/>
            <w:hideMark/>
          </w:tcPr>
          <w:p w14:paraId="7BB5C9D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Desulfovibrionaceae</w:t>
            </w:r>
          </w:p>
        </w:tc>
        <w:tc>
          <w:tcPr>
            <w:tcW w:w="2573" w:type="dxa"/>
            <w:tcBorders>
              <w:top w:val="nil"/>
              <w:left w:val="nil"/>
              <w:bottom w:val="nil"/>
              <w:right w:val="nil"/>
            </w:tcBorders>
            <w:shd w:val="clear" w:color="auto" w:fill="auto"/>
            <w:noWrap/>
            <w:vAlign w:val="bottom"/>
            <w:hideMark/>
          </w:tcPr>
          <w:p w14:paraId="080D245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Desulfovibrio</w:t>
            </w:r>
          </w:p>
        </w:tc>
        <w:tc>
          <w:tcPr>
            <w:tcW w:w="932" w:type="dxa"/>
            <w:tcBorders>
              <w:top w:val="nil"/>
              <w:left w:val="nil"/>
              <w:bottom w:val="nil"/>
              <w:right w:val="nil"/>
            </w:tcBorders>
            <w:shd w:val="clear" w:color="auto" w:fill="auto"/>
            <w:noWrap/>
            <w:vAlign w:val="center"/>
            <w:hideMark/>
          </w:tcPr>
          <w:p w14:paraId="7B389C95" w14:textId="429B6D4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4638</w:t>
            </w:r>
          </w:p>
        </w:tc>
        <w:tc>
          <w:tcPr>
            <w:tcW w:w="1026" w:type="dxa"/>
            <w:tcBorders>
              <w:top w:val="nil"/>
              <w:left w:val="nil"/>
              <w:bottom w:val="nil"/>
              <w:right w:val="nil"/>
            </w:tcBorders>
            <w:shd w:val="clear" w:color="auto" w:fill="auto"/>
            <w:noWrap/>
            <w:vAlign w:val="center"/>
            <w:hideMark/>
          </w:tcPr>
          <w:p w14:paraId="45DC050D" w14:textId="6EA35B99"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7847</w:t>
            </w:r>
          </w:p>
        </w:tc>
        <w:tc>
          <w:tcPr>
            <w:tcW w:w="856" w:type="dxa"/>
            <w:tcBorders>
              <w:top w:val="nil"/>
              <w:left w:val="nil"/>
              <w:bottom w:val="nil"/>
              <w:right w:val="nil"/>
            </w:tcBorders>
            <w:shd w:val="clear" w:color="auto" w:fill="auto"/>
            <w:noWrap/>
            <w:vAlign w:val="center"/>
            <w:hideMark/>
          </w:tcPr>
          <w:p w14:paraId="24BAA68E" w14:textId="257C2EF2"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5585</w:t>
            </w:r>
          </w:p>
        </w:tc>
        <w:tc>
          <w:tcPr>
            <w:tcW w:w="856" w:type="dxa"/>
            <w:tcBorders>
              <w:top w:val="nil"/>
              <w:left w:val="nil"/>
              <w:bottom w:val="nil"/>
              <w:right w:val="nil"/>
            </w:tcBorders>
            <w:shd w:val="clear" w:color="auto" w:fill="auto"/>
            <w:noWrap/>
            <w:vAlign w:val="center"/>
            <w:hideMark/>
          </w:tcPr>
          <w:p w14:paraId="27945F78" w14:textId="33E80EBF"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6310</w:t>
            </w:r>
          </w:p>
        </w:tc>
      </w:tr>
      <w:tr w:rsidR="000424EF" w:rsidRPr="000424EF" w14:paraId="62248049"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026067C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Bacteroidetes</w:t>
            </w:r>
          </w:p>
        </w:tc>
        <w:tc>
          <w:tcPr>
            <w:tcW w:w="2237" w:type="dxa"/>
            <w:tcBorders>
              <w:top w:val="nil"/>
              <w:left w:val="nil"/>
              <w:bottom w:val="nil"/>
              <w:right w:val="nil"/>
            </w:tcBorders>
            <w:shd w:val="clear" w:color="auto" w:fill="auto"/>
            <w:noWrap/>
            <w:vAlign w:val="bottom"/>
            <w:hideMark/>
          </w:tcPr>
          <w:p w14:paraId="4778D58B"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Bacteroidia</w:t>
            </w:r>
          </w:p>
        </w:tc>
        <w:tc>
          <w:tcPr>
            <w:tcW w:w="1924" w:type="dxa"/>
            <w:tcBorders>
              <w:top w:val="nil"/>
              <w:left w:val="nil"/>
              <w:bottom w:val="nil"/>
              <w:right w:val="nil"/>
            </w:tcBorders>
            <w:shd w:val="clear" w:color="auto" w:fill="auto"/>
            <w:noWrap/>
            <w:vAlign w:val="bottom"/>
            <w:hideMark/>
          </w:tcPr>
          <w:p w14:paraId="01A50718"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Bacteroidales</w:t>
            </w:r>
          </w:p>
        </w:tc>
        <w:tc>
          <w:tcPr>
            <w:tcW w:w="2211" w:type="dxa"/>
            <w:tcBorders>
              <w:top w:val="nil"/>
              <w:left w:val="nil"/>
              <w:bottom w:val="nil"/>
              <w:right w:val="nil"/>
            </w:tcBorders>
            <w:shd w:val="clear" w:color="auto" w:fill="auto"/>
            <w:noWrap/>
            <w:vAlign w:val="bottom"/>
            <w:hideMark/>
          </w:tcPr>
          <w:p w14:paraId="330DC82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Porphyromonadaceae</w:t>
            </w:r>
          </w:p>
        </w:tc>
        <w:tc>
          <w:tcPr>
            <w:tcW w:w="2573" w:type="dxa"/>
            <w:tcBorders>
              <w:top w:val="nil"/>
              <w:left w:val="nil"/>
              <w:bottom w:val="nil"/>
              <w:right w:val="nil"/>
            </w:tcBorders>
            <w:shd w:val="clear" w:color="auto" w:fill="auto"/>
            <w:noWrap/>
            <w:vAlign w:val="bottom"/>
            <w:hideMark/>
          </w:tcPr>
          <w:p w14:paraId="32C3A4D5"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Parabacteroides</w:t>
            </w:r>
          </w:p>
        </w:tc>
        <w:tc>
          <w:tcPr>
            <w:tcW w:w="932" w:type="dxa"/>
            <w:tcBorders>
              <w:top w:val="nil"/>
              <w:left w:val="nil"/>
              <w:bottom w:val="nil"/>
              <w:right w:val="nil"/>
            </w:tcBorders>
            <w:shd w:val="clear" w:color="auto" w:fill="auto"/>
            <w:noWrap/>
            <w:vAlign w:val="bottom"/>
            <w:hideMark/>
          </w:tcPr>
          <w:p w14:paraId="1697549D" w14:textId="226406C2"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2</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7000</w:t>
            </w:r>
          </w:p>
        </w:tc>
        <w:tc>
          <w:tcPr>
            <w:tcW w:w="1026" w:type="dxa"/>
            <w:tcBorders>
              <w:top w:val="nil"/>
              <w:left w:val="nil"/>
              <w:bottom w:val="nil"/>
              <w:right w:val="nil"/>
            </w:tcBorders>
            <w:shd w:val="clear" w:color="auto" w:fill="auto"/>
            <w:noWrap/>
            <w:vAlign w:val="bottom"/>
            <w:hideMark/>
          </w:tcPr>
          <w:p w14:paraId="4695C2F8" w14:textId="039A9AE3"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0</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5400</w:t>
            </w:r>
          </w:p>
        </w:tc>
        <w:tc>
          <w:tcPr>
            <w:tcW w:w="856" w:type="dxa"/>
            <w:tcBorders>
              <w:top w:val="nil"/>
              <w:left w:val="nil"/>
              <w:bottom w:val="nil"/>
              <w:right w:val="nil"/>
            </w:tcBorders>
            <w:shd w:val="clear" w:color="auto" w:fill="auto"/>
            <w:noWrap/>
            <w:vAlign w:val="bottom"/>
            <w:hideMark/>
          </w:tcPr>
          <w:p w14:paraId="7A658190" w14:textId="4ADAF80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0</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9600</w:t>
            </w:r>
          </w:p>
        </w:tc>
        <w:tc>
          <w:tcPr>
            <w:tcW w:w="856" w:type="dxa"/>
            <w:tcBorders>
              <w:top w:val="nil"/>
              <w:left w:val="nil"/>
              <w:bottom w:val="nil"/>
              <w:right w:val="nil"/>
            </w:tcBorders>
            <w:shd w:val="clear" w:color="auto" w:fill="auto"/>
            <w:noWrap/>
            <w:vAlign w:val="bottom"/>
            <w:hideMark/>
          </w:tcPr>
          <w:p w14:paraId="23287530" w14:textId="79982182"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0</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4900</w:t>
            </w:r>
          </w:p>
        </w:tc>
      </w:tr>
      <w:tr w:rsidR="000424EF" w:rsidRPr="000424EF" w14:paraId="2F18FCE1"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2D5A662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000DED1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w:t>
            </w:r>
          </w:p>
        </w:tc>
        <w:tc>
          <w:tcPr>
            <w:tcW w:w="1924" w:type="dxa"/>
            <w:tcBorders>
              <w:top w:val="nil"/>
              <w:left w:val="nil"/>
              <w:bottom w:val="nil"/>
              <w:right w:val="nil"/>
            </w:tcBorders>
            <w:shd w:val="clear" w:color="auto" w:fill="auto"/>
            <w:noWrap/>
            <w:vAlign w:val="bottom"/>
            <w:hideMark/>
          </w:tcPr>
          <w:p w14:paraId="314E508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Clostridiales</w:t>
            </w:r>
          </w:p>
        </w:tc>
        <w:tc>
          <w:tcPr>
            <w:tcW w:w="2211" w:type="dxa"/>
            <w:tcBorders>
              <w:top w:val="nil"/>
              <w:left w:val="nil"/>
              <w:bottom w:val="nil"/>
              <w:right w:val="nil"/>
            </w:tcBorders>
            <w:shd w:val="clear" w:color="auto" w:fill="auto"/>
            <w:noWrap/>
            <w:vAlign w:val="bottom"/>
            <w:hideMark/>
          </w:tcPr>
          <w:p w14:paraId="2474CAA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Clostridiaceae</w:t>
            </w:r>
          </w:p>
        </w:tc>
        <w:tc>
          <w:tcPr>
            <w:tcW w:w="2573" w:type="dxa"/>
            <w:tcBorders>
              <w:top w:val="nil"/>
              <w:left w:val="nil"/>
              <w:bottom w:val="nil"/>
              <w:right w:val="nil"/>
            </w:tcBorders>
            <w:shd w:val="clear" w:color="auto" w:fill="auto"/>
            <w:noWrap/>
            <w:vAlign w:val="bottom"/>
            <w:hideMark/>
          </w:tcPr>
          <w:p w14:paraId="2F8E3358"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Clostridium_sensu_stricto</w:t>
            </w:r>
          </w:p>
        </w:tc>
        <w:tc>
          <w:tcPr>
            <w:tcW w:w="932" w:type="dxa"/>
            <w:tcBorders>
              <w:top w:val="nil"/>
              <w:left w:val="nil"/>
              <w:bottom w:val="nil"/>
              <w:right w:val="nil"/>
            </w:tcBorders>
            <w:shd w:val="clear" w:color="auto" w:fill="auto"/>
            <w:noWrap/>
            <w:vAlign w:val="center"/>
            <w:hideMark/>
          </w:tcPr>
          <w:p w14:paraId="7D547AED" w14:textId="2DCD3ECC"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2180</w:t>
            </w:r>
          </w:p>
        </w:tc>
        <w:tc>
          <w:tcPr>
            <w:tcW w:w="1026" w:type="dxa"/>
            <w:tcBorders>
              <w:top w:val="nil"/>
              <w:left w:val="nil"/>
              <w:bottom w:val="nil"/>
              <w:right w:val="nil"/>
            </w:tcBorders>
            <w:shd w:val="clear" w:color="auto" w:fill="auto"/>
            <w:noWrap/>
            <w:vAlign w:val="center"/>
            <w:hideMark/>
          </w:tcPr>
          <w:p w14:paraId="2CFCCCA3" w14:textId="2AD3284E"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1588</w:t>
            </w:r>
          </w:p>
        </w:tc>
        <w:tc>
          <w:tcPr>
            <w:tcW w:w="856" w:type="dxa"/>
            <w:tcBorders>
              <w:top w:val="nil"/>
              <w:left w:val="nil"/>
              <w:bottom w:val="nil"/>
              <w:right w:val="nil"/>
            </w:tcBorders>
            <w:shd w:val="clear" w:color="auto" w:fill="auto"/>
            <w:noWrap/>
            <w:vAlign w:val="center"/>
            <w:hideMark/>
          </w:tcPr>
          <w:p w14:paraId="79434A79" w14:textId="70A45E5B"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2220</w:t>
            </w:r>
          </w:p>
        </w:tc>
        <w:tc>
          <w:tcPr>
            <w:tcW w:w="856" w:type="dxa"/>
            <w:tcBorders>
              <w:top w:val="nil"/>
              <w:left w:val="nil"/>
              <w:bottom w:val="nil"/>
              <w:right w:val="nil"/>
            </w:tcBorders>
            <w:shd w:val="clear" w:color="auto" w:fill="auto"/>
            <w:noWrap/>
            <w:vAlign w:val="center"/>
            <w:hideMark/>
          </w:tcPr>
          <w:p w14:paraId="258D0C2E" w14:textId="5569CC9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8010</w:t>
            </w:r>
          </w:p>
        </w:tc>
      </w:tr>
      <w:tr w:rsidR="000424EF" w:rsidRPr="000424EF" w14:paraId="26C36E0D"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6CAA181B"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 xml:space="preserve">Proteobacteria </w:t>
            </w:r>
          </w:p>
        </w:tc>
        <w:tc>
          <w:tcPr>
            <w:tcW w:w="2237" w:type="dxa"/>
            <w:tcBorders>
              <w:top w:val="nil"/>
              <w:left w:val="nil"/>
              <w:bottom w:val="nil"/>
              <w:right w:val="nil"/>
            </w:tcBorders>
            <w:shd w:val="clear" w:color="auto" w:fill="auto"/>
            <w:noWrap/>
            <w:vAlign w:val="bottom"/>
            <w:hideMark/>
          </w:tcPr>
          <w:p w14:paraId="546BB1E1"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Gammaproteobacteria</w:t>
            </w:r>
          </w:p>
        </w:tc>
        <w:tc>
          <w:tcPr>
            <w:tcW w:w="1924" w:type="dxa"/>
            <w:tcBorders>
              <w:top w:val="nil"/>
              <w:left w:val="nil"/>
              <w:bottom w:val="nil"/>
              <w:right w:val="nil"/>
            </w:tcBorders>
            <w:shd w:val="clear" w:color="auto" w:fill="auto"/>
            <w:noWrap/>
            <w:vAlign w:val="bottom"/>
            <w:hideMark/>
          </w:tcPr>
          <w:p w14:paraId="4293D822"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Aeromonadales</w:t>
            </w:r>
          </w:p>
        </w:tc>
        <w:tc>
          <w:tcPr>
            <w:tcW w:w="2211" w:type="dxa"/>
            <w:tcBorders>
              <w:top w:val="nil"/>
              <w:left w:val="nil"/>
              <w:bottom w:val="nil"/>
              <w:right w:val="nil"/>
            </w:tcBorders>
            <w:shd w:val="clear" w:color="auto" w:fill="auto"/>
            <w:noWrap/>
            <w:vAlign w:val="bottom"/>
            <w:hideMark/>
          </w:tcPr>
          <w:p w14:paraId="3CD7708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Succinivibrionaceae</w:t>
            </w:r>
          </w:p>
        </w:tc>
        <w:tc>
          <w:tcPr>
            <w:tcW w:w="2573" w:type="dxa"/>
            <w:tcBorders>
              <w:top w:val="nil"/>
              <w:left w:val="nil"/>
              <w:bottom w:val="nil"/>
              <w:right w:val="nil"/>
            </w:tcBorders>
            <w:shd w:val="clear" w:color="auto" w:fill="auto"/>
            <w:noWrap/>
            <w:vAlign w:val="bottom"/>
            <w:hideMark/>
          </w:tcPr>
          <w:p w14:paraId="3006007B"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Succinivibrio</w:t>
            </w:r>
          </w:p>
        </w:tc>
        <w:tc>
          <w:tcPr>
            <w:tcW w:w="932" w:type="dxa"/>
            <w:tcBorders>
              <w:top w:val="nil"/>
              <w:left w:val="nil"/>
              <w:bottom w:val="nil"/>
              <w:right w:val="nil"/>
            </w:tcBorders>
            <w:shd w:val="clear" w:color="auto" w:fill="auto"/>
            <w:noWrap/>
            <w:vAlign w:val="center"/>
            <w:hideMark/>
          </w:tcPr>
          <w:p w14:paraId="714D430D" w14:textId="0BBCAA27"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2515</w:t>
            </w:r>
          </w:p>
        </w:tc>
        <w:tc>
          <w:tcPr>
            <w:tcW w:w="1026" w:type="dxa"/>
            <w:tcBorders>
              <w:top w:val="nil"/>
              <w:left w:val="nil"/>
              <w:bottom w:val="nil"/>
              <w:right w:val="nil"/>
            </w:tcBorders>
            <w:shd w:val="clear" w:color="auto" w:fill="auto"/>
            <w:noWrap/>
            <w:vAlign w:val="center"/>
            <w:hideMark/>
          </w:tcPr>
          <w:p w14:paraId="3C1237CB" w14:textId="0A3E2C90"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6115</w:t>
            </w:r>
          </w:p>
        </w:tc>
        <w:tc>
          <w:tcPr>
            <w:tcW w:w="856" w:type="dxa"/>
            <w:tcBorders>
              <w:top w:val="nil"/>
              <w:left w:val="nil"/>
              <w:bottom w:val="nil"/>
              <w:right w:val="nil"/>
            </w:tcBorders>
            <w:shd w:val="clear" w:color="auto" w:fill="auto"/>
            <w:noWrap/>
            <w:vAlign w:val="center"/>
            <w:hideMark/>
          </w:tcPr>
          <w:p w14:paraId="21F33A25" w14:textId="5280ED89"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5</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9400</w:t>
            </w:r>
          </w:p>
        </w:tc>
        <w:tc>
          <w:tcPr>
            <w:tcW w:w="856" w:type="dxa"/>
            <w:tcBorders>
              <w:top w:val="nil"/>
              <w:left w:val="nil"/>
              <w:bottom w:val="nil"/>
              <w:right w:val="nil"/>
            </w:tcBorders>
            <w:shd w:val="clear" w:color="auto" w:fill="auto"/>
            <w:noWrap/>
            <w:vAlign w:val="center"/>
            <w:hideMark/>
          </w:tcPr>
          <w:p w14:paraId="0B0A574A" w14:textId="37139F5B"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4</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0150</w:t>
            </w:r>
          </w:p>
        </w:tc>
      </w:tr>
      <w:tr w:rsidR="000424EF" w:rsidRPr="000424EF" w14:paraId="71E28648"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3261BD18"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 xml:space="preserve">Proteobacteria </w:t>
            </w:r>
          </w:p>
        </w:tc>
        <w:tc>
          <w:tcPr>
            <w:tcW w:w="2237" w:type="dxa"/>
            <w:tcBorders>
              <w:top w:val="nil"/>
              <w:left w:val="nil"/>
              <w:bottom w:val="nil"/>
              <w:right w:val="nil"/>
            </w:tcBorders>
            <w:shd w:val="clear" w:color="auto" w:fill="auto"/>
            <w:noWrap/>
            <w:vAlign w:val="bottom"/>
            <w:hideMark/>
          </w:tcPr>
          <w:p w14:paraId="6AA0096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Epsilonproteobacteria</w:t>
            </w:r>
          </w:p>
        </w:tc>
        <w:tc>
          <w:tcPr>
            <w:tcW w:w="1924" w:type="dxa"/>
            <w:tcBorders>
              <w:top w:val="nil"/>
              <w:left w:val="nil"/>
              <w:bottom w:val="nil"/>
              <w:right w:val="nil"/>
            </w:tcBorders>
            <w:shd w:val="clear" w:color="auto" w:fill="auto"/>
            <w:noWrap/>
            <w:vAlign w:val="bottom"/>
            <w:hideMark/>
          </w:tcPr>
          <w:p w14:paraId="18966DE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Campylobacterales</w:t>
            </w:r>
          </w:p>
        </w:tc>
        <w:tc>
          <w:tcPr>
            <w:tcW w:w="2211" w:type="dxa"/>
            <w:tcBorders>
              <w:top w:val="nil"/>
              <w:left w:val="nil"/>
              <w:bottom w:val="nil"/>
              <w:right w:val="nil"/>
            </w:tcBorders>
            <w:shd w:val="clear" w:color="auto" w:fill="auto"/>
            <w:noWrap/>
            <w:vAlign w:val="bottom"/>
            <w:hideMark/>
          </w:tcPr>
          <w:p w14:paraId="5E03A99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Campylobacteraceae</w:t>
            </w:r>
          </w:p>
        </w:tc>
        <w:tc>
          <w:tcPr>
            <w:tcW w:w="2573" w:type="dxa"/>
            <w:tcBorders>
              <w:top w:val="nil"/>
              <w:left w:val="nil"/>
              <w:bottom w:val="nil"/>
              <w:right w:val="nil"/>
            </w:tcBorders>
            <w:shd w:val="clear" w:color="auto" w:fill="auto"/>
            <w:noWrap/>
            <w:vAlign w:val="bottom"/>
            <w:hideMark/>
          </w:tcPr>
          <w:p w14:paraId="4D8EAC5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Campylobacter</w:t>
            </w:r>
          </w:p>
        </w:tc>
        <w:tc>
          <w:tcPr>
            <w:tcW w:w="932" w:type="dxa"/>
            <w:tcBorders>
              <w:top w:val="nil"/>
              <w:left w:val="nil"/>
              <w:bottom w:val="nil"/>
              <w:right w:val="nil"/>
            </w:tcBorders>
            <w:shd w:val="clear" w:color="auto" w:fill="auto"/>
            <w:noWrap/>
            <w:vAlign w:val="center"/>
            <w:hideMark/>
          </w:tcPr>
          <w:p w14:paraId="7575C025" w14:textId="3F881AA3"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6853</w:t>
            </w:r>
          </w:p>
        </w:tc>
        <w:tc>
          <w:tcPr>
            <w:tcW w:w="1026" w:type="dxa"/>
            <w:tcBorders>
              <w:top w:val="nil"/>
              <w:left w:val="nil"/>
              <w:bottom w:val="nil"/>
              <w:right w:val="nil"/>
            </w:tcBorders>
            <w:shd w:val="clear" w:color="auto" w:fill="auto"/>
            <w:noWrap/>
            <w:vAlign w:val="center"/>
            <w:hideMark/>
          </w:tcPr>
          <w:p w14:paraId="41593D08" w14:textId="455FC6AB"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6738</w:t>
            </w:r>
          </w:p>
        </w:tc>
        <w:tc>
          <w:tcPr>
            <w:tcW w:w="856" w:type="dxa"/>
            <w:tcBorders>
              <w:top w:val="nil"/>
              <w:left w:val="nil"/>
              <w:bottom w:val="nil"/>
              <w:right w:val="nil"/>
            </w:tcBorders>
            <w:shd w:val="clear" w:color="auto" w:fill="auto"/>
            <w:noWrap/>
            <w:vAlign w:val="center"/>
            <w:hideMark/>
          </w:tcPr>
          <w:p w14:paraId="178743D6" w14:textId="165C9037"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5828</w:t>
            </w:r>
          </w:p>
        </w:tc>
        <w:tc>
          <w:tcPr>
            <w:tcW w:w="856" w:type="dxa"/>
            <w:tcBorders>
              <w:top w:val="nil"/>
              <w:left w:val="nil"/>
              <w:bottom w:val="nil"/>
              <w:right w:val="nil"/>
            </w:tcBorders>
            <w:shd w:val="clear" w:color="auto" w:fill="auto"/>
            <w:noWrap/>
            <w:vAlign w:val="center"/>
            <w:hideMark/>
          </w:tcPr>
          <w:p w14:paraId="3B4219BF" w14:textId="617A42D0"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9038</w:t>
            </w:r>
          </w:p>
        </w:tc>
      </w:tr>
      <w:tr w:rsidR="000424EF" w:rsidRPr="000424EF" w14:paraId="4CC0B3D8"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1A46667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Fusobacteria</w:t>
            </w:r>
          </w:p>
        </w:tc>
        <w:tc>
          <w:tcPr>
            <w:tcW w:w="2237" w:type="dxa"/>
            <w:tcBorders>
              <w:top w:val="nil"/>
              <w:left w:val="nil"/>
              <w:bottom w:val="nil"/>
              <w:right w:val="nil"/>
            </w:tcBorders>
            <w:shd w:val="clear" w:color="auto" w:fill="auto"/>
            <w:noWrap/>
            <w:vAlign w:val="bottom"/>
            <w:hideMark/>
          </w:tcPr>
          <w:p w14:paraId="19D53201"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Fusobacteriia</w:t>
            </w:r>
          </w:p>
        </w:tc>
        <w:tc>
          <w:tcPr>
            <w:tcW w:w="1924" w:type="dxa"/>
            <w:tcBorders>
              <w:top w:val="nil"/>
              <w:left w:val="nil"/>
              <w:bottom w:val="nil"/>
              <w:right w:val="nil"/>
            </w:tcBorders>
            <w:shd w:val="clear" w:color="auto" w:fill="auto"/>
            <w:noWrap/>
            <w:vAlign w:val="bottom"/>
            <w:hideMark/>
          </w:tcPr>
          <w:p w14:paraId="22EC1D3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Fusobacteriales</w:t>
            </w:r>
          </w:p>
        </w:tc>
        <w:tc>
          <w:tcPr>
            <w:tcW w:w="2211" w:type="dxa"/>
            <w:tcBorders>
              <w:top w:val="nil"/>
              <w:left w:val="nil"/>
              <w:bottom w:val="nil"/>
              <w:right w:val="nil"/>
            </w:tcBorders>
            <w:shd w:val="clear" w:color="auto" w:fill="auto"/>
            <w:noWrap/>
            <w:vAlign w:val="bottom"/>
            <w:hideMark/>
          </w:tcPr>
          <w:p w14:paraId="572A94E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Fusobacteriaceae</w:t>
            </w:r>
          </w:p>
        </w:tc>
        <w:tc>
          <w:tcPr>
            <w:tcW w:w="2573" w:type="dxa"/>
            <w:tcBorders>
              <w:top w:val="nil"/>
              <w:left w:val="nil"/>
              <w:bottom w:val="nil"/>
              <w:right w:val="nil"/>
            </w:tcBorders>
            <w:shd w:val="clear" w:color="auto" w:fill="auto"/>
            <w:noWrap/>
            <w:vAlign w:val="bottom"/>
            <w:hideMark/>
          </w:tcPr>
          <w:p w14:paraId="17A0849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Fusobacterium</w:t>
            </w:r>
          </w:p>
        </w:tc>
        <w:tc>
          <w:tcPr>
            <w:tcW w:w="932" w:type="dxa"/>
            <w:tcBorders>
              <w:top w:val="nil"/>
              <w:left w:val="nil"/>
              <w:bottom w:val="nil"/>
              <w:right w:val="nil"/>
            </w:tcBorders>
            <w:shd w:val="clear" w:color="auto" w:fill="auto"/>
            <w:noWrap/>
            <w:vAlign w:val="bottom"/>
            <w:hideMark/>
          </w:tcPr>
          <w:p w14:paraId="040C7B8B" w14:textId="1055B8A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0755</w:t>
            </w:r>
          </w:p>
        </w:tc>
        <w:tc>
          <w:tcPr>
            <w:tcW w:w="1026" w:type="dxa"/>
            <w:tcBorders>
              <w:top w:val="nil"/>
              <w:left w:val="nil"/>
              <w:bottom w:val="nil"/>
              <w:right w:val="nil"/>
            </w:tcBorders>
            <w:shd w:val="clear" w:color="auto" w:fill="auto"/>
            <w:noWrap/>
            <w:vAlign w:val="bottom"/>
            <w:hideMark/>
          </w:tcPr>
          <w:p w14:paraId="6DEC2450" w14:textId="63ADF4B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0260</w:t>
            </w:r>
          </w:p>
        </w:tc>
        <w:tc>
          <w:tcPr>
            <w:tcW w:w="856" w:type="dxa"/>
            <w:tcBorders>
              <w:top w:val="nil"/>
              <w:left w:val="nil"/>
              <w:bottom w:val="nil"/>
              <w:right w:val="nil"/>
            </w:tcBorders>
            <w:shd w:val="clear" w:color="auto" w:fill="auto"/>
            <w:noWrap/>
            <w:vAlign w:val="bottom"/>
            <w:hideMark/>
          </w:tcPr>
          <w:p w14:paraId="173A0055" w14:textId="56DEDBEC"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7720</w:t>
            </w:r>
          </w:p>
        </w:tc>
        <w:tc>
          <w:tcPr>
            <w:tcW w:w="856" w:type="dxa"/>
            <w:tcBorders>
              <w:top w:val="nil"/>
              <w:left w:val="nil"/>
              <w:bottom w:val="nil"/>
              <w:right w:val="nil"/>
            </w:tcBorders>
            <w:shd w:val="clear" w:color="auto" w:fill="auto"/>
            <w:noWrap/>
            <w:vAlign w:val="bottom"/>
            <w:hideMark/>
          </w:tcPr>
          <w:p w14:paraId="272B8CAE" w14:textId="48DDE00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4353</w:t>
            </w:r>
          </w:p>
        </w:tc>
      </w:tr>
      <w:tr w:rsidR="000424EF" w:rsidRPr="000424EF" w14:paraId="2B81B36F"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17C04DF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Bacteroidetes</w:t>
            </w:r>
          </w:p>
        </w:tc>
        <w:tc>
          <w:tcPr>
            <w:tcW w:w="2237" w:type="dxa"/>
            <w:tcBorders>
              <w:top w:val="nil"/>
              <w:left w:val="nil"/>
              <w:bottom w:val="nil"/>
              <w:right w:val="nil"/>
            </w:tcBorders>
            <w:shd w:val="clear" w:color="auto" w:fill="auto"/>
            <w:noWrap/>
            <w:vAlign w:val="bottom"/>
            <w:hideMark/>
          </w:tcPr>
          <w:p w14:paraId="477CF206"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Bacteroidia</w:t>
            </w:r>
          </w:p>
        </w:tc>
        <w:tc>
          <w:tcPr>
            <w:tcW w:w="1924" w:type="dxa"/>
            <w:tcBorders>
              <w:top w:val="nil"/>
              <w:left w:val="nil"/>
              <w:bottom w:val="nil"/>
              <w:right w:val="nil"/>
            </w:tcBorders>
            <w:shd w:val="clear" w:color="auto" w:fill="auto"/>
            <w:noWrap/>
            <w:vAlign w:val="bottom"/>
            <w:hideMark/>
          </w:tcPr>
          <w:p w14:paraId="1F5DA77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Bacteroidales</w:t>
            </w:r>
          </w:p>
        </w:tc>
        <w:tc>
          <w:tcPr>
            <w:tcW w:w="2211" w:type="dxa"/>
            <w:tcBorders>
              <w:top w:val="nil"/>
              <w:left w:val="nil"/>
              <w:bottom w:val="nil"/>
              <w:right w:val="nil"/>
            </w:tcBorders>
            <w:shd w:val="clear" w:color="auto" w:fill="auto"/>
            <w:noWrap/>
            <w:vAlign w:val="bottom"/>
            <w:hideMark/>
          </w:tcPr>
          <w:p w14:paraId="66EE97E2"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Prevotellaceae</w:t>
            </w:r>
          </w:p>
        </w:tc>
        <w:tc>
          <w:tcPr>
            <w:tcW w:w="2573" w:type="dxa"/>
            <w:tcBorders>
              <w:top w:val="nil"/>
              <w:left w:val="nil"/>
              <w:bottom w:val="nil"/>
              <w:right w:val="nil"/>
            </w:tcBorders>
            <w:shd w:val="clear" w:color="auto" w:fill="auto"/>
            <w:noWrap/>
            <w:vAlign w:val="bottom"/>
            <w:hideMark/>
          </w:tcPr>
          <w:p w14:paraId="6A45AB8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Alloprevotella</w:t>
            </w:r>
          </w:p>
        </w:tc>
        <w:tc>
          <w:tcPr>
            <w:tcW w:w="932" w:type="dxa"/>
            <w:tcBorders>
              <w:top w:val="nil"/>
              <w:left w:val="nil"/>
              <w:bottom w:val="nil"/>
              <w:right w:val="nil"/>
            </w:tcBorders>
            <w:shd w:val="clear" w:color="auto" w:fill="auto"/>
            <w:noWrap/>
            <w:vAlign w:val="center"/>
            <w:hideMark/>
          </w:tcPr>
          <w:p w14:paraId="0DD1CECF" w14:textId="15C691B6"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5</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0100</w:t>
            </w:r>
          </w:p>
        </w:tc>
        <w:tc>
          <w:tcPr>
            <w:tcW w:w="1026" w:type="dxa"/>
            <w:tcBorders>
              <w:top w:val="nil"/>
              <w:left w:val="nil"/>
              <w:bottom w:val="nil"/>
              <w:right w:val="nil"/>
            </w:tcBorders>
            <w:shd w:val="clear" w:color="auto" w:fill="auto"/>
            <w:noWrap/>
            <w:vAlign w:val="center"/>
            <w:hideMark/>
          </w:tcPr>
          <w:p w14:paraId="44F7853C" w14:textId="480FC3D8"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2875</w:t>
            </w:r>
          </w:p>
        </w:tc>
        <w:tc>
          <w:tcPr>
            <w:tcW w:w="856" w:type="dxa"/>
            <w:tcBorders>
              <w:top w:val="nil"/>
              <w:left w:val="nil"/>
              <w:bottom w:val="nil"/>
              <w:right w:val="nil"/>
            </w:tcBorders>
            <w:shd w:val="clear" w:color="auto" w:fill="auto"/>
            <w:noWrap/>
            <w:vAlign w:val="center"/>
            <w:hideMark/>
          </w:tcPr>
          <w:p w14:paraId="66BF24D0" w14:textId="636CAF8B"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2275</w:t>
            </w:r>
          </w:p>
        </w:tc>
        <w:tc>
          <w:tcPr>
            <w:tcW w:w="856" w:type="dxa"/>
            <w:tcBorders>
              <w:top w:val="nil"/>
              <w:left w:val="nil"/>
              <w:bottom w:val="nil"/>
              <w:right w:val="nil"/>
            </w:tcBorders>
            <w:shd w:val="clear" w:color="auto" w:fill="auto"/>
            <w:noWrap/>
            <w:vAlign w:val="center"/>
            <w:hideMark/>
          </w:tcPr>
          <w:p w14:paraId="4DF42D7B" w14:textId="58FC6083"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5</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6900</w:t>
            </w:r>
          </w:p>
        </w:tc>
      </w:tr>
      <w:tr w:rsidR="000424EF" w:rsidRPr="000424EF" w14:paraId="15094A1B"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29CD6472"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479328F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Negativicutes</w:t>
            </w:r>
          </w:p>
        </w:tc>
        <w:tc>
          <w:tcPr>
            <w:tcW w:w="1924" w:type="dxa"/>
            <w:tcBorders>
              <w:top w:val="nil"/>
              <w:left w:val="nil"/>
              <w:bottom w:val="nil"/>
              <w:right w:val="nil"/>
            </w:tcBorders>
            <w:shd w:val="clear" w:color="auto" w:fill="auto"/>
            <w:noWrap/>
            <w:vAlign w:val="bottom"/>
            <w:hideMark/>
          </w:tcPr>
          <w:p w14:paraId="7396F3AD"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Selenomonadales</w:t>
            </w:r>
          </w:p>
        </w:tc>
        <w:tc>
          <w:tcPr>
            <w:tcW w:w="2211" w:type="dxa"/>
            <w:tcBorders>
              <w:top w:val="nil"/>
              <w:left w:val="nil"/>
              <w:bottom w:val="nil"/>
              <w:right w:val="nil"/>
            </w:tcBorders>
            <w:shd w:val="clear" w:color="auto" w:fill="auto"/>
            <w:noWrap/>
            <w:vAlign w:val="bottom"/>
            <w:hideMark/>
          </w:tcPr>
          <w:p w14:paraId="010F284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Veillonellaceae</w:t>
            </w:r>
          </w:p>
        </w:tc>
        <w:tc>
          <w:tcPr>
            <w:tcW w:w="2573" w:type="dxa"/>
            <w:tcBorders>
              <w:top w:val="nil"/>
              <w:left w:val="nil"/>
              <w:bottom w:val="nil"/>
              <w:right w:val="nil"/>
            </w:tcBorders>
            <w:shd w:val="clear" w:color="auto" w:fill="auto"/>
            <w:noWrap/>
            <w:vAlign w:val="bottom"/>
            <w:hideMark/>
          </w:tcPr>
          <w:p w14:paraId="3D895CD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Megasphaera</w:t>
            </w:r>
          </w:p>
        </w:tc>
        <w:tc>
          <w:tcPr>
            <w:tcW w:w="932" w:type="dxa"/>
            <w:tcBorders>
              <w:top w:val="nil"/>
              <w:left w:val="nil"/>
              <w:bottom w:val="nil"/>
              <w:right w:val="nil"/>
            </w:tcBorders>
            <w:shd w:val="clear" w:color="auto" w:fill="auto"/>
            <w:noWrap/>
            <w:vAlign w:val="center"/>
            <w:hideMark/>
          </w:tcPr>
          <w:p w14:paraId="59BBD2FD" w14:textId="18EE5FB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6950</w:t>
            </w:r>
          </w:p>
        </w:tc>
        <w:tc>
          <w:tcPr>
            <w:tcW w:w="1026" w:type="dxa"/>
            <w:tcBorders>
              <w:top w:val="nil"/>
              <w:left w:val="nil"/>
              <w:bottom w:val="nil"/>
              <w:right w:val="nil"/>
            </w:tcBorders>
            <w:shd w:val="clear" w:color="auto" w:fill="auto"/>
            <w:noWrap/>
            <w:vAlign w:val="center"/>
            <w:hideMark/>
          </w:tcPr>
          <w:p w14:paraId="159A1745" w14:textId="036A6FE3"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1105</w:t>
            </w:r>
          </w:p>
        </w:tc>
        <w:tc>
          <w:tcPr>
            <w:tcW w:w="856" w:type="dxa"/>
            <w:tcBorders>
              <w:top w:val="nil"/>
              <w:left w:val="nil"/>
              <w:bottom w:val="nil"/>
              <w:right w:val="nil"/>
            </w:tcBorders>
            <w:shd w:val="clear" w:color="auto" w:fill="auto"/>
            <w:noWrap/>
            <w:vAlign w:val="center"/>
            <w:hideMark/>
          </w:tcPr>
          <w:p w14:paraId="537B5FFF" w14:textId="7CE61C15"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0575</w:t>
            </w:r>
          </w:p>
        </w:tc>
        <w:tc>
          <w:tcPr>
            <w:tcW w:w="856" w:type="dxa"/>
            <w:tcBorders>
              <w:top w:val="nil"/>
              <w:left w:val="nil"/>
              <w:bottom w:val="nil"/>
              <w:right w:val="nil"/>
            </w:tcBorders>
            <w:shd w:val="clear" w:color="auto" w:fill="auto"/>
            <w:noWrap/>
            <w:vAlign w:val="center"/>
            <w:hideMark/>
          </w:tcPr>
          <w:p w14:paraId="3F1EA0BD" w14:textId="2CF1695A"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9105</w:t>
            </w:r>
          </w:p>
        </w:tc>
      </w:tr>
      <w:tr w:rsidR="000424EF" w:rsidRPr="000424EF" w14:paraId="2948476C"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206CA05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024EE0E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Bacilli</w:t>
            </w:r>
          </w:p>
        </w:tc>
        <w:tc>
          <w:tcPr>
            <w:tcW w:w="1924" w:type="dxa"/>
            <w:tcBorders>
              <w:top w:val="nil"/>
              <w:left w:val="nil"/>
              <w:bottom w:val="nil"/>
              <w:right w:val="nil"/>
            </w:tcBorders>
            <w:shd w:val="clear" w:color="auto" w:fill="auto"/>
            <w:noWrap/>
            <w:vAlign w:val="bottom"/>
            <w:hideMark/>
          </w:tcPr>
          <w:p w14:paraId="2715B39D"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Lactobacillales</w:t>
            </w:r>
          </w:p>
        </w:tc>
        <w:tc>
          <w:tcPr>
            <w:tcW w:w="2211" w:type="dxa"/>
            <w:tcBorders>
              <w:top w:val="nil"/>
              <w:left w:val="nil"/>
              <w:bottom w:val="nil"/>
              <w:right w:val="nil"/>
            </w:tcBorders>
            <w:shd w:val="clear" w:color="auto" w:fill="auto"/>
            <w:noWrap/>
            <w:vAlign w:val="bottom"/>
            <w:hideMark/>
          </w:tcPr>
          <w:p w14:paraId="06985765"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Streptococcaceae</w:t>
            </w:r>
          </w:p>
        </w:tc>
        <w:tc>
          <w:tcPr>
            <w:tcW w:w="2573" w:type="dxa"/>
            <w:tcBorders>
              <w:top w:val="nil"/>
              <w:left w:val="nil"/>
              <w:bottom w:val="nil"/>
              <w:right w:val="nil"/>
            </w:tcBorders>
            <w:shd w:val="clear" w:color="auto" w:fill="auto"/>
            <w:noWrap/>
            <w:vAlign w:val="bottom"/>
            <w:hideMark/>
          </w:tcPr>
          <w:p w14:paraId="1D5D8181"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Streptococcus</w:t>
            </w:r>
          </w:p>
        </w:tc>
        <w:tc>
          <w:tcPr>
            <w:tcW w:w="932" w:type="dxa"/>
            <w:tcBorders>
              <w:top w:val="nil"/>
              <w:left w:val="nil"/>
              <w:bottom w:val="nil"/>
              <w:right w:val="nil"/>
            </w:tcBorders>
            <w:shd w:val="clear" w:color="auto" w:fill="auto"/>
            <w:noWrap/>
            <w:vAlign w:val="center"/>
            <w:hideMark/>
          </w:tcPr>
          <w:p w14:paraId="273DF41A" w14:textId="34CC87DE"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5623</w:t>
            </w:r>
          </w:p>
        </w:tc>
        <w:tc>
          <w:tcPr>
            <w:tcW w:w="1026" w:type="dxa"/>
            <w:tcBorders>
              <w:top w:val="nil"/>
              <w:left w:val="nil"/>
              <w:bottom w:val="nil"/>
              <w:right w:val="nil"/>
            </w:tcBorders>
            <w:shd w:val="clear" w:color="auto" w:fill="auto"/>
            <w:noWrap/>
            <w:vAlign w:val="center"/>
            <w:hideMark/>
          </w:tcPr>
          <w:p w14:paraId="0ECA52CE" w14:textId="011C8C02"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7545</w:t>
            </w:r>
          </w:p>
        </w:tc>
        <w:tc>
          <w:tcPr>
            <w:tcW w:w="856" w:type="dxa"/>
            <w:tcBorders>
              <w:top w:val="nil"/>
              <w:left w:val="nil"/>
              <w:bottom w:val="nil"/>
              <w:right w:val="nil"/>
            </w:tcBorders>
            <w:shd w:val="clear" w:color="auto" w:fill="auto"/>
            <w:noWrap/>
            <w:vAlign w:val="center"/>
            <w:hideMark/>
          </w:tcPr>
          <w:p w14:paraId="02D755A6" w14:textId="433A6C93"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9475</w:t>
            </w:r>
          </w:p>
        </w:tc>
        <w:tc>
          <w:tcPr>
            <w:tcW w:w="856" w:type="dxa"/>
            <w:tcBorders>
              <w:top w:val="nil"/>
              <w:left w:val="nil"/>
              <w:bottom w:val="nil"/>
              <w:right w:val="nil"/>
            </w:tcBorders>
            <w:shd w:val="clear" w:color="auto" w:fill="auto"/>
            <w:noWrap/>
            <w:vAlign w:val="center"/>
            <w:hideMark/>
          </w:tcPr>
          <w:p w14:paraId="19FD663F" w14:textId="208F3E8C"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9150</w:t>
            </w:r>
          </w:p>
        </w:tc>
      </w:tr>
      <w:tr w:rsidR="000424EF" w:rsidRPr="000424EF" w14:paraId="3D3922A9"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54E8BE1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7FD2747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w:t>
            </w:r>
          </w:p>
        </w:tc>
        <w:tc>
          <w:tcPr>
            <w:tcW w:w="1924" w:type="dxa"/>
            <w:tcBorders>
              <w:top w:val="nil"/>
              <w:left w:val="nil"/>
              <w:bottom w:val="nil"/>
              <w:right w:val="nil"/>
            </w:tcBorders>
            <w:shd w:val="clear" w:color="auto" w:fill="auto"/>
            <w:noWrap/>
            <w:vAlign w:val="bottom"/>
            <w:hideMark/>
          </w:tcPr>
          <w:p w14:paraId="47CAE4D4"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Clostridiales</w:t>
            </w:r>
          </w:p>
        </w:tc>
        <w:tc>
          <w:tcPr>
            <w:tcW w:w="2211" w:type="dxa"/>
            <w:tcBorders>
              <w:top w:val="nil"/>
              <w:left w:val="nil"/>
              <w:bottom w:val="nil"/>
              <w:right w:val="nil"/>
            </w:tcBorders>
            <w:shd w:val="clear" w:color="auto" w:fill="auto"/>
            <w:noWrap/>
            <w:vAlign w:val="bottom"/>
            <w:hideMark/>
          </w:tcPr>
          <w:p w14:paraId="4DB96C8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Lachnospiraceae</w:t>
            </w:r>
          </w:p>
        </w:tc>
        <w:tc>
          <w:tcPr>
            <w:tcW w:w="2573" w:type="dxa"/>
            <w:tcBorders>
              <w:top w:val="nil"/>
              <w:left w:val="nil"/>
              <w:bottom w:val="nil"/>
              <w:right w:val="nil"/>
            </w:tcBorders>
            <w:shd w:val="clear" w:color="auto" w:fill="auto"/>
            <w:noWrap/>
            <w:vAlign w:val="bottom"/>
            <w:hideMark/>
          </w:tcPr>
          <w:p w14:paraId="5D869818"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Roseburia</w:t>
            </w:r>
          </w:p>
        </w:tc>
        <w:tc>
          <w:tcPr>
            <w:tcW w:w="932" w:type="dxa"/>
            <w:tcBorders>
              <w:top w:val="nil"/>
              <w:left w:val="nil"/>
              <w:bottom w:val="nil"/>
              <w:right w:val="nil"/>
            </w:tcBorders>
            <w:shd w:val="clear" w:color="auto" w:fill="auto"/>
            <w:noWrap/>
            <w:vAlign w:val="center"/>
            <w:hideMark/>
          </w:tcPr>
          <w:p w14:paraId="0F85AB03" w14:textId="09A6D613"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9198</w:t>
            </w:r>
          </w:p>
        </w:tc>
        <w:tc>
          <w:tcPr>
            <w:tcW w:w="1026" w:type="dxa"/>
            <w:tcBorders>
              <w:top w:val="nil"/>
              <w:left w:val="nil"/>
              <w:bottom w:val="nil"/>
              <w:right w:val="nil"/>
            </w:tcBorders>
            <w:shd w:val="clear" w:color="auto" w:fill="auto"/>
            <w:noWrap/>
            <w:vAlign w:val="center"/>
            <w:hideMark/>
          </w:tcPr>
          <w:p w14:paraId="15FE40D9" w14:textId="265D55BE"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4760</w:t>
            </w:r>
          </w:p>
        </w:tc>
        <w:tc>
          <w:tcPr>
            <w:tcW w:w="856" w:type="dxa"/>
            <w:tcBorders>
              <w:top w:val="nil"/>
              <w:left w:val="nil"/>
              <w:bottom w:val="nil"/>
              <w:right w:val="nil"/>
            </w:tcBorders>
            <w:shd w:val="clear" w:color="auto" w:fill="auto"/>
            <w:noWrap/>
            <w:vAlign w:val="center"/>
            <w:hideMark/>
          </w:tcPr>
          <w:p w14:paraId="560A857E" w14:textId="0B2C5091"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0873</w:t>
            </w:r>
          </w:p>
        </w:tc>
        <w:tc>
          <w:tcPr>
            <w:tcW w:w="856" w:type="dxa"/>
            <w:tcBorders>
              <w:top w:val="nil"/>
              <w:left w:val="nil"/>
              <w:bottom w:val="nil"/>
              <w:right w:val="nil"/>
            </w:tcBorders>
            <w:shd w:val="clear" w:color="auto" w:fill="auto"/>
            <w:noWrap/>
            <w:vAlign w:val="center"/>
            <w:hideMark/>
          </w:tcPr>
          <w:p w14:paraId="6CB0299B" w14:textId="413EDEC5"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8483</w:t>
            </w:r>
          </w:p>
        </w:tc>
      </w:tr>
      <w:tr w:rsidR="000424EF" w:rsidRPr="000424EF" w14:paraId="1F0AF74D"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53F370E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 xml:space="preserve">Proteobacteria </w:t>
            </w:r>
          </w:p>
        </w:tc>
        <w:tc>
          <w:tcPr>
            <w:tcW w:w="2237" w:type="dxa"/>
            <w:tcBorders>
              <w:top w:val="nil"/>
              <w:left w:val="nil"/>
              <w:bottom w:val="nil"/>
              <w:right w:val="nil"/>
            </w:tcBorders>
            <w:shd w:val="clear" w:color="auto" w:fill="auto"/>
            <w:noWrap/>
            <w:vAlign w:val="bottom"/>
            <w:hideMark/>
          </w:tcPr>
          <w:p w14:paraId="3D3F4102"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Gammaproteobacteria</w:t>
            </w:r>
          </w:p>
        </w:tc>
        <w:tc>
          <w:tcPr>
            <w:tcW w:w="1924" w:type="dxa"/>
            <w:tcBorders>
              <w:top w:val="nil"/>
              <w:left w:val="nil"/>
              <w:bottom w:val="nil"/>
              <w:right w:val="nil"/>
            </w:tcBorders>
            <w:shd w:val="clear" w:color="auto" w:fill="auto"/>
            <w:noWrap/>
            <w:vAlign w:val="bottom"/>
            <w:hideMark/>
          </w:tcPr>
          <w:p w14:paraId="3EADC391"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Pasteurellales</w:t>
            </w:r>
          </w:p>
        </w:tc>
        <w:tc>
          <w:tcPr>
            <w:tcW w:w="2211" w:type="dxa"/>
            <w:tcBorders>
              <w:top w:val="nil"/>
              <w:left w:val="nil"/>
              <w:bottom w:val="nil"/>
              <w:right w:val="nil"/>
            </w:tcBorders>
            <w:shd w:val="clear" w:color="auto" w:fill="auto"/>
            <w:noWrap/>
            <w:vAlign w:val="bottom"/>
            <w:hideMark/>
          </w:tcPr>
          <w:p w14:paraId="2B34635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Pasteurellaceae</w:t>
            </w:r>
          </w:p>
        </w:tc>
        <w:tc>
          <w:tcPr>
            <w:tcW w:w="2573" w:type="dxa"/>
            <w:tcBorders>
              <w:top w:val="nil"/>
              <w:left w:val="nil"/>
              <w:bottom w:val="nil"/>
              <w:right w:val="nil"/>
            </w:tcBorders>
            <w:shd w:val="clear" w:color="auto" w:fill="auto"/>
            <w:noWrap/>
            <w:vAlign w:val="bottom"/>
            <w:hideMark/>
          </w:tcPr>
          <w:p w14:paraId="13D426B9"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Actinobacillus</w:t>
            </w:r>
          </w:p>
        </w:tc>
        <w:tc>
          <w:tcPr>
            <w:tcW w:w="932" w:type="dxa"/>
            <w:tcBorders>
              <w:top w:val="nil"/>
              <w:left w:val="nil"/>
              <w:bottom w:val="nil"/>
              <w:right w:val="nil"/>
            </w:tcBorders>
            <w:shd w:val="clear" w:color="auto" w:fill="auto"/>
            <w:noWrap/>
            <w:vAlign w:val="center"/>
            <w:hideMark/>
          </w:tcPr>
          <w:p w14:paraId="4CDE556F" w14:textId="08C38521"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1473</w:t>
            </w:r>
          </w:p>
        </w:tc>
        <w:tc>
          <w:tcPr>
            <w:tcW w:w="1026" w:type="dxa"/>
            <w:tcBorders>
              <w:top w:val="nil"/>
              <w:left w:val="nil"/>
              <w:bottom w:val="nil"/>
              <w:right w:val="nil"/>
            </w:tcBorders>
            <w:shd w:val="clear" w:color="auto" w:fill="auto"/>
            <w:noWrap/>
            <w:vAlign w:val="center"/>
            <w:hideMark/>
          </w:tcPr>
          <w:p w14:paraId="08804F15" w14:textId="07B0E2C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2163</w:t>
            </w:r>
          </w:p>
        </w:tc>
        <w:tc>
          <w:tcPr>
            <w:tcW w:w="856" w:type="dxa"/>
            <w:tcBorders>
              <w:top w:val="nil"/>
              <w:left w:val="nil"/>
              <w:bottom w:val="nil"/>
              <w:right w:val="nil"/>
            </w:tcBorders>
            <w:shd w:val="clear" w:color="auto" w:fill="auto"/>
            <w:noWrap/>
            <w:vAlign w:val="center"/>
            <w:hideMark/>
          </w:tcPr>
          <w:p w14:paraId="3D667E3E" w14:textId="74B4B97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5953</w:t>
            </w:r>
          </w:p>
        </w:tc>
        <w:tc>
          <w:tcPr>
            <w:tcW w:w="856" w:type="dxa"/>
            <w:tcBorders>
              <w:top w:val="nil"/>
              <w:left w:val="nil"/>
              <w:bottom w:val="nil"/>
              <w:right w:val="nil"/>
            </w:tcBorders>
            <w:shd w:val="clear" w:color="auto" w:fill="auto"/>
            <w:noWrap/>
            <w:vAlign w:val="center"/>
            <w:hideMark/>
          </w:tcPr>
          <w:p w14:paraId="2005F168" w14:textId="09B4848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2998</w:t>
            </w:r>
          </w:p>
        </w:tc>
      </w:tr>
      <w:tr w:rsidR="000424EF" w:rsidRPr="000424EF" w14:paraId="67FC952E"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02BE1A9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 xml:space="preserve">Proteobacteria </w:t>
            </w:r>
          </w:p>
        </w:tc>
        <w:tc>
          <w:tcPr>
            <w:tcW w:w="2237" w:type="dxa"/>
            <w:tcBorders>
              <w:top w:val="nil"/>
              <w:left w:val="nil"/>
              <w:bottom w:val="nil"/>
              <w:right w:val="nil"/>
            </w:tcBorders>
            <w:shd w:val="clear" w:color="auto" w:fill="auto"/>
            <w:noWrap/>
            <w:vAlign w:val="bottom"/>
            <w:hideMark/>
          </w:tcPr>
          <w:p w14:paraId="520FEA7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Epsilonproteobacteria</w:t>
            </w:r>
          </w:p>
        </w:tc>
        <w:tc>
          <w:tcPr>
            <w:tcW w:w="1924" w:type="dxa"/>
            <w:tcBorders>
              <w:top w:val="nil"/>
              <w:left w:val="nil"/>
              <w:bottom w:val="nil"/>
              <w:right w:val="nil"/>
            </w:tcBorders>
            <w:shd w:val="clear" w:color="auto" w:fill="auto"/>
            <w:noWrap/>
            <w:vAlign w:val="bottom"/>
            <w:hideMark/>
          </w:tcPr>
          <w:p w14:paraId="47A3245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Campylobacterales</w:t>
            </w:r>
          </w:p>
        </w:tc>
        <w:tc>
          <w:tcPr>
            <w:tcW w:w="2211" w:type="dxa"/>
            <w:tcBorders>
              <w:top w:val="nil"/>
              <w:left w:val="nil"/>
              <w:bottom w:val="nil"/>
              <w:right w:val="nil"/>
            </w:tcBorders>
            <w:shd w:val="clear" w:color="auto" w:fill="auto"/>
            <w:noWrap/>
            <w:vAlign w:val="bottom"/>
            <w:hideMark/>
          </w:tcPr>
          <w:p w14:paraId="58B4E14F"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Helicobacteraceae</w:t>
            </w:r>
          </w:p>
        </w:tc>
        <w:tc>
          <w:tcPr>
            <w:tcW w:w="2573" w:type="dxa"/>
            <w:tcBorders>
              <w:top w:val="nil"/>
              <w:left w:val="nil"/>
              <w:bottom w:val="nil"/>
              <w:right w:val="nil"/>
            </w:tcBorders>
            <w:shd w:val="clear" w:color="auto" w:fill="auto"/>
            <w:noWrap/>
            <w:vAlign w:val="bottom"/>
            <w:hideMark/>
          </w:tcPr>
          <w:p w14:paraId="2E348225"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Helicobacter</w:t>
            </w:r>
          </w:p>
        </w:tc>
        <w:tc>
          <w:tcPr>
            <w:tcW w:w="932" w:type="dxa"/>
            <w:tcBorders>
              <w:top w:val="nil"/>
              <w:left w:val="nil"/>
              <w:bottom w:val="nil"/>
              <w:right w:val="nil"/>
            </w:tcBorders>
            <w:shd w:val="clear" w:color="auto" w:fill="auto"/>
            <w:noWrap/>
            <w:vAlign w:val="center"/>
            <w:hideMark/>
          </w:tcPr>
          <w:p w14:paraId="2F71953E" w14:textId="5D91DBC2"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0933</w:t>
            </w:r>
          </w:p>
        </w:tc>
        <w:tc>
          <w:tcPr>
            <w:tcW w:w="1026" w:type="dxa"/>
            <w:tcBorders>
              <w:top w:val="nil"/>
              <w:left w:val="nil"/>
              <w:bottom w:val="nil"/>
              <w:right w:val="nil"/>
            </w:tcBorders>
            <w:shd w:val="clear" w:color="auto" w:fill="auto"/>
            <w:noWrap/>
            <w:vAlign w:val="center"/>
            <w:hideMark/>
          </w:tcPr>
          <w:p w14:paraId="33773029" w14:textId="3D16E988"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0355</w:t>
            </w:r>
          </w:p>
        </w:tc>
        <w:tc>
          <w:tcPr>
            <w:tcW w:w="856" w:type="dxa"/>
            <w:tcBorders>
              <w:top w:val="nil"/>
              <w:left w:val="nil"/>
              <w:bottom w:val="nil"/>
              <w:right w:val="nil"/>
            </w:tcBorders>
            <w:shd w:val="clear" w:color="auto" w:fill="auto"/>
            <w:noWrap/>
            <w:vAlign w:val="center"/>
            <w:hideMark/>
          </w:tcPr>
          <w:p w14:paraId="7E7F570D" w14:textId="1A0CC3AB"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1985</w:t>
            </w:r>
          </w:p>
        </w:tc>
        <w:tc>
          <w:tcPr>
            <w:tcW w:w="856" w:type="dxa"/>
            <w:tcBorders>
              <w:top w:val="nil"/>
              <w:left w:val="nil"/>
              <w:bottom w:val="nil"/>
              <w:right w:val="nil"/>
            </w:tcBorders>
            <w:shd w:val="clear" w:color="auto" w:fill="auto"/>
            <w:noWrap/>
            <w:vAlign w:val="center"/>
            <w:hideMark/>
          </w:tcPr>
          <w:p w14:paraId="763B9CD5" w14:textId="082CA0E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1353</w:t>
            </w:r>
          </w:p>
        </w:tc>
      </w:tr>
      <w:tr w:rsidR="000424EF" w:rsidRPr="000424EF" w14:paraId="7CE79CAC"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5FF4050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2F71353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Negativicutes</w:t>
            </w:r>
          </w:p>
        </w:tc>
        <w:tc>
          <w:tcPr>
            <w:tcW w:w="1924" w:type="dxa"/>
            <w:tcBorders>
              <w:top w:val="nil"/>
              <w:left w:val="nil"/>
              <w:bottom w:val="nil"/>
              <w:right w:val="nil"/>
            </w:tcBorders>
            <w:shd w:val="clear" w:color="auto" w:fill="auto"/>
            <w:noWrap/>
            <w:vAlign w:val="bottom"/>
            <w:hideMark/>
          </w:tcPr>
          <w:p w14:paraId="2513FCE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Selenomonadales</w:t>
            </w:r>
          </w:p>
        </w:tc>
        <w:tc>
          <w:tcPr>
            <w:tcW w:w="2211" w:type="dxa"/>
            <w:tcBorders>
              <w:top w:val="nil"/>
              <w:left w:val="nil"/>
              <w:bottom w:val="nil"/>
              <w:right w:val="nil"/>
            </w:tcBorders>
            <w:shd w:val="clear" w:color="auto" w:fill="auto"/>
            <w:noWrap/>
            <w:vAlign w:val="bottom"/>
            <w:hideMark/>
          </w:tcPr>
          <w:p w14:paraId="0ADA66B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Acidaminococcaceae</w:t>
            </w:r>
          </w:p>
        </w:tc>
        <w:tc>
          <w:tcPr>
            <w:tcW w:w="2573" w:type="dxa"/>
            <w:tcBorders>
              <w:top w:val="nil"/>
              <w:left w:val="nil"/>
              <w:bottom w:val="nil"/>
              <w:right w:val="nil"/>
            </w:tcBorders>
            <w:shd w:val="clear" w:color="auto" w:fill="auto"/>
            <w:noWrap/>
            <w:vAlign w:val="bottom"/>
            <w:hideMark/>
          </w:tcPr>
          <w:p w14:paraId="77A4304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Phascolarctobacterium</w:t>
            </w:r>
          </w:p>
        </w:tc>
        <w:tc>
          <w:tcPr>
            <w:tcW w:w="932" w:type="dxa"/>
            <w:tcBorders>
              <w:top w:val="nil"/>
              <w:left w:val="nil"/>
              <w:bottom w:val="nil"/>
              <w:right w:val="nil"/>
            </w:tcBorders>
            <w:shd w:val="clear" w:color="auto" w:fill="auto"/>
            <w:noWrap/>
            <w:vAlign w:val="center"/>
            <w:hideMark/>
          </w:tcPr>
          <w:p w14:paraId="70DE23C2" w14:textId="61BDEB47"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0000</w:t>
            </w:r>
          </w:p>
        </w:tc>
        <w:tc>
          <w:tcPr>
            <w:tcW w:w="1026" w:type="dxa"/>
            <w:tcBorders>
              <w:top w:val="nil"/>
              <w:left w:val="nil"/>
              <w:bottom w:val="nil"/>
              <w:right w:val="nil"/>
            </w:tcBorders>
            <w:shd w:val="clear" w:color="auto" w:fill="auto"/>
            <w:noWrap/>
            <w:vAlign w:val="center"/>
            <w:hideMark/>
          </w:tcPr>
          <w:p w14:paraId="150EBA65" w14:textId="3CC61743"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8350</w:t>
            </w:r>
          </w:p>
        </w:tc>
        <w:tc>
          <w:tcPr>
            <w:tcW w:w="856" w:type="dxa"/>
            <w:tcBorders>
              <w:top w:val="nil"/>
              <w:left w:val="nil"/>
              <w:bottom w:val="nil"/>
              <w:right w:val="nil"/>
            </w:tcBorders>
            <w:shd w:val="clear" w:color="auto" w:fill="auto"/>
            <w:noWrap/>
            <w:vAlign w:val="center"/>
            <w:hideMark/>
          </w:tcPr>
          <w:p w14:paraId="71118456" w14:textId="743EC1BB"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5850</w:t>
            </w:r>
          </w:p>
        </w:tc>
        <w:tc>
          <w:tcPr>
            <w:tcW w:w="856" w:type="dxa"/>
            <w:tcBorders>
              <w:top w:val="nil"/>
              <w:left w:val="nil"/>
              <w:bottom w:val="nil"/>
              <w:right w:val="nil"/>
            </w:tcBorders>
            <w:shd w:val="clear" w:color="auto" w:fill="auto"/>
            <w:noWrap/>
            <w:vAlign w:val="center"/>
            <w:hideMark/>
          </w:tcPr>
          <w:p w14:paraId="480EDAAB" w14:textId="25C5A850"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8750</w:t>
            </w:r>
          </w:p>
        </w:tc>
      </w:tr>
      <w:tr w:rsidR="000424EF" w:rsidRPr="000424EF" w14:paraId="444F06DC"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5C72686C"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Firmicutes</w:t>
            </w:r>
          </w:p>
        </w:tc>
        <w:tc>
          <w:tcPr>
            <w:tcW w:w="2237" w:type="dxa"/>
            <w:tcBorders>
              <w:top w:val="nil"/>
              <w:left w:val="nil"/>
              <w:bottom w:val="nil"/>
              <w:right w:val="nil"/>
            </w:tcBorders>
            <w:shd w:val="clear" w:color="auto" w:fill="auto"/>
            <w:noWrap/>
            <w:vAlign w:val="bottom"/>
            <w:hideMark/>
          </w:tcPr>
          <w:p w14:paraId="2C1CCD7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Negativicutes</w:t>
            </w:r>
          </w:p>
        </w:tc>
        <w:tc>
          <w:tcPr>
            <w:tcW w:w="1924" w:type="dxa"/>
            <w:tcBorders>
              <w:top w:val="nil"/>
              <w:left w:val="nil"/>
              <w:bottom w:val="nil"/>
              <w:right w:val="nil"/>
            </w:tcBorders>
            <w:shd w:val="clear" w:color="auto" w:fill="auto"/>
            <w:noWrap/>
            <w:vAlign w:val="bottom"/>
            <w:hideMark/>
          </w:tcPr>
          <w:p w14:paraId="68039DC8"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Selenomonadales</w:t>
            </w:r>
          </w:p>
        </w:tc>
        <w:tc>
          <w:tcPr>
            <w:tcW w:w="2211" w:type="dxa"/>
            <w:tcBorders>
              <w:top w:val="nil"/>
              <w:left w:val="nil"/>
              <w:bottom w:val="nil"/>
              <w:right w:val="nil"/>
            </w:tcBorders>
            <w:shd w:val="clear" w:color="auto" w:fill="auto"/>
            <w:noWrap/>
            <w:vAlign w:val="bottom"/>
            <w:hideMark/>
          </w:tcPr>
          <w:p w14:paraId="6DC8E10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Acidaminococcaceae</w:t>
            </w:r>
          </w:p>
        </w:tc>
        <w:tc>
          <w:tcPr>
            <w:tcW w:w="2573" w:type="dxa"/>
            <w:tcBorders>
              <w:top w:val="nil"/>
              <w:left w:val="nil"/>
              <w:bottom w:val="nil"/>
              <w:right w:val="nil"/>
            </w:tcBorders>
            <w:shd w:val="clear" w:color="auto" w:fill="auto"/>
            <w:noWrap/>
            <w:vAlign w:val="bottom"/>
            <w:hideMark/>
          </w:tcPr>
          <w:p w14:paraId="4E6E1F3D"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Acidaminococcus</w:t>
            </w:r>
          </w:p>
        </w:tc>
        <w:tc>
          <w:tcPr>
            <w:tcW w:w="932" w:type="dxa"/>
            <w:tcBorders>
              <w:top w:val="nil"/>
              <w:left w:val="nil"/>
              <w:bottom w:val="nil"/>
              <w:right w:val="nil"/>
            </w:tcBorders>
            <w:shd w:val="clear" w:color="auto" w:fill="auto"/>
            <w:noWrap/>
            <w:vAlign w:val="center"/>
            <w:hideMark/>
          </w:tcPr>
          <w:p w14:paraId="71B1427F" w14:textId="0D1019AD"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1</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0195</w:t>
            </w:r>
          </w:p>
        </w:tc>
        <w:tc>
          <w:tcPr>
            <w:tcW w:w="1026" w:type="dxa"/>
            <w:tcBorders>
              <w:top w:val="nil"/>
              <w:left w:val="nil"/>
              <w:bottom w:val="nil"/>
              <w:right w:val="nil"/>
            </w:tcBorders>
            <w:shd w:val="clear" w:color="auto" w:fill="auto"/>
            <w:noWrap/>
            <w:vAlign w:val="center"/>
            <w:hideMark/>
          </w:tcPr>
          <w:p w14:paraId="3850EC16" w14:textId="7EBDA589"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8313</w:t>
            </w:r>
          </w:p>
        </w:tc>
        <w:tc>
          <w:tcPr>
            <w:tcW w:w="856" w:type="dxa"/>
            <w:tcBorders>
              <w:top w:val="nil"/>
              <w:left w:val="nil"/>
              <w:bottom w:val="nil"/>
              <w:right w:val="nil"/>
            </w:tcBorders>
            <w:shd w:val="clear" w:color="auto" w:fill="auto"/>
            <w:noWrap/>
            <w:vAlign w:val="center"/>
            <w:hideMark/>
          </w:tcPr>
          <w:p w14:paraId="137DDBD7" w14:textId="128909F7"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5483</w:t>
            </w:r>
          </w:p>
        </w:tc>
        <w:tc>
          <w:tcPr>
            <w:tcW w:w="856" w:type="dxa"/>
            <w:tcBorders>
              <w:top w:val="nil"/>
              <w:left w:val="nil"/>
              <w:bottom w:val="nil"/>
              <w:right w:val="nil"/>
            </w:tcBorders>
            <w:shd w:val="clear" w:color="auto" w:fill="auto"/>
            <w:noWrap/>
            <w:vAlign w:val="center"/>
            <w:hideMark/>
          </w:tcPr>
          <w:p w14:paraId="5E678465" w14:textId="50C449CF"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0</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4458</w:t>
            </w:r>
          </w:p>
        </w:tc>
      </w:tr>
      <w:tr w:rsidR="000424EF" w:rsidRPr="000424EF" w14:paraId="79DAA672" w14:textId="77777777" w:rsidTr="008A6BC5">
        <w:trPr>
          <w:trHeight w:val="300"/>
          <w:jc w:val="center"/>
        </w:trPr>
        <w:tc>
          <w:tcPr>
            <w:tcW w:w="1463" w:type="dxa"/>
            <w:tcBorders>
              <w:top w:val="nil"/>
              <w:left w:val="nil"/>
              <w:bottom w:val="nil"/>
              <w:right w:val="nil"/>
            </w:tcBorders>
            <w:shd w:val="clear" w:color="auto" w:fill="auto"/>
            <w:noWrap/>
            <w:vAlign w:val="bottom"/>
            <w:hideMark/>
          </w:tcPr>
          <w:p w14:paraId="26C6FC8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 xml:space="preserve">Proteobacteria </w:t>
            </w:r>
          </w:p>
        </w:tc>
        <w:tc>
          <w:tcPr>
            <w:tcW w:w="2237" w:type="dxa"/>
            <w:tcBorders>
              <w:top w:val="nil"/>
              <w:left w:val="nil"/>
              <w:bottom w:val="nil"/>
              <w:right w:val="nil"/>
            </w:tcBorders>
            <w:shd w:val="clear" w:color="auto" w:fill="auto"/>
            <w:noWrap/>
            <w:vAlign w:val="bottom"/>
            <w:hideMark/>
          </w:tcPr>
          <w:p w14:paraId="3AD3131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Gammaproteobacteria</w:t>
            </w:r>
          </w:p>
        </w:tc>
        <w:tc>
          <w:tcPr>
            <w:tcW w:w="1924" w:type="dxa"/>
            <w:tcBorders>
              <w:top w:val="nil"/>
              <w:left w:val="nil"/>
              <w:bottom w:val="nil"/>
              <w:right w:val="nil"/>
            </w:tcBorders>
            <w:shd w:val="clear" w:color="auto" w:fill="auto"/>
            <w:noWrap/>
            <w:vAlign w:val="bottom"/>
            <w:hideMark/>
          </w:tcPr>
          <w:p w14:paraId="4E8F8AAE"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Enterobacteriales</w:t>
            </w:r>
          </w:p>
        </w:tc>
        <w:tc>
          <w:tcPr>
            <w:tcW w:w="2211" w:type="dxa"/>
            <w:tcBorders>
              <w:top w:val="nil"/>
              <w:left w:val="nil"/>
              <w:bottom w:val="nil"/>
              <w:right w:val="nil"/>
            </w:tcBorders>
            <w:shd w:val="clear" w:color="auto" w:fill="auto"/>
            <w:noWrap/>
            <w:vAlign w:val="bottom"/>
            <w:hideMark/>
          </w:tcPr>
          <w:p w14:paraId="73C819B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Enterobacteriaceae</w:t>
            </w:r>
          </w:p>
        </w:tc>
        <w:tc>
          <w:tcPr>
            <w:tcW w:w="2573" w:type="dxa"/>
            <w:tcBorders>
              <w:top w:val="nil"/>
              <w:left w:val="nil"/>
              <w:bottom w:val="nil"/>
              <w:right w:val="nil"/>
            </w:tcBorders>
            <w:shd w:val="clear" w:color="auto" w:fill="auto"/>
            <w:noWrap/>
            <w:vAlign w:val="bottom"/>
            <w:hideMark/>
          </w:tcPr>
          <w:p w14:paraId="5E8E6507"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Escherichia/Shigella</w:t>
            </w:r>
          </w:p>
        </w:tc>
        <w:tc>
          <w:tcPr>
            <w:tcW w:w="932" w:type="dxa"/>
            <w:tcBorders>
              <w:top w:val="nil"/>
              <w:left w:val="nil"/>
              <w:bottom w:val="nil"/>
              <w:right w:val="nil"/>
            </w:tcBorders>
            <w:shd w:val="clear" w:color="auto" w:fill="auto"/>
            <w:noWrap/>
            <w:vAlign w:val="center"/>
            <w:hideMark/>
          </w:tcPr>
          <w:p w14:paraId="17C6B38F" w14:textId="49037AD4"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2</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3318</w:t>
            </w:r>
          </w:p>
        </w:tc>
        <w:tc>
          <w:tcPr>
            <w:tcW w:w="1026" w:type="dxa"/>
            <w:tcBorders>
              <w:top w:val="nil"/>
              <w:left w:val="nil"/>
              <w:bottom w:val="nil"/>
              <w:right w:val="nil"/>
            </w:tcBorders>
            <w:shd w:val="clear" w:color="auto" w:fill="auto"/>
            <w:noWrap/>
            <w:vAlign w:val="center"/>
            <w:hideMark/>
          </w:tcPr>
          <w:p w14:paraId="3CE32BA6" w14:textId="064A6039"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2350</w:t>
            </w:r>
          </w:p>
        </w:tc>
        <w:tc>
          <w:tcPr>
            <w:tcW w:w="856" w:type="dxa"/>
            <w:tcBorders>
              <w:top w:val="nil"/>
              <w:left w:val="nil"/>
              <w:bottom w:val="nil"/>
              <w:right w:val="nil"/>
            </w:tcBorders>
            <w:shd w:val="clear" w:color="auto" w:fill="auto"/>
            <w:noWrap/>
            <w:vAlign w:val="center"/>
            <w:hideMark/>
          </w:tcPr>
          <w:p w14:paraId="720E49B5" w14:textId="136715B0"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6100</w:t>
            </w:r>
          </w:p>
        </w:tc>
        <w:tc>
          <w:tcPr>
            <w:tcW w:w="856" w:type="dxa"/>
            <w:tcBorders>
              <w:top w:val="nil"/>
              <w:left w:val="nil"/>
              <w:bottom w:val="nil"/>
              <w:right w:val="nil"/>
            </w:tcBorders>
            <w:shd w:val="clear" w:color="auto" w:fill="auto"/>
            <w:noWrap/>
            <w:vAlign w:val="center"/>
            <w:hideMark/>
          </w:tcPr>
          <w:p w14:paraId="292E8CC2" w14:textId="47600EDE" w:rsidR="000424EF" w:rsidRPr="000424EF" w:rsidRDefault="000424EF" w:rsidP="000424EF">
            <w:pPr>
              <w:spacing w:after="0" w:line="240" w:lineRule="auto"/>
              <w:jc w:val="center"/>
              <w:rPr>
                <w:rFonts w:ascii="Arial" w:eastAsia="Times New Roman" w:hAnsi="Arial" w:cs="Arial"/>
                <w:sz w:val="20"/>
                <w:szCs w:val="20"/>
                <w:lang w:eastAsia="pt-BR"/>
              </w:rPr>
            </w:pPr>
            <w:r w:rsidRPr="000424EF">
              <w:rPr>
                <w:rFonts w:ascii="Arial" w:eastAsia="Times New Roman" w:hAnsi="Arial" w:cs="Arial"/>
                <w:sz w:val="20"/>
                <w:szCs w:val="20"/>
                <w:lang w:eastAsia="pt-BR"/>
              </w:rPr>
              <w:t>3</w:t>
            </w:r>
            <w:r w:rsidR="00FF4DA0">
              <w:rPr>
                <w:rFonts w:ascii="Arial" w:eastAsia="Times New Roman" w:hAnsi="Arial" w:cs="Arial"/>
                <w:sz w:val="20"/>
                <w:szCs w:val="20"/>
                <w:lang w:eastAsia="pt-BR"/>
              </w:rPr>
              <w:t>.</w:t>
            </w:r>
            <w:r w:rsidRPr="000424EF">
              <w:rPr>
                <w:rFonts w:ascii="Arial" w:eastAsia="Times New Roman" w:hAnsi="Arial" w:cs="Arial"/>
                <w:sz w:val="20"/>
                <w:szCs w:val="20"/>
                <w:lang w:eastAsia="pt-BR"/>
              </w:rPr>
              <w:t>8026</w:t>
            </w:r>
          </w:p>
        </w:tc>
      </w:tr>
      <w:tr w:rsidR="000424EF" w:rsidRPr="000424EF" w14:paraId="54ACFBE1" w14:textId="77777777" w:rsidTr="008A6BC5">
        <w:trPr>
          <w:trHeight w:val="300"/>
          <w:jc w:val="center"/>
        </w:trPr>
        <w:tc>
          <w:tcPr>
            <w:tcW w:w="1463" w:type="dxa"/>
            <w:tcBorders>
              <w:top w:val="nil"/>
              <w:left w:val="nil"/>
              <w:bottom w:val="single" w:sz="4" w:space="0" w:color="auto"/>
              <w:right w:val="nil"/>
            </w:tcBorders>
            <w:shd w:val="clear" w:color="auto" w:fill="auto"/>
            <w:noWrap/>
            <w:vAlign w:val="bottom"/>
            <w:hideMark/>
          </w:tcPr>
          <w:p w14:paraId="5430578D"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Others</w:t>
            </w:r>
          </w:p>
        </w:tc>
        <w:tc>
          <w:tcPr>
            <w:tcW w:w="2237" w:type="dxa"/>
            <w:tcBorders>
              <w:top w:val="nil"/>
              <w:left w:val="nil"/>
              <w:bottom w:val="single" w:sz="4" w:space="0" w:color="auto"/>
              <w:right w:val="nil"/>
            </w:tcBorders>
            <w:shd w:val="clear" w:color="auto" w:fill="auto"/>
            <w:noWrap/>
            <w:vAlign w:val="bottom"/>
            <w:hideMark/>
          </w:tcPr>
          <w:p w14:paraId="5D9BAB0A"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Others</w:t>
            </w:r>
          </w:p>
        </w:tc>
        <w:tc>
          <w:tcPr>
            <w:tcW w:w="1924" w:type="dxa"/>
            <w:tcBorders>
              <w:top w:val="nil"/>
              <w:left w:val="nil"/>
              <w:bottom w:val="single" w:sz="4" w:space="0" w:color="auto"/>
              <w:right w:val="nil"/>
            </w:tcBorders>
            <w:shd w:val="clear" w:color="auto" w:fill="auto"/>
            <w:noWrap/>
            <w:vAlign w:val="bottom"/>
            <w:hideMark/>
          </w:tcPr>
          <w:p w14:paraId="37FD9146"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Others</w:t>
            </w:r>
          </w:p>
        </w:tc>
        <w:tc>
          <w:tcPr>
            <w:tcW w:w="2211" w:type="dxa"/>
            <w:tcBorders>
              <w:top w:val="nil"/>
              <w:left w:val="nil"/>
              <w:bottom w:val="single" w:sz="4" w:space="0" w:color="auto"/>
              <w:right w:val="nil"/>
            </w:tcBorders>
            <w:shd w:val="clear" w:color="auto" w:fill="auto"/>
            <w:noWrap/>
            <w:vAlign w:val="bottom"/>
            <w:hideMark/>
          </w:tcPr>
          <w:p w14:paraId="15BB00D3"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Others</w:t>
            </w:r>
          </w:p>
        </w:tc>
        <w:tc>
          <w:tcPr>
            <w:tcW w:w="2573" w:type="dxa"/>
            <w:tcBorders>
              <w:top w:val="nil"/>
              <w:left w:val="nil"/>
              <w:bottom w:val="single" w:sz="4" w:space="0" w:color="auto"/>
              <w:right w:val="nil"/>
            </w:tcBorders>
            <w:shd w:val="clear" w:color="auto" w:fill="auto"/>
            <w:noWrap/>
            <w:vAlign w:val="bottom"/>
            <w:hideMark/>
          </w:tcPr>
          <w:p w14:paraId="421B62B0" w14:textId="77777777" w:rsidR="000424EF" w:rsidRPr="000424EF" w:rsidRDefault="000424EF" w:rsidP="000424EF">
            <w:pPr>
              <w:spacing w:after="0" w:line="240" w:lineRule="auto"/>
              <w:jc w:val="center"/>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Unassigned</w:t>
            </w:r>
          </w:p>
        </w:tc>
        <w:tc>
          <w:tcPr>
            <w:tcW w:w="932" w:type="dxa"/>
            <w:tcBorders>
              <w:top w:val="nil"/>
              <w:left w:val="nil"/>
              <w:bottom w:val="single" w:sz="4" w:space="0" w:color="auto"/>
              <w:right w:val="nil"/>
            </w:tcBorders>
            <w:shd w:val="clear" w:color="auto" w:fill="auto"/>
            <w:noWrap/>
            <w:vAlign w:val="bottom"/>
            <w:hideMark/>
          </w:tcPr>
          <w:p w14:paraId="2FA5D115" w14:textId="3B90E003" w:rsidR="000424EF" w:rsidRPr="000424EF" w:rsidRDefault="000424EF" w:rsidP="000424EF">
            <w:pPr>
              <w:spacing w:after="0" w:line="240" w:lineRule="auto"/>
              <w:jc w:val="right"/>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33</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4500</w:t>
            </w:r>
          </w:p>
        </w:tc>
        <w:tc>
          <w:tcPr>
            <w:tcW w:w="1026" w:type="dxa"/>
            <w:tcBorders>
              <w:top w:val="nil"/>
              <w:left w:val="nil"/>
              <w:bottom w:val="single" w:sz="4" w:space="0" w:color="auto"/>
              <w:right w:val="nil"/>
            </w:tcBorders>
            <w:shd w:val="clear" w:color="auto" w:fill="auto"/>
            <w:noWrap/>
            <w:vAlign w:val="bottom"/>
            <w:hideMark/>
          </w:tcPr>
          <w:p w14:paraId="0752CFA0" w14:textId="415344CF" w:rsidR="000424EF" w:rsidRPr="000424EF" w:rsidRDefault="000424EF" w:rsidP="000424EF">
            <w:pPr>
              <w:spacing w:after="0" w:line="240" w:lineRule="auto"/>
              <w:jc w:val="right"/>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37</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5750</w:t>
            </w:r>
          </w:p>
        </w:tc>
        <w:tc>
          <w:tcPr>
            <w:tcW w:w="856" w:type="dxa"/>
            <w:tcBorders>
              <w:top w:val="nil"/>
              <w:left w:val="nil"/>
              <w:bottom w:val="single" w:sz="4" w:space="0" w:color="auto"/>
              <w:right w:val="nil"/>
            </w:tcBorders>
            <w:shd w:val="clear" w:color="auto" w:fill="auto"/>
            <w:noWrap/>
            <w:vAlign w:val="bottom"/>
            <w:hideMark/>
          </w:tcPr>
          <w:p w14:paraId="0EF3DB0F" w14:textId="79E3D860" w:rsidR="000424EF" w:rsidRPr="000424EF" w:rsidRDefault="000424EF" w:rsidP="000424EF">
            <w:pPr>
              <w:spacing w:after="0" w:line="240" w:lineRule="auto"/>
              <w:jc w:val="right"/>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35</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2000</w:t>
            </w:r>
          </w:p>
        </w:tc>
        <w:tc>
          <w:tcPr>
            <w:tcW w:w="856" w:type="dxa"/>
            <w:tcBorders>
              <w:top w:val="nil"/>
              <w:left w:val="nil"/>
              <w:bottom w:val="single" w:sz="4" w:space="0" w:color="auto"/>
              <w:right w:val="nil"/>
            </w:tcBorders>
            <w:shd w:val="clear" w:color="auto" w:fill="auto"/>
            <w:noWrap/>
            <w:vAlign w:val="bottom"/>
            <w:hideMark/>
          </w:tcPr>
          <w:p w14:paraId="3C278F30" w14:textId="14EF3896" w:rsidR="000424EF" w:rsidRPr="000424EF" w:rsidRDefault="000424EF" w:rsidP="000424EF">
            <w:pPr>
              <w:spacing w:after="0" w:line="240" w:lineRule="auto"/>
              <w:jc w:val="right"/>
              <w:rPr>
                <w:rFonts w:ascii="Arial" w:eastAsia="Times New Roman" w:hAnsi="Arial" w:cs="Arial"/>
                <w:color w:val="000000"/>
                <w:sz w:val="20"/>
                <w:szCs w:val="20"/>
                <w:lang w:eastAsia="pt-BR"/>
              </w:rPr>
            </w:pPr>
            <w:r w:rsidRPr="000424EF">
              <w:rPr>
                <w:rFonts w:ascii="Arial" w:eastAsia="Times New Roman" w:hAnsi="Arial" w:cs="Arial"/>
                <w:color w:val="000000"/>
                <w:sz w:val="20"/>
                <w:szCs w:val="20"/>
                <w:lang w:eastAsia="pt-BR"/>
              </w:rPr>
              <w:t>34</w:t>
            </w:r>
            <w:r w:rsidR="00FF4DA0">
              <w:rPr>
                <w:rFonts w:ascii="Arial" w:eastAsia="Times New Roman" w:hAnsi="Arial" w:cs="Arial"/>
                <w:color w:val="000000"/>
                <w:sz w:val="20"/>
                <w:szCs w:val="20"/>
                <w:lang w:eastAsia="pt-BR"/>
              </w:rPr>
              <w:t>.</w:t>
            </w:r>
            <w:r w:rsidRPr="000424EF">
              <w:rPr>
                <w:rFonts w:ascii="Arial" w:eastAsia="Times New Roman" w:hAnsi="Arial" w:cs="Arial"/>
                <w:color w:val="000000"/>
                <w:sz w:val="20"/>
                <w:szCs w:val="20"/>
                <w:lang w:eastAsia="pt-BR"/>
              </w:rPr>
              <w:t>4000</w:t>
            </w:r>
          </w:p>
        </w:tc>
      </w:tr>
    </w:tbl>
    <w:p w14:paraId="3AEA6387" w14:textId="47789C0E" w:rsidR="00273972" w:rsidRDefault="00273972" w:rsidP="00BA60BB">
      <w:pPr>
        <w:suppressLineNumbers/>
        <w:tabs>
          <w:tab w:val="left" w:pos="652"/>
          <w:tab w:val="center" w:pos="7710"/>
        </w:tabs>
        <w:spacing w:line="360" w:lineRule="auto"/>
        <w:rPr>
          <w:rFonts w:ascii="Arial" w:hAnsi="Arial" w:cs="Arial"/>
          <w:b/>
          <w:bCs/>
          <w:sz w:val="24"/>
          <w:szCs w:val="24"/>
          <w:lang w:val="en-US"/>
        </w:rPr>
      </w:pPr>
    </w:p>
    <w:p w14:paraId="7907B0E8" w14:textId="371AA832" w:rsidR="000B14F8" w:rsidRDefault="000B14F8" w:rsidP="00BA60BB">
      <w:pPr>
        <w:suppressLineNumbers/>
        <w:tabs>
          <w:tab w:val="left" w:pos="652"/>
          <w:tab w:val="center" w:pos="7710"/>
        </w:tabs>
        <w:spacing w:line="360" w:lineRule="auto"/>
        <w:rPr>
          <w:rFonts w:ascii="Arial" w:hAnsi="Arial" w:cs="Arial"/>
          <w:b/>
          <w:bCs/>
          <w:sz w:val="24"/>
          <w:szCs w:val="24"/>
          <w:lang w:val="en-US"/>
        </w:rPr>
      </w:pPr>
    </w:p>
    <w:p w14:paraId="20EA9BF1" w14:textId="6CB039AB" w:rsidR="00DE18D1" w:rsidRPr="001132D7" w:rsidRDefault="00DF59F6" w:rsidP="00BA60BB">
      <w:pPr>
        <w:suppressLineNumbers/>
        <w:tabs>
          <w:tab w:val="left" w:pos="652"/>
          <w:tab w:val="center" w:pos="7710"/>
        </w:tabs>
        <w:spacing w:line="360" w:lineRule="auto"/>
        <w:rPr>
          <w:rFonts w:ascii="Arial" w:hAnsi="Arial" w:cs="Arial"/>
          <w:b/>
          <w:bCs/>
          <w:sz w:val="24"/>
          <w:szCs w:val="24"/>
          <w:lang w:val="en-US"/>
        </w:rPr>
      </w:pPr>
      <w:r w:rsidRPr="00DF59F6">
        <w:rPr>
          <w:rFonts w:ascii="Arial" w:hAnsi="Arial" w:cs="Arial"/>
          <w:b/>
          <w:bCs/>
          <w:sz w:val="24"/>
          <w:szCs w:val="24"/>
          <w:lang w:val="en-US"/>
        </w:rPr>
        <w:t xml:space="preserve">TABLE </w:t>
      </w:r>
      <w:r w:rsidR="00337A1D">
        <w:rPr>
          <w:rFonts w:ascii="Arial" w:hAnsi="Arial" w:cs="Arial"/>
          <w:b/>
          <w:bCs/>
          <w:sz w:val="24"/>
          <w:szCs w:val="24"/>
          <w:lang w:val="en-US"/>
        </w:rPr>
        <w:t>S</w:t>
      </w:r>
      <w:r w:rsidR="006A20D0">
        <w:rPr>
          <w:rFonts w:ascii="Arial" w:hAnsi="Arial" w:cs="Arial"/>
          <w:b/>
          <w:bCs/>
          <w:sz w:val="24"/>
          <w:szCs w:val="24"/>
          <w:lang w:val="en-US"/>
        </w:rPr>
        <w:t>4</w:t>
      </w:r>
      <w:r>
        <w:rPr>
          <w:rFonts w:ascii="Arial" w:hAnsi="Arial" w:cs="Arial"/>
          <w:sz w:val="24"/>
          <w:szCs w:val="24"/>
          <w:lang w:val="en-US"/>
        </w:rPr>
        <w:t xml:space="preserve"> </w:t>
      </w:r>
      <w:r w:rsidRPr="001132D7">
        <w:rPr>
          <w:rFonts w:ascii="Arial" w:hAnsi="Arial" w:cs="Arial"/>
          <w:b/>
          <w:bCs/>
          <w:sz w:val="24"/>
          <w:szCs w:val="24"/>
          <w:lang w:val="en-US"/>
        </w:rPr>
        <w:t>Genus enriched by tr</w:t>
      </w:r>
      <w:r w:rsidR="00310E8D" w:rsidRPr="001132D7">
        <w:rPr>
          <w:rFonts w:ascii="Arial" w:hAnsi="Arial" w:cs="Arial"/>
          <w:b/>
          <w:bCs/>
          <w:sz w:val="24"/>
          <w:szCs w:val="24"/>
          <w:lang w:val="en-US"/>
        </w:rPr>
        <w:t>eatment</w:t>
      </w:r>
      <w:r w:rsidRPr="001132D7">
        <w:rPr>
          <w:rFonts w:ascii="Arial" w:hAnsi="Arial" w:cs="Arial"/>
          <w:b/>
          <w:bCs/>
          <w:sz w:val="24"/>
          <w:szCs w:val="24"/>
          <w:lang w:val="en-US"/>
        </w:rPr>
        <w:t xml:space="preserve"> and functional correlations</w:t>
      </w:r>
      <w:r w:rsidR="00FF4DA0" w:rsidRPr="001132D7">
        <w:rPr>
          <w:rFonts w:ascii="Arial" w:hAnsi="Arial" w:cs="Arial"/>
          <w:b/>
          <w:bCs/>
          <w:sz w:val="24"/>
          <w:szCs w:val="24"/>
          <w:lang w:val="en-US"/>
        </w:rPr>
        <w:t>.</w:t>
      </w:r>
    </w:p>
    <w:tbl>
      <w:tblPr>
        <w:tblStyle w:val="TableGrid"/>
        <w:tblW w:w="1417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2803"/>
        <w:gridCol w:w="4050"/>
        <w:gridCol w:w="5244"/>
      </w:tblGrid>
      <w:tr w:rsidR="00A067C6" w:rsidRPr="00402CBA" w14:paraId="78F8AF8F" w14:textId="77777777" w:rsidTr="00B7650E">
        <w:trPr>
          <w:trHeight w:val="454"/>
          <w:jc w:val="center"/>
        </w:trPr>
        <w:tc>
          <w:tcPr>
            <w:tcW w:w="2078" w:type="dxa"/>
            <w:tcBorders>
              <w:top w:val="single" w:sz="4" w:space="0" w:color="auto"/>
              <w:bottom w:val="single" w:sz="4" w:space="0" w:color="auto"/>
            </w:tcBorders>
            <w:noWrap/>
            <w:vAlign w:val="bottom"/>
            <w:hideMark/>
          </w:tcPr>
          <w:p w14:paraId="264485FD" w14:textId="153844DC" w:rsidR="00A067C6" w:rsidRPr="00402CBA" w:rsidRDefault="00A067C6" w:rsidP="0045252D">
            <w:pPr>
              <w:suppressLineNumbers/>
              <w:tabs>
                <w:tab w:val="left" w:pos="1395"/>
              </w:tabs>
              <w:spacing w:line="360" w:lineRule="auto"/>
              <w:ind w:left="888" w:hanging="851"/>
              <w:jc w:val="center"/>
              <w:rPr>
                <w:rFonts w:ascii="Arial" w:hAnsi="Arial" w:cs="Arial"/>
                <w:b/>
                <w:bCs/>
                <w:sz w:val="24"/>
                <w:szCs w:val="24"/>
                <w:lang w:val="en-US"/>
              </w:rPr>
            </w:pPr>
            <w:bookmarkStart w:id="3" w:name="_Hlk38115657"/>
            <w:bookmarkStart w:id="4" w:name="_Hlk38119193"/>
            <w:bookmarkEnd w:id="2"/>
            <w:r w:rsidRPr="00402CBA">
              <w:rPr>
                <w:rFonts w:ascii="Arial" w:hAnsi="Arial" w:cs="Arial"/>
                <w:b/>
                <w:bCs/>
                <w:sz w:val="24"/>
                <w:szCs w:val="24"/>
                <w:lang w:val="en-US"/>
              </w:rPr>
              <w:t>Tr</w:t>
            </w:r>
            <w:r w:rsidR="00AC601D">
              <w:rPr>
                <w:rFonts w:ascii="Arial" w:hAnsi="Arial" w:cs="Arial"/>
                <w:b/>
                <w:bCs/>
                <w:sz w:val="24"/>
                <w:szCs w:val="24"/>
                <w:lang w:val="en-US"/>
              </w:rPr>
              <w:t>eatment</w:t>
            </w:r>
          </w:p>
        </w:tc>
        <w:tc>
          <w:tcPr>
            <w:tcW w:w="2803" w:type="dxa"/>
            <w:tcBorders>
              <w:top w:val="single" w:sz="4" w:space="0" w:color="auto"/>
              <w:bottom w:val="single" w:sz="4" w:space="0" w:color="auto"/>
            </w:tcBorders>
            <w:noWrap/>
            <w:vAlign w:val="bottom"/>
            <w:hideMark/>
          </w:tcPr>
          <w:p w14:paraId="2DD50863" w14:textId="1BB5C265" w:rsidR="00A067C6" w:rsidRPr="00B35F96" w:rsidRDefault="00A067C6" w:rsidP="0045252D">
            <w:pPr>
              <w:suppressLineNumbers/>
              <w:tabs>
                <w:tab w:val="left" w:pos="1395"/>
                <w:tab w:val="left" w:pos="2345"/>
              </w:tabs>
              <w:spacing w:line="360" w:lineRule="auto"/>
              <w:ind w:left="1110" w:right="-61" w:hanging="1110"/>
              <w:jc w:val="center"/>
              <w:rPr>
                <w:rFonts w:ascii="Arial" w:hAnsi="Arial" w:cs="Arial"/>
                <w:b/>
                <w:bCs/>
                <w:sz w:val="24"/>
                <w:szCs w:val="24"/>
                <w:lang w:val="en-US"/>
              </w:rPr>
            </w:pPr>
            <w:r w:rsidRPr="00B35F96">
              <w:rPr>
                <w:rFonts w:ascii="Arial" w:hAnsi="Arial" w:cs="Arial"/>
                <w:b/>
                <w:bCs/>
                <w:sz w:val="24"/>
                <w:szCs w:val="24"/>
                <w:lang w:val="en-US"/>
              </w:rPr>
              <w:t>Genus</w:t>
            </w:r>
          </w:p>
        </w:tc>
        <w:tc>
          <w:tcPr>
            <w:tcW w:w="4050" w:type="dxa"/>
            <w:tcBorders>
              <w:top w:val="single" w:sz="4" w:space="0" w:color="auto"/>
              <w:bottom w:val="single" w:sz="4" w:space="0" w:color="auto"/>
            </w:tcBorders>
            <w:noWrap/>
            <w:vAlign w:val="bottom"/>
            <w:hideMark/>
          </w:tcPr>
          <w:p w14:paraId="60AF90C2" w14:textId="77777777" w:rsidR="00A067C6" w:rsidRPr="000163B9" w:rsidRDefault="00A067C6" w:rsidP="0045252D">
            <w:pPr>
              <w:suppressLineNumbers/>
              <w:tabs>
                <w:tab w:val="left" w:pos="1395"/>
              </w:tabs>
              <w:spacing w:line="360" w:lineRule="auto"/>
              <w:ind w:left="40"/>
              <w:jc w:val="center"/>
              <w:rPr>
                <w:rFonts w:ascii="Arial" w:hAnsi="Arial" w:cs="Arial"/>
                <w:b/>
                <w:bCs/>
                <w:sz w:val="24"/>
                <w:szCs w:val="24"/>
                <w:lang w:val="en-US"/>
              </w:rPr>
            </w:pPr>
            <w:r w:rsidRPr="000163B9">
              <w:rPr>
                <w:rFonts w:ascii="Arial" w:hAnsi="Arial" w:cs="Arial"/>
                <w:b/>
                <w:bCs/>
                <w:sz w:val="24"/>
                <w:szCs w:val="24"/>
                <w:lang w:val="en-US"/>
              </w:rPr>
              <w:t>Metabolic sources</w:t>
            </w:r>
          </w:p>
        </w:tc>
        <w:tc>
          <w:tcPr>
            <w:tcW w:w="5244" w:type="dxa"/>
            <w:tcBorders>
              <w:top w:val="single" w:sz="4" w:space="0" w:color="auto"/>
              <w:bottom w:val="single" w:sz="4" w:space="0" w:color="auto"/>
            </w:tcBorders>
            <w:noWrap/>
            <w:vAlign w:val="bottom"/>
            <w:hideMark/>
          </w:tcPr>
          <w:p w14:paraId="4A5157AA" w14:textId="0DF0C1CD" w:rsidR="00A067C6" w:rsidRPr="00402CBA" w:rsidRDefault="00C4151E" w:rsidP="0045252D">
            <w:pPr>
              <w:suppressLineNumbers/>
              <w:tabs>
                <w:tab w:val="left" w:pos="1395"/>
              </w:tabs>
              <w:spacing w:line="360" w:lineRule="auto"/>
              <w:ind w:left="147"/>
              <w:jc w:val="center"/>
              <w:rPr>
                <w:rFonts w:ascii="Arial" w:hAnsi="Arial" w:cs="Arial"/>
                <w:b/>
                <w:bCs/>
                <w:sz w:val="24"/>
                <w:szCs w:val="24"/>
                <w:lang w:val="en-US"/>
              </w:rPr>
            </w:pPr>
            <w:r>
              <w:rPr>
                <w:rFonts w:ascii="Arial" w:hAnsi="Arial" w:cs="Arial"/>
                <w:b/>
                <w:bCs/>
                <w:sz w:val="24"/>
                <w:szCs w:val="24"/>
                <w:lang w:val="en-US"/>
              </w:rPr>
              <w:t>Biological activities</w:t>
            </w:r>
          </w:p>
        </w:tc>
      </w:tr>
      <w:bookmarkEnd w:id="3"/>
      <w:tr w:rsidR="00AC601D" w:rsidRPr="00FA660F" w14:paraId="3E7A82FB" w14:textId="77777777" w:rsidTr="00AC601D">
        <w:trPr>
          <w:trHeight w:val="300"/>
          <w:jc w:val="center"/>
        </w:trPr>
        <w:tc>
          <w:tcPr>
            <w:tcW w:w="2078" w:type="dxa"/>
            <w:noWrap/>
            <w:vAlign w:val="center"/>
            <w:hideMark/>
          </w:tcPr>
          <w:p w14:paraId="381E2A25" w14:textId="675640A2" w:rsidR="00AC601D" w:rsidRPr="0044392A" w:rsidRDefault="008B129A" w:rsidP="00AC601D">
            <w:pPr>
              <w:suppressLineNumbers/>
              <w:spacing w:line="360" w:lineRule="auto"/>
              <w:ind w:left="888" w:hanging="851"/>
              <w:jc w:val="center"/>
              <w:rPr>
                <w:rFonts w:ascii="Arial" w:hAnsi="Arial" w:cs="Arial"/>
                <w:sz w:val="24"/>
                <w:szCs w:val="24"/>
                <w:lang w:val="en-US"/>
              </w:rPr>
            </w:pPr>
            <w:r>
              <w:rPr>
                <w:rFonts w:ascii="Arial" w:hAnsi="Arial" w:cs="Arial"/>
                <w:sz w:val="24"/>
                <w:szCs w:val="24"/>
                <w:lang w:val="en-US"/>
              </w:rPr>
              <w:t>CuSO</w:t>
            </w:r>
            <w:r w:rsidRPr="008B129A">
              <w:rPr>
                <w:rFonts w:ascii="Arial" w:hAnsi="Arial" w:cs="Arial"/>
                <w:sz w:val="24"/>
                <w:szCs w:val="24"/>
                <w:vertAlign w:val="subscript"/>
                <w:lang w:val="en-US"/>
              </w:rPr>
              <w:t>4</w:t>
            </w:r>
          </w:p>
        </w:tc>
        <w:tc>
          <w:tcPr>
            <w:tcW w:w="2803" w:type="dxa"/>
            <w:noWrap/>
            <w:vAlign w:val="center"/>
          </w:tcPr>
          <w:p w14:paraId="7843A421" w14:textId="314A659C" w:rsidR="00AC601D" w:rsidRPr="00B35F96" w:rsidRDefault="00AC601D" w:rsidP="00AC601D">
            <w:pPr>
              <w:suppressLineNumbers/>
              <w:spacing w:line="360" w:lineRule="auto"/>
              <w:ind w:left="1110" w:right="-61" w:hanging="1110"/>
              <w:jc w:val="center"/>
              <w:rPr>
                <w:rFonts w:ascii="Arial" w:hAnsi="Arial" w:cs="Arial"/>
                <w:i/>
                <w:iCs/>
                <w:sz w:val="24"/>
                <w:szCs w:val="24"/>
                <w:lang w:val="en-US"/>
              </w:rPr>
            </w:pPr>
            <w:r w:rsidRPr="00B35F96">
              <w:rPr>
                <w:rFonts w:ascii="Arial" w:hAnsi="Arial" w:cs="Arial"/>
                <w:i/>
                <w:iCs/>
                <w:sz w:val="24"/>
                <w:szCs w:val="24"/>
                <w:lang w:val="en-US"/>
              </w:rPr>
              <w:t>Streptococcus</w:t>
            </w:r>
          </w:p>
        </w:tc>
        <w:tc>
          <w:tcPr>
            <w:tcW w:w="4050" w:type="dxa"/>
            <w:noWrap/>
            <w:vAlign w:val="center"/>
          </w:tcPr>
          <w:p w14:paraId="55FC8C42" w14:textId="5A59F5EB" w:rsidR="00AC601D" w:rsidRPr="000163B9" w:rsidRDefault="00AC601D" w:rsidP="00AC601D">
            <w:pPr>
              <w:suppressLineNumbers/>
              <w:spacing w:line="360" w:lineRule="auto"/>
              <w:ind w:left="40"/>
              <w:jc w:val="center"/>
              <w:rPr>
                <w:rFonts w:ascii="Arial" w:hAnsi="Arial" w:cs="Arial"/>
                <w:sz w:val="24"/>
                <w:szCs w:val="24"/>
                <w:lang w:val="en-US"/>
              </w:rPr>
            </w:pPr>
            <w:r w:rsidRPr="00FF4DA0">
              <w:rPr>
                <w:rFonts w:ascii="Arial" w:hAnsi="Arial" w:cs="Arial"/>
                <w:sz w:val="24"/>
                <w:szCs w:val="24"/>
                <w:lang w:val="en-US"/>
              </w:rPr>
              <w:t xml:space="preserve">Amino acids metabolism </w:t>
            </w:r>
            <w:r w:rsidRPr="000163B9">
              <w:rPr>
                <w:rFonts w:ascii="Arial" w:hAnsi="Arial" w:cs="Arial"/>
                <w:sz w:val="24"/>
                <w:szCs w:val="24"/>
                <w:lang w:val="en-US"/>
              </w:rPr>
              <w:fldChar w:fldCharType="begin" w:fldLock="1"/>
            </w:r>
            <w:r w:rsidR="00D77F5F" w:rsidRPr="00FF4DA0">
              <w:rPr>
                <w:rFonts w:ascii="Arial" w:hAnsi="Arial" w:cs="Arial"/>
                <w:sz w:val="24"/>
                <w:szCs w:val="24"/>
                <w:lang w:val="en-US"/>
              </w:rPr>
              <w:instrText>ADDIN CSL_CITATION {"citationItems":[{"id":"ITEM-1","itemData":{"DOI":"10.2741/3820","ISSN":"10939946","PMID":"21196263","abstract":"Bacteria in the gastrointestinal (GI) tract play an important role in the metabolism of dietary substances in the gut and extraintestinal tissues. Amino acids (AA) should be taken into consideration in the development of new strategies to enhance efficiency of nutrient utilization because they are not only major components in the diet and building blocks for protein but also regulate energy and protein homeostasis in organisms. The diversity of the AA-fermenting bacteria and their metabolic redundancy make them easier to survive and interact with their neighboring species or eukaryotic host during transition along GI tract. The outcomes of the interactions have important impacts on gut health and whole-body homeostasis. The AA-derived molecules produced by intestinal bacteria affect host health by regulating either host immunity and cell function or microbial composition and metabolism. Emerging evidence shows that dietary factors, such as protein, non-digestible carbohydrates, probiotics, synbiotics and phytochemicals, modulate AA utilization by gut microorganisms. Interdisciplinary research involving nutritionists and microbiologists is expected to rapidly expand knowledge about crucial roles for AA in gut ecology and host health.","author":[{"dropping-particle":"","family":"Dai","given":"Zhao Lai","non-dropping-particle":"","parse-names":false,"suffix":""},{"dropping-particle":"","family":"Wu","given":"Guoyao","non-dropping-particle":"","parse-names":false,"suffix":""},{"dropping-particle":"","family":"Zhu","given":"Wei Yun","non-dropping-particle":"","parse-names":false,"suffix":""}],"container-title":"Frontiers in Bioscience","id":"ITEM-1","issue":"5","issued":{"date-parts":[["2011","1","1"]]},"page":"1768-1786","title":"Amino acid metabolism in intestinal bacteria: Links between gut ecology and host health","type":"article-journal","volume":"16"},"uris":["http://www.mendeley.com/documents/?uuid=731ff461-945c-3ca6-b45b-a3e29edabec8"]}],"mendeley":{"formattedCitation":"(1)","plainTextFormattedCitation":"(1)","previouslyFormattedCitation":"(1)"},"properties":{"noteIndex":0},"schema":"https://github.com/citation-style-language/schema/raw/master/csl-citation.json"}</w:instrText>
            </w:r>
            <w:r w:rsidRPr="000163B9">
              <w:rPr>
                <w:rFonts w:ascii="Arial" w:hAnsi="Arial" w:cs="Arial"/>
                <w:sz w:val="24"/>
                <w:szCs w:val="24"/>
                <w:lang w:val="en-US"/>
              </w:rPr>
              <w:fldChar w:fldCharType="separate"/>
            </w:r>
            <w:r w:rsidR="008B129A" w:rsidRPr="00FF4DA0">
              <w:rPr>
                <w:rFonts w:ascii="Arial" w:hAnsi="Arial" w:cs="Arial"/>
                <w:noProof/>
                <w:sz w:val="24"/>
                <w:szCs w:val="24"/>
                <w:lang w:val="en-US"/>
              </w:rPr>
              <w:t>(1)</w:t>
            </w:r>
            <w:r w:rsidRPr="000163B9">
              <w:rPr>
                <w:rFonts w:ascii="Arial" w:hAnsi="Arial" w:cs="Arial"/>
                <w:sz w:val="24"/>
                <w:szCs w:val="24"/>
                <w:lang w:val="en-US"/>
              </w:rPr>
              <w:fldChar w:fldCharType="end"/>
            </w:r>
            <w:r w:rsidR="00FF4DA0">
              <w:rPr>
                <w:rFonts w:ascii="Arial" w:hAnsi="Arial" w:cs="Arial"/>
                <w:sz w:val="24"/>
                <w:szCs w:val="24"/>
                <w:lang w:val="en-US"/>
              </w:rPr>
              <w:t xml:space="preserve"> and</w:t>
            </w:r>
            <w:r w:rsidRPr="00FF4DA0">
              <w:rPr>
                <w:rFonts w:ascii="Arial" w:hAnsi="Arial" w:cs="Arial"/>
                <w:sz w:val="24"/>
                <w:szCs w:val="24"/>
                <w:lang w:val="en-US"/>
              </w:rPr>
              <w:t xml:space="preserve"> acetate producer </w:t>
            </w:r>
            <w:r w:rsidRPr="000163B9">
              <w:rPr>
                <w:rFonts w:ascii="Arial" w:hAnsi="Arial" w:cs="Arial"/>
                <w:sz w:val="24"/>
                <w:szCs w:val="24"/>
              </w:rPr>
              <w:fldChar w:fldCharType="begin" w:fldLock="1"/>
            </w:r>
            <w:r w:rsidR="00D77F5F" w:rsidRPr="00FF4DA0">
              <w:rPr>
                <w:rFonts w:ascii="Arial" w:hAnsi="Arial" w:cs="Arial"/>
                <w:sz w:val="24"/>
                <w:szCs w:val="24"/>
                <w:lang w:val="en-US"/>
              </w:rPr>
              <w:instrText>ADDIN CSL_CITATION {"citationItems":[{"id":"ITEM-1","itemData":{"DOI":"10.3389/fphar.2018.01354","ISSN":"16639812","abstract":"As an important source for traditional medical systems such as Ayurvedic medicine and traditional Chinese medicine, herbal medicines have received widespread attentions from all over the world, especially in developing countries. Over the past decade, studies on gut microbiota have generated rich information for understanding how gut microbiota shape the functioning of our body system. In view of the importance of gut microbiota, the researchers engaged in studying herbal medicine</w:instrText>
            </w:r>
            <w:r w:rsidR="00D77F5F">
              <w:rPr>
                <w:rFonts w:ascii="Arial" w:hAnsi="Arial" w:cs="Arial"/>
                <w:sz w:val="24"/>
                <w:szCs w:val="24"/>
              </w:rPr>
              <w:instrText>s have paid more and more attention to gut microbiota and gut microbiota metabolites. Among a variety of gut microbiota metabolites, short-chain fatty acids (SCFAs) have received most attention because of their important role in maintaining the hemostasis of hosts and recovery of diseases. Herbal medicines, as an important resource provider for production of SCFAs, have been demonstrated to be able to modulate gut microbiota composition and regulate SCFAs production. In this mini-review, we summarize current knowledge about SCFAs origination, the role of SCFAs in health and disease, the influence of herbal medicine on SCFAs production and the corresponding mechanisms. At the end of this review, the strategies and suggestions for further research of SCFAs and herbal medicines are also discussed.","author":[{"dropping-particle":"","family":"Feng","given":"Wuwen","non-dropping-particle":"","parse-names":false,"suffix":""},{"dropping-particle":"","family":"Ao","given":"Hui","non-dropping-particle":"","parse-names":false,"suffix":""},{"dropping-particle":"","family":"Peng","given":"Cheng","non-dropping-particle":"","parse-names":false,"suffix":""}],"container-title":"Frontiers in Pharmacology","id":"ITEM-1","issue":"NOV","issued":{"date-parts":[["2018","11","23"]]},"page":"1354","publisher":"Frontiers Media S.A.","title":"Gut microbiota, short-chain fatty acids, and herbal medicines","type":"article-journal","volume":"9"},"uris":["http://www.mendeley.com/documents/?uuid=e8b94239-ff0d-3dc2-a3db-85f82fbc915a"]}],"mendeley":{"formattedCitation":"(2)","plainTextFormattedCitation":"(2)","previouslyFormattedCitation":"(2)"},"properties":{"noteIndex":0},"schema":"https://github.com/citation-style-language/schema/raw/master/csl-citation.json"}</w:instrText>
            </w:r>
            <w:r w:rsidRPr="000163B9">
              <w:rPr>
                <w:rFonts w:ascii="Arial" w:hAnsi="Arial" w:cs="Arial"/>
                <w:sz w:val="24"/>
                <w:szCs w:val="24"/>
              </w:rPr>
              <w:fldChar w:fldCharType="separate"/>
            </w:r>
            <w:r w:rsidR="008B129A" w:rsidRPr="008B129A">
              <w:rPr>
                <w:rFonts w:ascii="Arial" w:hAnsi="Arial" w:cs="Arial"/>
                <w:noProof/>
                <w:sz w:val="24"/>
                <w:szCs w:val="24"/>
              </w:rPr>
              <w:t>(2)</w:t>
            </w:r>
            <w:r w:rsidRPr="000163B9">
              <w:rPr>
                <w:rFonts w:ascii="Arial" w:hAnsi="Arial" w:cs="Arial"/>
                <w:sz w:val="24"/>
                <w:szCs w:val="24"/>
              </w:rPr>
              <w:fldChar w:fldCharType="end"/>
            </w:r>
          </w:p>
        </w:tc>
        <w:tc>
          <w:tcPr>
            <w:tcW w:w="5244" w:type="dxa"/>
            <w:noWrap/>
            <w:vAlign w:val="center"/>
          </w:tcPr>
          <w:p w14:paraId="549DACFF" w14:textId="43BE9159" w:rsidR="00AC601D" w:rsidRPr="0044392A" w:rsidRDefault="00AC601D" w:rsidP="00AC601D">
            <w:pPr>
              <w:suppressLineNumbers/>
              <w:spacing w:line="360" w:lineRule="auto"/>
              <w:ind w:left="1110" w:hanging="1110"/>
              <w:jc w:val="center"/>
              <w:rPr>
                <w:rFonts w:ascii="Arial" w:hAnsi="Arial" w:cs="Arial"/>
                <w:sz w:val="24"/>
                <w:szCs w:val="24"/>
                <w:lang w:val="en-US"/>
              </w:rPr>
            </w:pPr>
            <w:r>
              <w:rPr>
                <w:rFonts w:ascii="Arial" w:hAnsi="Arial" w:cs="Arial"/>
                <w:sz w:val="24"/>
                <w:szCs w:val="24"/>
                <w:lang w:val="en-US"/>
              </w:rPr>
              <w:t>Diseases potential</w:t>
            </w:r>
            <w:r w:rsidRPr="0044392A">
              <w:rPr>
                <w:rFonts w:ascii="Arial" w:hAnsi="Arial" w:cs="Arial"/>
                <w:sz w:val="24"/>
                <w:szCs w:val="24"/>
                <w:lang w:val="en-US"/>
              </w:rPr>
              <w:t xml:space="preserve"> members</w:t>
            </w:r>
            <w:r>
              <w:rPr>
                <w:rFonts w:ascii="Arial" w:hAnsi="Arial" w:cs="Arial"/>
                <w:sz w:val="24"/>
                <w:szCs w:val="24"/>
                <w:lang w:val="en-US"/>
              </w:rPr>
              <w:t xml:space="preserve">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{"citationItems":[{"id":"ITEM-1","itemData":{"DOI":"10.1007/s10096-013-1914-9","ISSN":"09349723","abstract":"Streptococcus infections are still one of the important problems facing contemporary medicine. As the World Health Organization (WHO) warns, Streptococcus pneumoniae is responsible for the highest number of pneumonia cases all over the world. Despite an increasing number of pneumococcal vaccinations, incidences of disease connected to this pathogen's infection stay at the same level, which is related to a constantly increasing number of infections caused by nonvaccinal serotypes. Unfortunately, the pathogenicity of bacteria of the Streptococcus genus is also connected to species considered to be physiological flora in humans or animals and, additionally, new species exhibiting pathogenic potential have been discovered. This paper presents an opinion concerning the epidemiology of streptococci infections based on case studies and other publications devoted to this problem. It also sheds new light based on recent reports on the prevention of protective vaccinations application in the case of streptococci infections. © 2013 The Author(s).","author":[{"dropping-particle":"","family":"Krzyaściak","given":"W.","non-dropping-particle":"","parse-names":false,"suffix":""},{"dropping-particle":"","family":"Pluskwa","given":"K. K.","non-dropping-particle":"","parse-names":false,"suffix":""},{"dropping-particle":"","family":"Jurczak","given":"A.","non-dropping-particle":"","parse-names":false,"suffix":""},{"dropping-particle":"","family":"Koaścielniak","given":"D.","non-dropping-particle":"","parse-names":false,"suffix":""}],"container-title":"European Journal of Clinical Microbiology and Infectious Diseases","id":"ITEM-1","issue":"11","issued":{"date-parts":[["2013","7","3"]]},"page":"1361-1376","publisher":"Springer","title":"The pathogenicity of the Streptococcus genus","type":"article-journal","volume":"32"},"uris":["http://www.mendeley.com/documents/?uuid=e306b3c2-7185-385b-a41a-b374cd5bad37"]}],"mendeley":{"formattedCitation":"(3)","plainTextFormattedCitation":"(3)","previouslyFormattedCitation":"(3)"},"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(3)</w:t>
            </w:r>
            <w:r>
              <w:rPr>
                <w:rFonts w:ascii="Arial" w:hAnsi="Arial" w:cs="Arial"/>
                <w:sz w:val="24"/>
                <w:szCs w:val="24"/>
                <w:lang w:val="en-US"/>
              </w:rPr>
              <w:fldChar w:fldCharType="end"/>
            </w:r>
            <w:r w:rsidR="00FF4DA0">
              <w:rPr>
                <w:rFonts w:ascii="Arial" w:hAnsi="Arial" w:cs="Arial"/>
                <w:sz w:val="24"/>
                <w:szCs w:val="24"/>
                <w:lang w:val="en-US"/>
              </w:rPr>
              <w:t>,</w:t>
            </w:r>
            <w:r>
              <w:rPr>
                <w:rFonts w:ascii="Arial" w:hAnsi="Arial" w:cs="Arial"/>
                <w:sz w:val="24"/>
                <w:szCs w:val="24"/>
                <w:lang w:val="en-US"/>
              </w:rPr>
              <w:t xml:space="preserve"> as </w:t>
            </w:r>
            <w:r w:rsidRPr="002B4C5A">
              <w:rPr>
                <w:rFonts w:ascii="Arial" w:hAnsi="Arial" w:cs="Arial"/>
                <w:i/>
                <w:iCs/>
                <w:sz w:val="24"/>
                <w:szCs w:val="24"/>
                <w:lang w:val="en-US"/>
              </w:rPr>
              <w:t>S</w:t>
            </w:r>
            <w:r w:rsidR="00FF4DA0">
              <w:rPr>
                <w:rFonts w:ascii="Arial" w:hAnsi="Arial" w:cs="Arial"/>
                <w:i/>
                <w:iCs/>
                <w:sz w:val="24"/>
                <w:szCs w:val="24"/>
                <w:lang w:val="en-US"/>
              </w:rPr>
              <w:t>.</w:t>
            </w:r>
            <w:r w:rsidRPr="002B4C5A">
              <w:rPr>
                <w:rFonts w:ascii="Arial" w:hAnsi="Arial" w:cs="Arial"/>
                <w:i/>
                <w:iCs/>
                <w:sz w:val="24"/>
                <w:szCs w:val="24"/>
                <w:lang w:val="en-US"/>
              </w:rPr>
              <w:t xml:space="preserve"> </w:t>
            </w:r>
            <w:proofErr w:type="spellStart"/>
            <w:r w:rsidRPr="002B4C5A">
              <w:rPr>
                <w:rFonts w:ascii="Arial" w:hAnsi="Arial" w:cs="Arial"/>
                <w:i/>
                <w:iCs/>
                <w:sz w:val="24"/>
                <w:szCs w:val="24"/>
                <w:lang w:val="en-US"/>
              </w:rPr>
              <w:t>suis</w:t>
            </w:r>
            <w:proofErr w:type="spellEnd"/>
            <w:r w:rsidRPr="002B4C5A">
              <w:rPr>
                <w:rFonts w:ascii="Arial" w:hAnsi="Arial" w:cs="Arial"/>
                <w:sz w:val="24"/>
                <w:szCs w:val="24"/>
                <w:lang w:val="en-US"/>
              </w:rPr>
              <w:t xml:space="preserve"> </w:t>
            </w:r>
            <w:r>
              <w:rPr>
                <w:rFonts w:ascii="Arial" w:hAnsi="Arial" w:cs="Arial"/>
                <w:sz w:val="24"/>
                <w:szCs w:val="24"/>
                <w:lang w:val="en-US"/>
              </w:rPr>
              <w:t xml:space="preserve">is a common pathogen in pigs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{"citationItems":[{"id":"ITEM-1","itemData":{"DOI":"10.1371/journal.pone.0215983","ISSN":"19326203","abstract":"Related Articles Characterization of pig saliva as the major natural habitat of Streptococcus suis by analyzing oral, fecal, vaginal, and environmental microbiota. PLoS One. 2019;14(4):e0215983 Authors: Murase K, Watanabe T, Arai S, Kim H, Tohya M, Ishida-Kuroki K, Võ TH, Nguyễn TPB, Nakagawa I, Osawa R, Nguyễn NH, Sekizaki T Abstract It is generally difficult to specify the sources of infection by which domestic animals may acquire pathogens. Through 16S rRNA gene amplicon sequencing, we compared the composition of microbiota in the saliva, vaginal mucus, and feces of pigs, and in swabs of feeder troughs and water dispensers collected from pig farms in Vietnam. The composition of the microbiota differed between samples in each sample group. Streptococcus, Actinobacillus, Moraxella, and Rothia were the most abundant genera and significantly discriminative in saliva samples, regardless of the plasticity and changeability of the composition of microbiota in saliva. Moreover, species assignment of the genus Streptococcus revealed that Streptococcus suis was exceptional in the salivary microbiota, due to being most abundant among the streptococcal species and sharing estimated proportions of 5.7%-9.4% of the total bacteria in saliva. Thus, pig oral microbiota showed unique characteristics in which the major species was the pig pathogen. On the other hand, β-diversity analysis showed that the microbiota in saliva was distinct from those in the others. From the above results, pig saliva was shown to be the major natural habitat of S. suis, and is suggested to be the most probable source of S. suis infection. PMID: 31017953 [PubMed - in process]","author":[{"dropping-particle":"","family":"Murase","given":"Kazunori","non-dropping-particle":"","parse-names":false,"suffix":""},{"dropping-particle":"","family":"Watanabe","given":"Takayasu","non-dropping-particle":"","parse-names":false,"suffix":""},{"dropping-particle":"","family":"Arai","given":"Sakura","non-dropping-particle":"","parse-names":false,"suffix":""},{"dropping-particle":"","family":"Kim","given":"Hyunjung","non-dropping-particle":"","parse-names":false,"suffix":""},{"dropping-particle":"","family":"Tohya","given":"Mari","non-dropping-particle":"","parse-names":false,"suffix":""},{"dropping-particle":"","family":"Ishida-Kuroki","given":"Kasumi","non-dropping-particle":"","parse-names":false,"suffix":""},{"dropping-particle":"","family":"Võ","given":"Tn Hùng","non-dropping-particle":"","parse-names":false,"suffix":""},{"dropping-particle":"","family":"Nguy","given":"Th Phương Bình","non-dropping-particle":"","parse-names":false,"suffix":""},{"dropping-particle":"","family":"Nakagawa","given":"Ichiro","non-dropping-particle":"","parse-names":false,"suffix":""},{"dropping-particle":"","family":"Osawa","given":"Ro","non-dropping-particle":"","parse-names":false,"suffix":""},{"dropping-particle":"","family":"Nguyn","given":"Ngc Hi","non-dropping-particle":"","parse-names":false,"suffix":""},{"dropping-particle":"","family":"Sekizaki","given":"Tsutomu","non-dropping-particle":"","parse-names":false,"suffix":""}],"container-title":"PLoS ONE","id":"ITEM-1","issue":"4","issued":{"date-parts":[["2019"]]},"page":"e0215983","title":"Characterization of pig saliva as the major natural habitat of Streptococcus suis by analyzing oral, fecal, vaginal, and environmental microbiota","type":"article-journal","volume":"14"},"uris":["http://www.mendeley.com/documents/?uuid=036c98ca-39a1-3d46-a807-57eeb9fa68ab"]}],"mendeley":{"formattedCitation":"(4)","plainTextFormattedCitation":"(4)","previouslyFormattedCitation":"(4)"},"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(4)</w:t>
            </w:r>
            <w:r>
              <w:rPr>
                <w:rFonts w:ascii="Arial" w:hAnsi="Arial" w:cs="Arial"/>
                <w:sz w:val="24"/>
                <w:szCs w:val="24"/>
                <w:lang w:val="en-US"/>
              </w:rPr>
              <w:fldChar w:fldCharType="end"/>
            </w:r>
          </w:p>
        </w:tc>
      </w:tr>
      <w:tr w:rsidR="00AC601D" w:rsidRPr="0044392A" w14:paraId="36153F13" w14:textId="77777777" w:rsidTr="00AC601D">
        <w:trPr>
          <w:trHeight w:val="300"/>
          <w:jc w:val="center"/>
        </w:trPr>
        <w:tc>
          <w:tcPr>
            <w:tcW w:w="2078" w:type="dxa"/>
            <w:noWrap/>
            <w:vAlign w:val="center"/>
            <w:hideMark/>
          </w:tcPr>
          <w:p w14:paraId="7CFFB896" w14:textId="77777777" w:rsidR="00AC601D" w:rsidRPr="0044392A" w:rsidRDefault="00AC601D" w:rsidP="00AC601D">
            <w:pPr>
              <w:suppressLineNumbers/>
              <w:spacing w:line="360" w:lineRule="auto"/>
              <w:ind w:left="888" w:hanging="851"/>
              <w:jc w:val="center"/>
              <w:rPr>
                <w:rFonts w:ascii="Arial" w:hAnsi="Arial" w:cs="Arial"/>
                <w:sz w:val="24"/>
                <w:szCs w:val="24"/>
                <w:lang w:val="en-US"/>
              </w:rPr>
            </w:pPr>
          </w:p>
        </w:tc>
        <w:tc>
          <w:tcPr>
            <w:tcW w:w="2803" w:type="dxa"/>
            <w:noWrap/>
            <w:vAlign w:val="center"/>
          </w:tcPr>
          <w:p w14:paraId="795957C9" w14:textId="1D10048D" w:rsidR="00AC601D" w:rsidRPr="00B35F96" w:rsidRDefault="00AC601D" w:rsidP="00AC601D">
            <w:pPr>
              <w:suppressLineNumbers/>
              <w:spacing w:line="360" w:lineRule="auto"/>
              <w:ind w:left="1110" w:right="-61" w:hanging="1110"/>
              <w:jc w:val="center"/>
              <w:rPr>
                <w:rFonts w:ascii="Arial" w:hAnsi="Arial" w:cs="Arial"/>
                <w:i/>
                <w:iCs/>
                <w:sz w:val="24"/>
                <w:szCs w:val="24"/>
                <w:lang w:val="en-US"/>
              </w:rPr>
            </w:pPr>
            <w:r w:rsidRPr="00B35F96">
              <w:rPr>
                <w:rFonts w:ascii="Arial" w:hAnsi="Arial" w:cs="Arial"/>
                <w:i/>
                <w:iCs/>
                <w:sz w:val="24"/>
                <w:szCs w:val="24"/>
                <w:lang w:val="en-US"/>
              </w:rPr>
              <w:t>Helicobacter</w:t>
            </w:r>
          </w:p>
        </w:tc>
        <w:tc>
          <w:tcPr>
            <w:tcW w:w="4050" w:type="dxa"/>
            <w:noWrap/>
            <w:vAlign w:val="center"/>
          </w:tcPr>
          <w:p w14:paraId="7389BF9D" w14:textId="5AC206CC" w:rsidR="00AC601D" w:rsidRPr="000F6B4D" w:rsidRDefault="00AC601D" w:rsidP="00AC601D">
            <w:pPr>
              <w:suppressLineNumbers/>
              <w:spacing w:line="360" w:lineRule="auto"/>
              <w:ind w:firstLine="40"/>
              <w:jc w:val="center"/>
              <w:rPr>
                <w:rFonts w:ascii="Arial" w:hAnsi="Arial" w:cs="Arial"/>
                <w:sz w:val="24"/>
                <w:szCs w:val="24"/>
                <w:lang w:val="en-US"/>
              </w:rPr>
            </w:pPr>
          </w:p>
        </w:tc>
        <w:tc>
          <w:tcPr>
            <w:tcW w:w="5244" w:type="dxa"/>
            <w:noWrap/>
            <w:vAlign w:val="center"/>
          </w:tcPr>
          <w:p w14:paraId="0688E525" w14:textId="16635AE8" w:rsidR="00AC601D" w:rsidRPr="00795251" w:rsidRDefault="00AC601D" w:rsidP="00AC601D">
            <w:pPr>
              <w:suppressLineNumbers/>
              <w:spacing w:line="360" w:lineRule="auto"/>
              <w:jc w:val="center"/>
              <w:rPr>
                <w:rFonts w:ascii="Arial" w:hAnsi="Arial" w:cs="Arial"/>
                <w:sz w:val="24"/>
                <w:szCs w:val="24"/>
                <w:lang w:val="en-US"/>
              </w:rPr>
            </w:pPr>
            <w:r>
              <w:rPr>
                <w:rFonts w:ascii="Arial" w:hAnsi="Arial" w:cs="Arial"/>
                <w:sz w:val="24"/>
                <w:szCs w:val="24"/>
                <w:lang w:val="en-US"/>
              </w:rPr>
              <w:t>Modify</w:t>
            </w:r>
            <w:r w:rsidRPr="0044392A">
              <w:rPr>
                <w:rFonts w:ascii="Arial" w:hAnsi="Arial" w:cs="Arial"/>
                <w:sz w:val="24"/>
                <w:szCs w:val="24"/>
                <w:lang w:val="en-US"/>
              </w:rPr>
              <w:t xml:space="preserve"> </w:t>
            </w:r>
            <w:r>
              <w:rPr>
                <w:rFonts w:ascii="Arial" w:hAnsi="Arial" w:cs="Arial"/>
                <w:sz w:val="24"/>
                <w:szCs w:val="24"/>
                <w:lang w:val="en-US"/>
              </w:rPr>
              <w:t>the e</w:t>
            </w:r>
            <w:r w:rsidRPr="0044392A">
              <w:rPr>
                <w:rFonts w:ascii="Arial" w:hAnsi="Arial" w:cs="Arial"/>
                <w:sz w:val="24"/>
                <w:szCs w:val="24"/>
                <w:lang w:val="en-US"/>
              </w:rPr>
              <w:t xml:space="preserve">pithelial </w:t>
            </w:r>
            <w:r>
              <w:rPr>
                <w:rFonts w:ascii="Arial" w:hAnsi="Arial" w:cs="Arial"/>
                <w:sz w:val="24"/>
                <w:szCs w:val="24"/>
                <w:lang w:val="en-US"/>
              </w:rPr>
              <w:t>p</w:t>
            </w:r>
            <w:r w:rsidRPr="0044392A">
              <w:rPr>
                <w:rFonts w:ascii="Arial" w:hAnsi="Arial" w:cs="Arial"/>
                <w:sz w:val="24"/>
                <w:szCs w:val="24"/>
                <w:lang w:val="en-US"/>
              </w:rPr>
              <w:t xml:space="preserve">roliferation and E-cadherin </w:t>
            </w:r>
            <w:r>
              <w:rPr>
                <w:rFonts w:ascii="Arial" w:hAnsi="Arial" w:cs="Arial"/>
                <w:sz w:val="24"/>
                <w:szCs w:val="24"/>
                <w:lang w:val="en-US"/>
              </w:rPr>
              <w:t>e</w:t>
            </w:r>
            <w:r w:rsidRPr="0044392A">
              <w:rPr>
                <w:rFonts w:ascii="Arial" w:hAnsi="Arial" w:cs="Arial"/>
                <w:sz w:val="24"/>
                <w:szCs w:val="24"/>
                <w:lang w:val="en-US"/>
              </w:rPr>
              <w:t xml:space="preserve">xpression in </w:t>
            </w:r>
            <w:r>
              <w:rPr>
                <w:rFonts w:ascii="Arial" w:hAnsi="Arial" w:cs="Arial"/>
                <w:sz w:val="24"/>
                <w:szCs w:val="24"/>
                <w:lang w:val="en-US"/>
              </w:rPr>
              <w:t>pig gut</w:t>
            </w:r>
            <w:r w:rsidRPr="0044392A">
              <w:rPr>
                <w:rFonts w:ascii="Arial" w:hAnsi="Arial" w:cs="Arial"/>
                <w:sz w:val="24"/>
                <w:szCs w:val="24"/>
                <w:lang w:val="en-US"/>
              </w:rPr>
              <w:t xml:space="preserve"> </w:t>
            </w:r>
            <w:r>
              <w:rPr>
                <w:rFonts w:ascii="Arial" w:hAnsi="Arial" w:cs="Arial"/>
                <w:sz w:val="24"/>
                <w:szCs w:val="24"/>
                <w:lang w:val="en-US"/>
              </w:rPr>
              <w:t xml:space="preserve">mucosa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{"citationItems":[{"id":"ITEM-1","itemData":{"DOI":"10.1016/j.jcpa.2013.06.002","ISSN":"00219975","abstract":"Gastric disease is common in finishing pigs. Helicobacter spp. infection has been associated with gastritis, gastric ulcers and gastric neoplasia in man and animals. The aim of this study was to determine the effects of Helicobacter spp. infection on gastric morphology in pigs, with emphasis on glandular cell proliferation and E-cadherin expression. Samples of fundus and antrum from 67 finishing pigs were examined microscopically and by immunohistochemistry. The presence of Helicobacter spp. was confirmed by polymerase chain reaction (PCR). Mucosal changes were evaluated and epithelial proliferation was determined by evaluation of the morphometry of nucleolar organizer regions and counting proliferating cell nuclear antigen-positive cells and mitotic figures. Intercellular adhesion was evaluated by E-cadherin expression. In 47 (70%) pigs, Helicobacter spp. infection was confirmed by PCR. Histological findings associated with the infection included mononuclear cell infiltration of the lamina propria and glandular degeneration. There was a significant association between infection and epithelial proliferation in both regions as well as a decrease in the expression of E-cadherin in the antrum. © 2013 Elsevier Ltd.","author":[{"dropping-particle":"","family":"Bracarense","given":"A. P.F.R.L.","non-dropping-particle":"","parse-names":false,"suffix":""},{"dropping-particle":"","family":"Yamasaki","given":"L.","non-dropping-particle":"","parse-names":false,"suffix":""},{"dropping-particle":"","family":"Silva","given":"E. O.","non-dropping-particle":"","parse-names":false,"suffix":""},{"dropping-particle":"","family":"Oliveira","given":"R. L.","non-dropping-particle":"","parse-names":false,"suffix":""},{"dropping-particle":"","family":"Alfieri","given":"A. A.","non-dropping-particle":"","parse-names":false,"suffix":""}],"container-title":"Journal of Comparative Pathology","id":"ITEM-1","issue":"4","issued":{"date-parts":[["2013","11","1"]]},"page":"402-409","publisher":"W.B. Saunders","title":"Helicobacter spp. infection induces changes in epithelial proliferation and E-cadherin expression in the gastric mucosa of pigs","type":"article-journal","volume":"149"},"uris":["http://www.mendeley.com/documents/?uuid=332190d5-1fa6-3ca6-8bae-6de5a4264824"]}],"mendeley":{"formattedCitation":"(5)","plainTextFormattedCitation":"(5)","previouslyFormattedCitation":"(5)"},"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(5)</w:t>
            </w:r>
            <w:r>
              <w:rPr>
                <w:rFonts w:ascii="Arial" w:hAnsi="Arial" w:cs="Arial"/>
                <w:sz w:val="24"/>
                <w:szCs w:val="24"/>
                <w:lang w:val="en-US"/>
              </w:rPr>
              <w:fldChar w:fldCharType="end"/>
            </w:r>
            <w:r>
              <w:rPr>
                <w:rFonts w:ascii="Arial" w:hAnsi="Arial" w:cs="Arial"/>
                <w:sz w:val="24"/>
                <w:szCs w:val="24"/>
                <w:lang w:val="en-US"/>
              </w:rPr>
              <w:t xml:space="preserve"> and related</w:t>
            </w:r>
            <w:r w:rsidRPr="0044392A">
              <w:rPr>
                <w:rFonts w:ascii="Arial" w:hAnsi="Arial" w:cs="Arial"/>
                <w:sz w:val="24"/>
                <w:szCs w:val="24"/>
                <w:lang w:val="en-US"/>
              </w:rPr>
              <w:t xml:space="preserve"> </w:t>
            </w:r>
            <w:r>
              <w:rPr>
                <w:rFonts w:ascii="Arial" w:hAnsi="Arial" w:cs="Arial"/>
                <w:sz w:val="24"/>
                <w:szCs w:val="24"/>
                <w:lang w:val="en-US"/>
              </w:rPr>
              <w:t>to</w:t>
            </w:r>
            <w:r w:rsidRPr="0044392A">
              <w:rPr>
                <w:rFonts w:ascii="Arial" w:hAnsi="Arial" w:cs="Arial"/>
                <w:sz w:val="24"/>
                <w:szCs w:val="24"/>
                <w:lang w:val="en-US"/>
              </w:rPr>
              <w:t xml:space="preserve"> gastric disorders</w:t>
            </w:r>
            <w:r>
              <w:rPr>
                <w:rFonts w:ascii="Arial" w:hAnsi="Arial" w:cs="Arial"/>
                <w:sz w:val="24"/>
                <w:szCs w:val="24"/>
                <w:lang w:val="en-US"/>
              </w:rPr>
              <w:t xml:space="preserve">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{"citationItems":[{"id":"ITEM-1","itemData":{"DOI":"10.1016/j.jmii.2016.11.003","ISSN":"19959133","abstract":"The genus Helicobacter contains more than 35 species. Helicobacter pylori is the most important in terms of human health. Discovery of these helicobacters gives opportunity to understand the relationship between these bacteria which colonise the animal and human gut and their effect on the host. Infection with Helicobacter spp. and the associated diseases in their hosts allow us to study the pathogenic mechanisms. The potential zoonotic pathway for the transmission of Helicobacter spp. and epidemiology of this genus, deserve more attention to these emerging pathogens.","author":[{"dropping-particle":"","family":"Mladenova-Hristova","given":"Irena","non-dropping-particle":"","parse-names":false,"suffix":""},{"dropping-particle":"","family":"Grekova","given":"Olga","non-dropping-particle":"","parse-names":false,"suffix":""},{"dropping-particle":"","family":"Patel","given":"Ami","non-dropping-particle":"","parse-names":false,"suffix":""}],"container-title":"Journal of Microbiology, Immunology and Infection","id":"ITEM-1","issue":"3","issued":{"date-parts":[["2017","6","1"]]},"page":"265-269","publisher":"Elsevier Ltd","title":"Zoonotic potential of Helicobacter spp.","type":"article-journal","volume":"50"},"uris":["http://www.mendeley.com/documents/?uuid=cbceb248-5c16-3798-ae98-5f90fcab6333"]}],"mendeley":{"formattedCitation":"(6)","plainTextFormattedCitation":"(6)","previouslyFormattedCitation":"(6)"},"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(6)</w:t>
            </w:r>
            <w:r>
              <w:rPr>
                <w:rFonts w:ascii="Arial" w:hAnsi="Arial" w:cs="Arial"/>
                <w:sz w:val="24"/>
                <w:szCs w:val="24"/>
                <w:lang w:val="en-US"/>
              </w:rPr>
              <w:fldChar w:fldCharType="end"/>
            </w:r>
          </w:p>
        </w:tc>
      </w:tr>
      <w:tr w:rsidR="00AC601D" w:rsidRPr="0044392A" w14:paraId="0C77A6E4" w14:textId="77777777" w:rsidTr="00AC601D">
        <w:trPr>
          <w:trHeight w:val="300"/>
          <w:jc w:val="center"/>
        </w:trPr>
        <w:tc>
          <w:tcPr>
            <w:tcW w:w="2078" w:type="dxa"/>
            <w:noWrap/>
            <w:vAlign w:val="center"/>
          </w:tcPr>
          <w:p w14:paraId="219B4C52" w14:textId="77777777" w:rsidR="00AC601D" w:rsidRPr="0044392A" w:rsidRDefault="00AC601D" w:rsidP="00AC601D">
            <w:pPr>
              <w:suppressLineNumbers/>
              <w:spacing w:line="360" w:lineRule="auto"/>
              <w:ind w:left="888" w:hanging="851"/>
              <w:jc w:val="center"/>
              <w:rPr>
                <w:rFonts w:ascii="Arial" w:hAnsi="Arial" w:cs="Arial"/>
                <w:sz w:val="24"/>
                <w:szCs w:val="24"/>
                <w:lang w:val="en-US"/>
              </w:rPr>
            </w:pPr>
          </w:p>
        </w:tc>
        <w:tc>
          <w:tcPr>
            <w:tcW w:w="2803" w:type="dxa"/>
            <w:noWrap/>
            <w:vAlign w:val="center"/>
          </w:tcPr>
          <w:p w14:paraId="5DCB9824" w14:textId="1E7E8895" w:rsidR="00AC601D" w:rsidRPr="00B35F96" w:rsidRDefault="00AC601D" w:rsidP="00AC601D">
            <w:pPr>
              <w:suppressLineNumbers/>
              <w:spacing w:line="360" w:lineRule="auto"/>
              <w:ind w:left="1110" w:right="-61" w:hanging="1110"/>
              <w:jc w:val="center"/>
              <w:rPr>
                <w:rFonts w:ascii="Arial" w:hAnsi="Arial" w:cs="Arial"/>
                <w:i/>
                <w:iCs/>
                <w:sz w:val="24"/>
                <w:szCs w:val="24"/>
                <w:lang w:val="en-US"/>
              </w:rPr>
            </w:pPr>
            <w:r w:rsidRPr="00B35F96">
              <w:rPr>
                <w:rFonts w:ascii="Arial" w:hAnsi="Arial" w:cs="Arial"/>
                <w:i/>
                <w:iCs/>
                <w:sz w:val="24"/>
                <w:szCs w:val="24"/>
                <w:lang w:val="en-US"/>
              </w:rPr>
              <w:t>Fusobacterium</w:t>
            </w:r>
          </w:p>
        </w:tc>
        <w:tc>
          <w:tcPr>
            <w:tcW w:w="4050" w:type="dxa"/>
            <w:noWrap/>
            <w:vAlign w:val="center"/>
          </w:tcPr>
          <w:p w14:paraId="66987950" w14:textId="480B8834" w:rsidR="00AC601D" w:rsidRPr="000163B9" w:rsidRDefault="00AC601D" w:rsidP="00AC601D">
            <w:pPr>
              <w:suppressLineNumbers/>
              <w:spacing w:line="360" w:lineRule="auto"/>
              <w:ind w:firstLine="40"/>
              <w:jc w:val="center"/>
              <w:rPr>
                <w:rFonts w:ascii="Arial" w:hAnsi="Arial" w:cs="Arial"/>
                <w:sz w:val="24"/>
                <w:szCs w:val="24"/>
              </w:rPr>
            </w:pPr>
            <w:r w:rsidRPr="000163B9">
              <w:rPr>
                <w:rFonts w:ascii="Arial" w:hAnsi="Arial" w:cs="Arial"/>
                <w:sz w:val="24"/>
                <w:szCs w:val="24"/>
                <w:lang w:val="en-US"/>
              </w:rPr>
              <w:t xml:space="preserve">Butyrate producer </w:t>
            </w:r>
            <w:r w:rsidRPr="000163B9">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{"citationItems":[{"id":"ITEM-1","itemData":{"DOI":"10.3389/fmicb.2016.01945","ISSN":"1664-302X","abstract":"Biosynthesis of butyrate by commensal bacteria plays a crucial role in maintenance of human gut health while dysbiosis in gut microbiome has been linked to several enteric disorders. Contrastingly, butyrate shows cytotoxic effects in patients with oral diseases like periodontal infections and oral cancer. In addition to these host associations, few syntrophic bacteria couple butyrate degradation with sulfate reduction and methane production. Thus, it becomes imperative to understand the distribution of butyrate metabolism pathways and delineate differences in substrate utilization between pathogens and commensals. The bacteria utilize four pathways for butyrate production with different initial substrates (Pyruvate, 4-aminobutyrate, Glutarate and Lysine) which follow a polyphyletic distribution. A comprehensive mining of complete/draft bacterial genomes indicated conserved juxtaposed genomic arrangement in all these pathways. This gene context information was utilized for an accurate annotation of butyrate production pathways in bacterial genomes. Interestingly, our analysis showed that inspite of a beneficial impact of butyrate in gut, not only commensals, but a few gut pathogens also possess butyrogenic pathways. The results further illustrated that all the gut commensal bacteria (Faecalibacterium, Roseburia, Butyrivibrio, and commensal species of Clostridia etc) ferment pyruvate for butyrate production. On the contrary, the butyrogenic gut pathogen Fusobacterium utilizes different amino acid metabolism pathways like those for Glutamate (4-aminobutyrate and Glutarate) and Lysine for butyrogenesis which leads to a concomitant release of harmful by-products like ammonia in the process. The findings in this study indicate that commensals and pathogens in gut have divergently evolved to produce butyrate using distinct pathways. No such evolutionary selection was observed in oral pathogens (Porphyromonas and Filifactor) which showed presence of pyruvate as well as amino acid fermenting pathways which might be because the final product butyrate is itself known to be cytotoxic in oral diseases. This differential utilization of butyrogenic pathways in gut pathogens and commensals has an enormous ecological impact taking into consideration the immense influence of butyrate on different disorders in humans. The results of this study can potentially guide bioengineering experiments to design therapeutics/probiotics by manipulation of butyrate biosynthesis gene c…","author":[{"dropping-particle":"","family":"Anand","given":"Swadha","non-dropping-particle":"","parse-names":false,"suffix":""},{"dropping-particle":"","family":"Kaur","given":"Harrisham","non-dropping-particle":"","parse-names":false,"suffix":""},{"dropping-particle":"","family":"Mande","given":"Sharmila S.","non-dropping-particle":"","parse-names":false,"suffix":""}],"container-title":"Frontiers in Microbiology","id":"ITEM-1","issue":"DEC","issued":{"date-parts":[["2016","12","2"]]},"page":"1945","publisher":"Frontiers Research Foundation","title":"Comparative In silico Analysis of Butyrate Production Pathways in Gut Commensals and Pathogens","type":"article-journal","volume":"7"},"uris":["http://www.mendeley.com/documents/?uuid=26d535ed-e216-306c-a62e-6e428623bcbc"]}],"mendeley":{"formattedCitation":"(7)","plainTextFormattedCitation":"(7)","previouslyFormattedCitation":"(7)"},"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(7)</w:t>
            </w:r>
            <w:r w:rsidRPr="000163B9">
              <w:rPr>
                <w:rFonts w:ascii="Arial" w:hAnsi="Arial" w:cs="Arial"/>
                <w:sz w:val="24"/>
                <w:szCs w:val="24"/>
                <w:lang w:val="en-US"/>
              </w:rPr>
              <w:fldChar w:fldCharType="end"/>
            </w:r>
          </w:p>
        </w:tc>
        <w:tc>
          <w:tcPr>
            <w:tcW w:w="5244" w:type="dxa"/>
            <w:noWrap/>
            <w:vAlign w:val="center"/>
          </w:tcPr>
          <w:p w14:paraId="0272E2E9" w14:textId="7A2CB69E" w:rsidR="00AC601D" w:rsidRDefault="00AC601D" w:rsidP="00AC601D">
            <w:pPr>
              <w:suppressLineNumbers/>
              <w:spacing w:line="360" w:lineRule="auto"/>
              <w:jc w:val="center"/>
              <w:rPr>
                <w:rFonts w:ascii="Arial" w:hAnsi="Arial" w:cs="Arial"/>
                <w:sz w:val="24"/>
                <w:szCs w:val="24"/>
                <w:lang w:val="en-US"/>
              </w:rPr>
            </w:pPr>
            <w:r w:rsidRPr="0044392A">
              <w:rPr>
                <w:rFonts w:ascii="Arial" w:hAnsi="Arial" w:cs="Arial"/>
                <w:sz w:val="24"/>
                <w:szCs w:val="24"/>
                <w:lang w:val="en-US"/>
              </w:rPr>
              <w:t>Some species implicated in pathologies</w:t>
            </w:r>
            <w:r>
              <w:rPr>
                <w:rFonts w:ascii="Arial" w:hAnsi="Arial" w:cs="Arial"/>
                <w:sz w:val="24"/>
                <w:szCs w:val="24"/>
                <w:lang w:val="en-US"/>
              </w:rPr>
              <w:t xml:space="preserve">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{"citationItems":[{"id":"ITEM-1","itemData":{"DOI":"10.1128/mBio.01864-14","ISSN":"21507511","abstract":"The diverse Fusobacterium genus contains species implicated in multiple clinical pathologies, including periodontal disease, preterm birth, and colorectal cancer. The lack of genetic tools for manipulating these organisms leaves us with little understanding of the genes responsible for adherence to and invasion of host cells. Actively invading Fusobacterium species can enter host cells independently, whereas passively invading species need additional factors, such as compromise of mucosal integrity or coinfection with other microbes. We applied whole-genome sequencing and comparative analysis to study the evolution of active and passive invasion strategies and to infer factors associated with active forms of host cell invasion. The evolution of active invasion appears to have followed an adaptive radiation in which two of the three fusobacterial lineages acquired new genes and underwent expansions of ancestral genes that enable active forms of host cell invasion. Compared to passive invaders, active invaders have much larger genomes, encode FadA-related adhesins, and possess twice as many genes encoding membranerelated proteins, including a large expansion of surface-associated proteins containing the MORN2 domain of unknown function. We predict a role for proteins containing MORN2 domains in adhesion and active invasion. In the largest and most comprehensive comparison of sequenced Fusobacterium species to date, we have generated a testable model for the molecular pathogenesis of Fusobacterium infection and illuminate new therapeutic or diagnostic strategies. IMPORTANCE Fusobacterium species have recently been implicated in a broad spectrum of human pathologies, including Crohn’s disease, ulcerative colitis, preterm birth, and colorectal cancer. Largely due to the genetic intractability of member species, the mechanisms by which Fusobacterium causes these pathologies are not well understood, although adherence to and active invasion of host cells appear important. We examined whole-genome sequence data from a diverse set of Fusobacterium species to identify genetic determinants of active forms of host cell invasion. Our analyses revealed that actively invading Fusobacterium species have larger genomes than passively invading species and possess a specific complement of genes—including a class of genes of unknown function that we predict evolved to enable host cell adherence and invasion. This study provides an important framework for future studies on …","author":[{"dropping-particle":"","family":"McGuire","given":"Abigail Manson","non-dropping-particle":"","parse-names":false,"suffix":""},{"dropping-particle":"","family":"Cochrane","given":"Kyla","non-dropping-particle":"","parse-names":false,"suffix":""},{"dropping-particle":"","family":"Griggs","given":"Allison D.","non-dropping-particle":"","parse-names":false,"suffix":""},{"dropping-particle":"","family":"Haas","given":"Brian J.","non-dropping-particle":"","parse-names":false,"suffix":""},{"dropping-particle":"","family":"Abeel","given":"Thomas","non-dropping-particle":"","parse-names":false,"suffix":""},{"dropping-particle":"","family":"Zeng","given":"Qiandong","non-dropping-particle":"","parse-names":false,"suffix":""},{"dropping-particle":"","family":"Nice","given":"Justin B.","non-dropping-particle":"","parse-names":false,"suffix":""},{"dropping-particle":"","family":"Macdonald","given":"Hanlon","non-dropping-particle":"","parse-names":false,"suffix":""},{"dropping-particle":"","family":"Birren","given":"Bruce W.","non-dropping-particle":"","parse-names":false,"suffix":""},{"dropping-particle":"","family":"Berger","given":"Bryan W.","non-dropping-particle":"","parse-names":false,"suffix":""},{"dropping-particle":"","family":"Allen-Vercoe","given":"Emma","non-dropping-particle":"","parse-names":false,"suffix":""},{"dropping-particle":"","family":"Earl","given":"Ashlee M.","non-dropping-particle":"","parse-names":false,"suffix":""}],"container-title":"mBio","id":"ITEM-1","issue":"6","issued":{"date-parts":[["2014","8","26"]]},"page":"e01864-14","publisher":"American Society for Microbiology","title":"Evolution of invasion in a diverse set of Fusobacterium species","type":"article-journal","volume":"5"},"uris":["http://www.mendeley.com/documents/?uuid=692117c3-0d04-3740-8531-54f84e8f4104"]}],"mendeley":{"formattedCitation":"(8)","plainTextFormattedCitation":"(8)","previouslyFormattedCitation":"(8)"},"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(8)</w:t>
            </w:r>
            <w:r>
              <w:rPr>
                <w:rFonts w:ascii="Arial" w:hAnsi="Arial" w:cs="Arial"/>
                <w:sz w:val="24"/>
                <w:szCs w:val="24"/>
                <w:lang w:val="en-US"/>
              </w:rPr>
              <w:fldChar w:fldCharType="end"/>
            </w:r>
          </w:p>
        </w:tc>
      </w:tr>
      <w:tr w:rsidR="00AC601D" w:rsidRPr="0044392A" w14:paraId="22AA794C" w14:textId="77777777" w:rsidTr="00B7650E">
        <w:trPr>
          <w:trHeight w:val="300"/>
          <w:jc w:val="center"/>
        </w:trPr>
        <w:tc>
          <w:tcPr>
            <w:tcW w:w="2078" w:type="dxa"/>
            <w:noWrap/>
            <w:vAlign w:val="center"/>
            <w:hideMark/>
          </w:tcPr>
          <w:p w14:paraId="682192E4" w14:textId="77777777" w:rsidR="00AC601D" w:rsidRPr="0044392A" w:rsidRDefault="00AC601D" w:rsidP="00AC601D">
            <w:pPr>
              <w:suppressLineNumbers/>
              <w:spacing w:line="360" w:lineRule="auto"/>
              <w:ind w:left="888" w:hanging="851"/>
              <w:jc w:val="center"/>
              <w:rPr>
                <w:rFonts w:ascii="Arial" w:hAnsi="Arial" w:cs="Arial"/>
                <w:sz w:val="24"/>
                <w:szCs w:val="24"/>
                <w:lang w:val="en-US"/>
              </w:rPr>
            </w:pPr>
          </w:p>
        </w:tc>
        <w:tc>
          <w:tcPr>
            <w:tcW w:w="2803" w:type="dxa"/>
            <w:noWrap/>
            <w:vAlign w:val="center"/>
            <w:hideMark/>
          </w:tcPr>
          <w:p w14:paraId="6B0D309B" w14:textId="23D6533E" w:rsidR="00AC601D" w:rsidRPr="00B35F96" w:rsidRDefault="00AC601D" w:rsidP="00AC601D">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Roseburia</w:t>
            </w:r>
            <w:proofErr w:type="spellEnd"/>
          </w:p>
        </w:tc>
        <w:tc>
          <w:tcPr>
            <w:tcW w:w="4050" w:type="dxa"/>
            <w:noWrap/>
            <w:vAlign w:val="center"/>
            <w:hideMark/>
          </w:tcPr>
          <w:p w14:paraId="740EAD35" w14:textId="12AC191C" w:rsidR="00AC601D" w:rsidRPr="000163B9" w:rsidRDefault="00AC601D" w:rsidP="00AC601D">
            <w:pPr>
              <w:suppressLineNumbers/>
              <w:spacing w:line="360" w:lineRule="auto"/>
              <w:ind w:firstLine="40"/>
              <w:jc w:val="center"/>
              <w:rPr>
                <w:rFonts w:ascii="Arial" w:hAnsi="Arial" w:cs="Arial"/>
                <w:sz w:val="24"/>
                <w:szCs w:val="24"/>
                <w:lang w:val="en-US"/>
              </w:rPr>
            </w:pPr>
            <w:r w:rsidRPr="000163B9">
              <w:rPr>
                <w:rFonts w:ascii="Arial" w:hAnsi="Arial" w:cs="Arial"/>
                <w:sz w:val="24"/>
                <w:szCs w:val="24"/>
                <w:lang w:val="en-US"/>
              </w:rPr>
              <w:t>Acetate</w:t>
            </w:r>
            <w:r w:rsidR="00FF4DA0">
              <w:rPr>
                <w:rFonts w:ascii="Arial" w:hAnsi="Arial" w:cs="Arial"/>
                <w:sz w:val="24"/>
                <w:szCs w:val="24"/>
                <w:lang w:val="en-US"/>
              </w:rPr>
              <w:t>.</w:t>
            </w:r>
            <w:r w:rsidRPr="000163B9">
              <w:rPr>
                <w:rFonts w:ascii="Arial" w:hAnsi="Arial" w:cs="Arial"/>
                <w:sz w:val="24"/>
                <w:szCs w:val="24"/>
                <w:lang w:val="en-US"/>
              </w:rPr>
              <w:t xml:space="preserve"> propionate and butyrate producer </w:t>
            </w:r>
            <w:r w:rsidRPr="000163B9">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{"citationItems":[{"id":"ITEM-1","itemData":{"DOI":"10.1128/AEM.68.10.5186-5190.2002","ISSN":"00992240","abstract":"Seven strains of Roseburia sp., Faecalibacterium prausnitzii, and Coprococcus sp. from the human gut that produce high levels of butyric acid in vitro were studied with respect to key butyrate pathway enzymes and fermentation patterns. Strains of Roseburia sp. and F. prausnitzii possessed butyryl coenzyme A (CoA):acetate-CoA transferase and acetate kinase activities, but butyrate kinase activity was not detectable either in growing or in stationary-phase cultures. Although unable to use acetate as a sole source of energy, these strains showed net utilization of acetate during growth on glucose. In contrast, Coprococcus sp. strain L2-50 is a net producer of acetate and possessed detectable butyrate kinase, acetate kinase, and butyryl-CoA:acetate-CoA transferase activities. These results demonstrate that different functionally distinct groups of butyrate-producing bacteria are present in the human large intestine.","author":[{"dropping-particle":"","family":"Duncan","given":"Sylvia H.","non-dropping-particle":"","parse-names":false,"suffix":""},{"dropping-particle":"","family":"Barcenilla","given":"Adela","non-dropping-particle":"","parse-names":false,"suffix":""},{"dropping-particle":"","family":"Stewart","given":"Colin S.","non-dropping-particle":"","parse-names":false,"suffix":""},{"dropping-particle":"","family":"Pryde","given":"Susan E.","non-dropping-particle":"","parse-names":false,"suffix":""},{"dropping-particle":"","family":"Flint","given":"Harry J.","non-dropping-particle":"","parse-names":false,"suffix":""}],"container-title":"Applied and Environmental Microbiology","id":"ITEM-1","issue":"10","issued":{"date-parts":[["2002","10","1"]]},"page":"5186-5190","publisher":"American Society for Microbiology","title":"Acetate utilization and butyryl coenzyme A (CoA): Acetate-CoA transferase in butyrate-producing bacteria from the human large intestine","type":"article-journal","volume":"68"},"uris":["http://www.mendeley.com/documents/?uuid=8e4b3a63-f095-358c-9737-c635a229fc4c"]},{"id":"ITEM-2","itemData":{"DOI":"10.2217/fmb-2016-0130","ISSN":"17460921","abstract":"The genus Roseburia consists of obligate Gram-positive anaerobic bacteria that are slightly curved, rod-shaped and motile by means of multiple subterminal flagella. It includes five species: Roseburia intestinalis, R. hominis, R. inulinivorans, R. faecis and R. cecicola. Gut Roseburia spp. metabolize dietary components that stimulate their proliferation and metabolic activities. They are part of commensal bacteria producing short-chain fatty acids, especially butyrate, affecting colonic motility, immunity maintenance and anti-inflammatory properties. Modification in Roseburia spp. representation may affect various metabolic pathways and is associated with several diseases (including irritable bowel syndrome, obesity, Type 2 diabetes, nervous system conditions and allergies). Roseburia spp. could also serve as biomarkers for symptomatic pathologies (e.g., gallstone formation) or as probiotics for restoration of beneficial flora.","author":[{"dropping-particle":"","family":"Tamanai-Shacoori","given":"Zohreh","non-dropping-particle":"","parse-names":false,"suffix":""},{"dropping-particle":"","family":"Smida","given":"Imen","non-dropping-particle":"","parse-names":false,"suffix":""},{"dropping-particle":"","family":"Bousarghin","given":"Latifa","non-dropping-particle":"","parse-names":false,"suffix":""},{"dropping-particle":"","family":"Loreal","given":"Olivier","non-dropping-particle":"","parse-names":false,"suffix":""},{"dropping-particle":"","family":"Meuric","given":"Vincent","non-dropping-particle":"","parse-names":false,"suffix":""},{"dropping-particle":"","family":"Fong","given":"Shao Bing","non-dropping-particle":"","parse-names":false,"suffix":""},{"dropping-particle":"","family":"Bonnaure-Mallet","given":"Martine","non-dropping-particle":"","parse-names":false,"suffix":""},{"dropping-particle":"","family":"Jolivet-Gougeon","given":"Anne","non-dropping-particle":"","parse-names":false,"suffix":""}],"container-title":"Future Microbiology","id":"ITEM-2","issue":"2","issued":{"date-parts":[["2017","2","1"]]},"page":"157-170","publisher":"Future Medicine Ltd.","title":"Roseburia spp.: A marker of health?","type":"article-journal","volume":"12"},"uris":["http://www.mendeley.com/documents/?uuid=375c830c-97ff-3315-857b-e9742c49a92c"]}],"mendeley":{"formattedCitation":"(9, 10)","plainTextFormattedCitation":"(9, 10)","previouslyFormattedCitation":"(9, 10)"},"properties":{"noteIndex":0},"schema":"https://github.com/citation-style-language/schema/raw/master/csl-citation.json"}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(9</w:t>
            </w:r>
            <w:r w:rsidR="00FF4DA0">
              <w:rPr>
                <w:rFonts w:ascii="Arial" w:hAnsi="Arial" w:cs="Arial"/>
                <w:noProof/>
                <w:sz w:val="24"/>
                <w:szCs w:val="24"/>
                <w:lang w:val="en-US"/>
              </w:rPr>
              <w:t>,</w:t>
            </w:r>
            <w:r w:rsidR="008B129A" w:rsidRPr="008B129A">
              <w:rPr>
                <w:rFonts w:ascii="Arial" w:hAnsi="Arial" w:cs="Arial"/>
                <w:noProof/>
                <w:sz w:val="24"/>
                <w:szCs w:val="24"/>
                <w:lang w:val="en-US"/>
              </w:rPr>
              <w:t xml:space="preserve"> 10)</w:t>
            </w:r>
            <w:r w:rsidRPr="000163B9">
              <w:rPr>
                <w:rFonts w:ascii="Arial" w:hAnsi="Arial" w:cs="Arial"/>
                <w:sz w:val="24"/>
                <w:szCs w:val="24"/>
                <w:lang w:val="en-US"/>
              </w:rPr>
              <w:fldChar w:fldCharType="end"/>
            </w:r>
          </w:p>
        </w:tc>
        <w:tc>
          <w:tcPr>
            <w:tcW w:w="5244" w:type="dxa"/>
            <w:noWrap/>
            <w:vAlign w:val="center"/>
            <w:hideMark/>
          </w:tcPr>
          <w:p w14:paraId="7217B0AE" w14:textId="1D80C29E" w:rsidR="00AC601D" w:rsidRPr="0044392A" w:rsidRDefault="00AC601D" w:rsidP="00AC601D">
            <w:pPr>
              <w:suppressLineNumbers/>
              <w:spacing w:line="360" w:lineRule="auto"/>
              <w:ind w:left="1110" w:hanging="1110"/>
              <w:jc w:val="center"/>
              <w:rPr>
                <w:rFonts w:ascii="Arial" w:hAnsi="Arial" w:cs="Arial"/>
                <w:sz w:val="24"/>
                <w:szCs w:val="24"/>
                <w:lang w:val="en-US"/>
              </w:rPr>
            </w:pPr>
            <w:r w:rsidRPr="0044392A">
              <w:rPr>
                <w:rFonts w:ascii="Arial" w:hAnsi="Arial" w:cs="Arial"/>
                <w:sz w:val="24"/>
                <w:szCs w:val="24"/>
                <w:lang w:val="en-US"/>
              </w:rPr>
              <w:t>Support immune defense</w:t>
            </w:r>
            <w:r>
              <w:rPr>
                <w:rFonts w:ascii="Arial" w:hAnsi="Arial" w:cs="Arial"/>
                <w:sz w:val="24"/>
                <w:szCs w:val="24"/>
                <w:lang w:val="en-US"/>
              </w:rPr>
              <w:t xml:space="preserve">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{"citationItems":[{"id":"ITEM-1","itemData":{"DOI":"10.2217/fmb-2016-0130","ISSN":"17460921","abstract":"The genus Roseburia consists of obligate Gram-positive anaerobic bacteria that are slightly curved, rod-shaped and motile by means of multiple subterminal flagella. It includes five species: Roseburia intestinalis, R. hominis, R. inulinivorans, R. faecis and R. cecicola. Gut Roseburia spp. metabolize dietary components that stimulate their proliferation and metabolic activities. They are part of commensal bacteria producing short-chain fatty acids, especially butyrate, affecting colonic motility, immunity maintenance and anti-inflammatory properties. Modification in Roseburia spp. representation may affect various metabolic pathways and is associated with several diseases (including irritable bowel syndrome, obesity, Type 2 diabetes, nervous system conditions and allergies). Roseburia spp. could also serve as biomarkers for symptomatic pathologies (e.g., gallstone formation) or as probiotics for restoration of beneficial flora.","author":[{"dropping-particle":"","family":"Tamanai-Shacoori","given":"Zohreh","non-dropping-particle":"","parse-names":false,"suffix":""},{"dropping-particle":"","family":"Smida","given":"Imen","non-dropping-particle":"","parse-names":false,"suffix":""},{"dropping-particle":"","family":"Bousarghin","given":"Latifa","non-dropping-particle":"","parse-names":false,"suffix":""},{"dropping-particle":"","family":"Loreal","given":"Olivier","non-dropping-particle":"","parse-names":false,"suffix":""},{"dropping-particle":"","family":"Meuric","given":"Vincent","non-dropping-particle":"","parse-names":false,"suffix":""},{"dropping-particle":"","family":"Fong","given":"Shao Bing","non-dropping-particle":"","parse-names":false,"suffix":""},{"dropping-particle":"","family":"Bonnaure-Mallet","given":"Martine","non-dropping-particle":"","parse-names":false,"suffix":""},{"dropping-particle":"","family":"Jolivet-Gougeon","given":"Anne","non-dropping-particle":"","parse-names":false,"suffix":""}],"container-title":"Future Microbiology","id":"ITEM-1","issue":"2","issued":{"date-parts":[["2017","2","1"]]},"page":"157-170","publisher":"Future Medicine Ltd.","title":"Roseburia spp.: A marker of health?","type":"article-journal","volume":"12"},"uris":["http://www.mendeley.com/documents/?uuid=375c830c-97ff-3315-857b-e9742c49a92c"]}],"mendeley":{"formattedCitation":"(10)","plainTextFormattedCitation":"(10)","previouslyFormattedCitation":"(10)"},"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(10)</w:t>
            </w:r>
            <w:r>
              <w:rPr>
                <w:rFonts w:ascii="Arial" w:hAnsi="Arial" w:cs="Arial"/>
                <w:sz w:val="24"/>
                <w:szCs w:val="24"/>
                <w:lang w:val="en-US"/>
              </w:rPr>
              <w:fldChar w:fldCharType="end"/>
            </w:r>
          </w:p>
        </w:tc>
      </w:tr>
      <w:tr w:rsidR="00AC601D" w:rsidRPr="0044392A" w14:paraId="40E5BBFA" w14:textId="77777777" w:rsidTr="00B7650E">
        <w:trPr>
          <w:trHeight w:val="315"/>
          <w:jc w:val="center"/>
        </w:trPr>
        <w:tc>
          <w:tcPr>
            <w:tcW w:w="2078" w:type="dxa"/>
            <w:noWrap/>
            <w:vAlign w:val="center"/>
            <w:hideMark/>
          </w:tcPr>
          <w:p w14:paraId="00FC1BE6" w14:textId="77777777" w:rsidR="00AC601D" w:rsidRPr="0044392A" w:rsidRDefault="00AC601D" w:rsidP="00AC601D">
            <w:pPr>
              <w:suppressLineNumbers/>
              <w:spacing w:line="360" w:lineRule="auto"/>
              <w:ind w:left="888" w:hanging="851"/>
              <w:jc w:val="center"/>
              <w:rPr>
                <w:rFonts w:ascii="Arial" w:hAnsi="Arial" w:cs="Arial"/>
                <w:sz w:val="24"/>
                <w:szCs w:val="24"/>
                <w:lang w:val="en-US"/>
              </w:rPr>
            </w:pPr>
          </w:p>
        </w:tc>
        <w:tc>
          <w:tcPr>
            <w:tcW w:w="2803" w:type="dxa"/>
            <w:noWrap/>
            <w:vAlign w:val="center"/>
            <w:hideMark/>
          </w:tcPr>
          <w:p w14:paraId="62C6FE60" w14:textId="4925B964" w:rsidR="00AC601D" w:rsidRPr="00B35F96" w:rsidRDefault="00AC601D" w:rsidP="00AC601D">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Faecalibacterium</w:t>
            </w:r>
            <w:proofErr w:type="spellEnd"/>
          </w:p>
        </w:tc>
        <w:tc>
          <w:tcPr>
            <w:tcW w:w="4050" w:type="dxa"/>
            <w:noWrap/>
            <w:vAlign w:val="center"/>
            <w:hideMark/>
          </w:tcPr>
          <w:p w14:paraId="07198F15" w14:textId="576BF2AB" w:rsidR="00AC601D" w:rsidRPr="000163B9" w:rsidRDefault="00AC601D" w:rsidP="00AC601D">
            <w:pPr>
              <w:suppressLineNumbers/>
              <w:spacing w:line="360" w:lineRule="auto"/>
              <w:ind w:firstLine="40"/>
              <w:jc w:val="center"/>
              <w:rPr>
                <w:rFonts w:ascii="Arial" w:hAnsi="Arial" w:cs="Arial"/>
                <w:sz w:val="24"/>
                <w:szCs w:val="24"/>
                <w:lang w:val="en-US"/>
              </w:rPr>
            </w:pPr>
            <w:r w:rsidRPr="000163B9">
              <w:rPr>
                <w:rFonts w:ascii="Arial" w:hAnsi="Arial" w:cs="Arial"/>
                <w:sz w:val="24"/>
                <w:szCs w:val="24"/>
                <w:lang w:val="en-US"/>
              </w:rPr>
              <w:t xml:space="preserve">Butyrate and acetate producer </w:t>
            </w:r>
            <w:r w:rsidRPr="000163B9">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{"citationItems":[{"id":"ITEM-1","itemData":{"DOI":"10.1128/AEM.68.10.5186-5190.2002","ISSN":"00992240","abstract":"Seven strains of Roseburia sp., Faecalibacterium prausnitzii, and Coprococcus sp. from the human gut that produce high levels of butyric acid in vitro were studied with respect to key butyrate pathway enzymes and fermentation patterns. Strains of Roseburia sp. and F. prausnitzii possessed butyryl coenzyme A (CoA):acetate-CoA transferase and acetate kinase activities, but butyrate kinase activity was not detectable either in growing or in stationary-phase cultures. Although unable to use acetate as a sole source of energy, these strains showed net utilization of acetate during growth on glucose. In contrast, Coprococcus sp. strain L2-50 is a net producer of acetate and possessed detectable butyrate kinase, acetate kinase, and butyryl-CoA:acetate-CoA transferase activities. These results demonstrate that different functionally distinct groups of butyrate-producing bacteria are present in the human large intestine.","author":[{"dropping-particle":"","family":"Duncan","given":"Sylvia H.","non-dropping-particle":"","parse-names":false,"suffix":""},{"dropping-particle":"","family":"Barcenilla","given":"Adela","non-dropping-particle":"","parse-names":false,"suffix":""},{"dropping-particle":"","family":"Stewart","given":"Colin S.","non-dropping-particle":"","parse-names":false,"suffix":""},{"dropping-particle":"","family":"Pryde","given":"Susan E.","non-dropping-particle":"","parse-names":false,"suffix":""},{"dropping-particle":"","family":"Flint","given":"Harry J.","non-dropping-particle":"","parse-names":false,"suffix":""}],"container-title":"Applied and Environmental Microbiology","id":"ITEM-1","issue":"10","issued":{"date-parts":[["2002","10","1"]]},"page":"5186-5190","publisher":"American Society for Microbiology","title":"Acetate utilization and butyryl coenzyme A (CoA): Acetate-CoA transferase in butyrate-producing bacteria from the human large intestine","type":"article-journal","volume":"68"},"uris":["http://www.mendeley.com/documents/?uuid=8e4b3a63-f095-358c-9737-c635a229fc4c"]},{"id":"ITEM-2","itemData":{"DOI":"10.1038/nature11552","ISSN":"00280836","abstract":"The link between the microbes in the human gut and the development of obesity, cardiovascular disease and metabolic syndromes, such as type 2 diabetes, is becoming clearer. However, because of the complexity of the microbial community, the functional connections are less well understood. Studies in both mice and humans are helping to show what effect the gut microbiota has on host metabolism by improving energy yield from food and modulating dietary or the host-derived compounds that alter host metabolic pathways. Through increased knowledge of the mechanisms involved in the interactions between the microbiota and its host, we will be in a better position to develop treatments for metabolic disease.","author":[{"dropping-particle":"","family":"Tremaroli","given":"Valentina","non-dropping-particle":"","parse-names":false,"suffix":""},{"dropping-particle":"","family":"Bäckhed","given":"Fredrik","non-dropping-particle":"","parse-names":false,"suffix":""}],"container-title":"Nature","id":"ITEM-2","issue":"7415","issued":{"date-parts":[["2012"]]},"page":"242-249","title":"Functional interactions between the gut microbiota and host metabolism","type":"article-journal","volume":"489"},"uris":["http://www.mendeley.com/documents/?uuid=3c7c12e2-e95e-4c35-8bff-ce00ceb102a3"]}],"mendeley":{"formattedCitation":"(9, 11)","plainTextFormattedCitation":"(9, 11)","previouslyFormattedCitation":"(9, 11)"},"properties":{"noteIndex":0},"schema":"https://github.com/citation-style-language/schema/raw/master/csl-citation.json"}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(9</w:t>
            </w:r>
            <w:r w:rsidR="00FF4DA0">
              <w:rPr>
                <w:rFonts w:ascii="Arial" w:hAnsi="Arial" w:cs="Arial"/>
                <w:noProof/>
                <w:sz w:val="24"/>
                <w:szCs w:val="24"/>
                <w:lang w:val="en-US"/>
              </w:rPr>
              <w:t>,</w:t>
            </w:r>
            <w:r w:rsidR="008B129A" w:rsidRPr="008B129A">
              <w:rPr>
                <w:rFonts w:ascii="Arial" w:hAnsi="Arial" w:cs="Arial"/>
                <w:noProof/>
                <w:sz w:val="24"/>
                <w:szCs w:val="24"/>
                <w:lang w:val="en-US"/>
              </w:rPr>
              <w:t xml:space="preserve"> 11)</w:t>
            </w:r>
            <w:r w:rsidRPr="000163B9">
              <w:rPr>
                <w:rFonts w:ascii="Arial" w:hAnsi="Arial" w:cs="Arial"/>
                <w:sz w:val="24"/>
                <w:szCs w:val="24"/>
                <w:lang w:val="en-US"/>
              </w:rPr>
              <w:fldChar w:fldCharType="end"/>
            </w:r>
          </w:p>
        </w:tc>
        <w:tc>
          <w:tcPr>
            <w:tcW w:w="5244" w:type="dxa"/>
            <w:noWrap/>
            <w:vAlign w:val="center"/>
            <w:hideMark/>
          </w:tcPr>
          <w:p w14:paraId="7A92CE46" w14:textId="28713D7D" w:rsidR="00AC601D" w:rsidRPr="0044392A" w:rsidRDefault="00AC601D" w:rsidP="00AC601D">
            <w:pPr>
              <w:suppressLineNumbers/>
              <w:spacing w:line="360" w:lineRule="auto"/>
              <w:ind w:left="1110" w:hanging="1110"/>
              <w:jc w:val="center"/>
              <w:rPr>
                <w:rFonts w:ascii="Arial" w:hAnsi="Arial" w:cs="Arial"/>
                <w:sz w:val="24"/>
                <w:szCs w:val="24"/>
                <w:lang w:val="en-US"/>
              </w:rPr>
            </w:pPr>
            <w:r>
              <w:rPr>
                <w:rFonts w:ascii="Arial" w:hAnsi="Arial" w:cs="Arial"/>
                <w:sz w:val="24"/>
                <w:szCs w:val="24"/>
                <w:lang w:val="en-US"/>
              </w:rPr>
              <w:t xml:space="preserve">Decreasing in gut disorders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{"citationItems":[{"id":"ITEM-1","itemData":{"DOI":"10.1038/ismej.2016.176","ISSN":"17517370","abstract":"There is an increasing interest in Faecalibacterium prausnitzii, one of the most abundant bacterial species found in the gut, given its potentially important role in promoting gut health. Although some studies have phenotypically characterized strains of this species, it remains a challenge to determine which factors have a key role in maintaining the abundance of this bacterium in the gut. Besides, phylogenetic analysis has shown that at least two different F. prausnitzii phylogroups can be found within this species and their distribution is different between healthy subjects and patients with gut disorders. It also remains unknown whether or not there are other phylogroups within this species, and also if other Faecalibacterium species exist. Finally, many studies have shown that F. prausnitzii abundance is reduced in different intestinal disorders. It has been proposed that F. prausnitzii monitoring may therefore serve as biomarker to assist in gut diseases diagnostics. In this mini-review, we aim to serve as an overview of F. prausnitzii phylogeny, ecophysiology and diversity. In addition, strategies to modulate the abundance of F. prausnitzii in the gut as well as its application as a biomarker for diagnostics and prognostics of gut diseases are discussed. This species may be a useful potential biomarker to assist in ulcerative colitis and Crohn's disease discrimination.","author":[{"dropping-particle":"","family":"Lopez-Siles","given":"Mireia","non-dropping-particle":"","parse-names":false,"suffix":""},{"dropping-particle":"","family":"Duncan","given":"Sylvia H.","non-dropping-particle":"","parse-names":false,"suffix":""},{"dropping-particle":"","family":"Garcia-Gil","given":"L. Jesús","non-dropping-particle":"","parse-names":false,"suffix":""},{"dropping-particle":"","family":"Martinez-Medina","given":"Margarita","non-dropping-particle":"","parse-names":false,"suffix":""}],"container-title":"ISME Journal","id":"ITEM-1","issue":"4","issued":{"date-parts":[["2017","4","1"]]},"page":"841-852","publisher":"Nature Publishing Group","title":"Faecalibacterium prausnitzii: From microbiology to diagnostics and prognostics","type":"article-journal","volume":"11"},"uris":["http://www.mendeley.com/documents/?uuid=09f7bd8c-91c9-3f93-915a-f2493ab1fc3e"]}],"mendeley":{"formattedCitation":"(12)","plainTextFormattedCitation":"(12)","previouslyFormattedCitation":"(12)"},"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(12)</w:t>
            </w:r>
            <w:r>
              <w:rPr>
                <w:rFonts w:ascii="Arial" w:hAnsi="Arial" w:cs="Arial"/>
                <w:sz w:val="24"/>
                <w:szCs w:val="24"/>
                <w:lang w:val="en-US"/>
              </w:rPr>
              <w:fldChar w:fldCharType="end"/>
            </w:r>
          </w:p>
        </w:tc>
      </w:tr>
      <w:tr w:rsidR="00AD4776" w:rsidRPr="00AD4776" w14:paraId="20F7F4AE" w14:textId="77777777" w:rsidTr="00B7650E">
        <w:trPr>
          <w:trHeight w:val="300"/>
          <w:jc w:val="center"/>
        </w:trPr>
        <w:tc>
          <w:tcPr>
            <w:tcW w:w="2078" w:type="dxa"/>
            <w:noWrap/>
            <w:vAlign w:val="center"/>
            <w:hideMark/>
          </w:tcPr>
          <w:p w14:paraId="486945F4" w14:textId="77777777" w:rsidR="00AD4776" w:rsidRPr="0044392A"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hideMark/>
          </w:tcPr>
          <w:p w14:paraId="09AD7D35" w14:textId="27786C3C"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Actinobacillus</w:t>
            </w:r>
            <w:proofErr w:type="spellEnd"/>
          </w:p>
        </w:tc>
        <w:tc>
          <w:tcPr>
            <w:tcW w:w="4050" w:type="dxa"/>
            <w:noWrap/>
            <w:vAlign w:val="center"/>
            <w:hideMark/>
          </w:tcPr>
          <w:p w14:paraId="5FA90C61" w14:textId="57095438" w:rsidR="00AD4776" w:rsidRPr="000163B9" w:rsidRDefault="00AD4776" w:rsidP="00AD4776">
            <w:pPr>
              <w:suppressLineNumbers/>
              <w:spacing w:line="360" w:lineRule="auto"/>
              <w:jc w:val="center"/>
              <w:rPr>
                <w:rFonts w:ascii="Arial" w:hAnsi="Arial" w:cs="Arial"/>
                <w:sz w:val="24"/>
                <w:szCs w:val="24"/>
                <w:lang w:val="en-US"/>
              </w:rPr>
            </w:pPr>
            <w:r w:rsidRPr="000163B9">
              <w:rPr>
                <w:rFonts w:ascii="Arial" w:hAnsi="Arial" w:cs="Arial"/>
                <w:sz w:val="24"/>
                <w:szCs w:val="24"/>
                <w:lang w:val="en-US"/>
              </w:rPr>
              <w:t xml:space="preserve">Succinic acid producer </w:t>
            </w:r>
            <w:r w:rsidRPr="000163B9">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{"citationItems":[{"id":"ITEM-1","itemData":{"DOI":"10.1186/s13068-015-0363-3","ISSN":"17546834","abstract":"Background: Bio-manufacturing of high-value chemicals in parallel to renewable biofuels has the potential to dramatically improve the overall economic landscape of integrated lignocellulosic biorefineries. However, this will require the generation of carbohydrate streams from lignocellulose in a form suitable for efficient microbial conversion and downstream processing appropriate to the desired end use, making overall process development, along with selection of appropriate target molecules, crucial to the integrated biorefinery. Succinic acid (SA), a high-value target molecule, can be biologically produced from sugars and has the potential to serve as a platform chemical for various chemical and polymer applications. However, the feasibility of microbial SA production at industrially relevant productivities and yields from lignocellulosic biorefinery streams has not yet been reported. Results: Actinobacillus succinogenes 130Z was immobilised in a custom continuous fermentation setup to produce SA on the xylose-enriched fraction of a non-detoxified, xylose-rich corn stover hydrolysate stream produced from deacetylation and dilute acid pretreatment. Effective biofilm attachment, which serves as a natural cell retention strategy to increase cell densities, productivities and resistance to toxicity, was accomplished by means of a novel agitator fitting. A maximum SA titre, yield and productivity of 39.6 g L-1, 0.78 g g-1 and 1.77 g L-1 h-1 were achieved, respectively. Steady states were obtained at dilution rates of 0.02, 0.03, 0.04, and 0.05 h-1 and the stirred biofilm reactor was stable over prolonged periods of operation with a combined fermentation time of 1550 h. Furthermore, it was found that a gradual increase in the dilution rate was required to facilitate adaptation of the culture to the hydrolysate, suggesting a strong evolutionary response to the toxic compounds in the hydrolysate. Moreover, the two primary suspected fermentation inhibitors, furfural and HMF, were metabolised during fermentation with the concentration of each remaining at zero across all steady states. Conclusions: The results demonstrate that immobilised A. succinogenes has the potential for effective conversion of an industrially relevant, biomass-derived feed stream to succinic acid. Furthermore, due to the attractive yields, productivities and titres achieved in this study, the process has the potential to serve as a means for value-added chemical manufacturing in the integ…","author":[{"dropping-particle":"","family":"Bradfield","given":"Michael F.A.","non-dropping-particle":"","parse-names":false,"suffix":""},{"dropping-particle":"","family":"Mohagheghi","given":"Ali","non-dropping-particle":"","parse-names":false,"suffix":""},{"dropping-particle":"","family":"Salvachúa","given":"Davinia","non-dropping-particle":"","parse-names":false,"suffix":""},{"dropping-particle":"","family":"Smith","given":"Holly","non-dropping-particle":"","parse-names":false,"suffix":""},{"dropping-particle":"","family":"Black","given":"Brenna A.","non-dropping-particle":"","parse-names":false,"suffix":""},{"dropping-particle":"","family":"Dowe","given":"Nancy","non-dropping-particle":"","parse-names":false,"suffix":""},{"dropping-particle":"","family":"Beckham","given":"Gregg T.","non-dropping-particle":"","parse-names":false,"suffix":""},{"dropping-particle":"","family":"Nicol","given":"Willie","non-dropping-particle":"","parse-names":false,"suffix":""}],"container-title":"Biotechnology for Biofuels","id":"ITEM-1","issue":"1","issued":{"date-parts":[["2015","11","14"]]},"page":"181","publisher":"BioMed Central Ltd.","title":"Continuous succinic acid production by Actinobacillus succinogenes on xylose-enriched hydrolysate","type":"article-journal","volume":"8"},"uris":["http://www.mendeley.com/documents/?uuid=ddbe4071-a5f4-3bb2-baca-e5449957af1e"]}],"mendeley":{"formattedCitation":"(13)","plainTextFormattedCitation":"(13)","previouslyFormattedCitation":"(13)"},"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(13)</w:t>
            </w:r>
            <w:r w:rsidRPr="000163B9">
              <w:rPr>
                <w:rFonts w:ascii="Arial" w:hAnsi="Arial" w:cs="Arial"/>
                <w:sz w:val="24"/>
                <w:szCs w:val="24"/>
                <w:lang w:val="en-US"/>
              </w:rPr>
              <w:fldChar w:fldCharType="end"/>
            </w:r>
          </w:p>
        </w:tc>
        <w:tc>
          <w:tcPr>
            <w:tcW w:w="5244" w:type="dxa"/>
            <w:noWrap/>
            <w:vAlign w:val="center"/>
            <w:hideMark/>
          </w:tcPr>
          <w:p w14:paraId="734CD2EE" w14:textId="07B24BB9" w:rsidR="00AD4776" w:rsidRPr="0044392A" w:rsidRDefault="00AD4776" w:rsidP="00AD4776">
            <w:pPr>
              <w:suppressLineNumbers/>
              <w:spacing w:line="360" w:lineRule="auto"/>
              <w:ind w:left="1110" w:hanging="1110"/>
              <w:jc w:val="center"/>
              <w:rPr>
                <w:rFonts w:ascii="Arial" w:hAnsi="Arial" w:cs="Arial"/>
                <w:sz w:val="24"/>
                <w:szCs w:val="24"/>
                <w:lang w:val="en-US"/>
              </w:rPr>
            </w:pPr>
            <w:r w:rsidRPr="0044392A">
              <w:rPr>
                <w:rFonts w:ascii="Arial" w:hAnsi="Arial" w:cs="Arial"/>
                <w:sz w:val="24"/>
                <w:szCs w:val="24"/>
                <w:lang w:val="en-US"/>
              </w:rPr>
              <w:t>Pathogenic</w:t>
            </w:r>
            <w:r>
              <w:rPr>
                <w:rFonts w:ascii="Arial" w:hAnsi="Arial" w:cs="Arial"/>
                <w:sz w:val="24"/>
                <w:szCs w:val="24"/>
                <w:lang w:val="en-US"/>
              </w:rPr>
              <w:t xml:space="preserve"> members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{"citationItems":[{"id":"ITEM-1","itemData":{"DOI":"10.1186/s12917-019-1918-5","ISSN":"17466148","abstract":"Background: The gut microbiota impacts on a range of host biological processes, and the imbalances in its composition are associated with pathology. Though the understanding of contribution of the many factors, e.g. gender, diet and age, in the development of gut microbiota has been well established, the dynamic changes of the phylogenetic composition and the interaction networks along with the age remain unclear in pigs. Results: Here we applied 16S ribosomal RNA gene sequencing, enterotype-like clustering (Classification of the gut microbiome into distinct types) and phylogenetic co-occurrence network to explore the dynamic changes of pig gut microbiome following the ages with a successive investigation at four ages in a cohort of 953 pigs. We found that Firmicutes and Bacteroidetes are two predominant phyla throughout the experimental period. The richness of gut microbiota was significantly increased from 25 to 240 days of age. Principal coordinates analysis showed a clear difference in the gut microbial community compositions between pre-weaning piglets and the pigs at the other three age groups. The gut microbiota of pre-weaning piglets was clearly classified into two enterotypes, which were dominated by Fusobacterium and p-75-a5, respectively. However, Prevotella and Treponema were the main drivers of the enterotypes for pigs at the age of 80, 120 and 240 days. Besides the piglets, even some adult pigs switched putative enterotypes between ages. We confirmed that the topological features of phylogenetic co-occurrence networks, including scale, stability and complexity were increased along with the age. The biological significance for modules in the network of piglets were mainly associated with the utilization of simple carbohydrate and lactose, whereas the sub-networks identified at the ages of 80, 120 and 240 days may be involved in the digestion of complex dietary polysaccharide. The modules related to the metabolism of protein and amino acids could be identified in the networks at 120 and 240 days. This dynamic change of the functional capacities of gut microbiome was further supported by functional prediction analysis. Conclusions: The present study provided meaningful biological insights into the age-based dynamic shifts of ecological community of porcine gut microbiota.","author":[{"dropping-particle":"","family":"Ke","given":"Shanlin","non-dropping-particle":"","parse-names":false,"suffix":""},{"dropping-particle":"","family":"Fang","given":"Shaoming","non-dropping-particle":"","parse-names":false,"suffix":""},{"dropping-particle":"","family":"He","given":"Maozhang","non-dropping-particle":"","parse-names":false,"suffix":""},{"dropping-particle":"","family":"Huang","given":"Xiaochang","non-dropping-particle":"","parse-names":false,"suffix":""},{"dropping-particle":"","family":"Yang","given":"Hui","non-dropping-particle":"","parse-names":false,"suffix":""},{"dropping-particle":"","family":"Yang","given":"Bin","non-dropping-particle":"","parse-names":false,"suffix":""},{"dropping-particle":"","family":"Chen","given":"Congying","non-dropping-particle":"","parse-names":false,"suffix":""},{"dropping-particle":"","family":"Huang","given":"Lusheng","non-dropping-particle":"","parse-names":false,"suffix":""}],"container-title":"BMC Veterinary Research","id":"ITEM-1","issue":"1","issued":{"date-parts":[["2019","5","24"]]},"page":"172","publisher":"BioMed Central Ltd.","title":"Age-based dynamic changes of phylogenetic composition and interaction networks of health pig gut microbiome feeding in a uniformed condition","type":"article-journal","volume":"15"},"uris":["http://www.mendeley.com/documents/?uuid=3c1769e7-a573-332f-9de9-751c37d9129c"]}],"mendeley":{"formattedCitation":"(14)","plainTextFormattedCitation":"(14)","previouslyFormattedCitation":"(14)"},"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(14)</w:t>
            </w:r>
            <w:r>
              <w:rPr>
                <w:rFonts w:ascii="Arial" w:hAnsi="Arial" w:cs="Arial"/>
                <w:sz w:val="24"/>
                <w:szCs w:val="24"/>
                <w:lang w:val="en-US"/>
              </w:rPr>
              <w:fldChar w:fldCharType="end"/>
            </w:r>
          </w:p>
        </w:tc>
      </w:tr>
      <w:tr w:rsidR="00AD4776" w:rsidRPr="00FA660F" w14:paraId="312DFF7B" w14:textId="77777777" w:rsidTr="00B7650E">
        <w:trPr>
          <w:trHeight w:val="300"/>
          <w:jc w:val="center"/>
        </w:trPr>
        <w:tc>
          <w:tcPr>
            <w:tcW w:w="2078" w:type="dxa"/>
            <w:noWrap/>
            <w:vAlign w:val="center"/>
          </w:tcPr>
          <w:p w14:paraId="3B5C56F6" w14:textId="7513170F" w:rsidR="00AD4776" w:rsidRPr="0044392A" w:rsidRDefault="00AD4776" w:rsidP="00AD4776">
            <w:pPr>
              <w:suppressLineNumbers/>
              <w:spacing w:line="360" w:lineRule="auto"/>
              <w:ind w:left="888" w:hanging="851"/>
              <w:jc w:val="center"/>
              <w:rPr>
                <w:rFonts w:ascii="Arial" w:hAnsi="Arial" w:cs="Arial"/>
                <w:sz w:val="24"/>
                <w:szCs w:val="24"/>
                <w:lang w:val="en-US"/>
              </w:rPr>
            </w:pPr>
            <w:r>
              <w:rPr>
                <w:rFonts w:ascii="Arial" w:hAnsi="Arial" w:cs="Arial"/>
                <w:sz w:val="24"/>
                <w:szCs w:val="24"/>
                <w:lang w:val="en-US"/>
              </w:rPr>
              <w:t>TBCC</w:t>
            </w:r>
          </w:p>
        </w:tc>
        <w:tc>
          <w:tcPr>
            <w:tcW w:w="2803" w:type="dxa"/>
            <w:noWrap/>
            <w:vAlign w:val="center"/>
          </w:tcPr>
          <w:p w14:paraId="6080FBCC" w14:textId="68D8E38D"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Alloprevotella</w:t>
            </w:r>
            <w:proofErr w:type="spellEnd"/>
          </w:p>
        </w:tc>
        <w:tc>
          <w:tcPr>
            <w:tcW w:w="4050" w:type="dxa"/>
            <w:noWrap/>
            <w:vAlign w:val="center"/>
          </w:tcPr>
          <w:p w14:paraId="4F48B88B" w14:textId="05FAE633" w:rsidR="00AD4776" w:rsidRPr="000163B9" w:rsidRDefault="00AD4776" w:rsidP="00AD4776">
            <w:pPr>
              <w:suppressLineNumbers/>
              <w:spacing w:line="360" w:lineRule="auto"/>
              <w:jc w:val="center"/>
              <w:rPr>
                <w:rFonts w:ascii="Arial" w:hAnsi="Arial" w:cs="Arial"/>
                <w:sz w:val="24"/>
                <w:szCs w:val="24"/>
                <w:lang w:val="en-US"/>
              </w:rPr>
            </w:pPr>
            <w:r w:rsidRPr="000163B9">
              <w:rPr>
                <w:rFonts w:ascii="Arial" w:hAnsi="Arial" w:cs="Arial"/>
                <w:sz w:val="24"/>
                <w:szCs w:val="24"/>
                <w:lang w:val="en-US"/>
              </w:rPr>
              <w:t xml:space="preserve">Acetic and succinic acid producer </w:t>
            </w:r>
            <w:r w:rsidRPr="000163B9">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{"citationItems":[{"id":"ITEM-1","itemData":{"DOI":"10.1099/ijs.0.041376-0","ISSN":"14665026","abstract":"Five strains of anaerobic, Gram-negative bacilli isolated from the human oral cavity were subjected to a comprehensive range of phenotypic and genotypic tests and were found to comprise a homogeneous group. Phylogenetic analysis of full-length 16S rRNA gene sequences showed that these strains represented a novel group within the family Prevotellaceae, and the most closely related species was Prevotella tannerae. P. tannerae and the novel taxon are deeply branched from the genus Prevotella, with sequence identities to the type strain of the type species of Prevotella, Prevotella melaninogenica, of 82.2 and 85.6 %, respectively. The novel genus Alloprevotella gen. nov. is proposed to accommodate the novel species Alloprevotella rava gen. nov., sp. nov. and the previously named Prevotella tannerae Moore et al. 1994 as Alloprevotella tannerae gen. nov., comb. nov. The type species is Alloprevotella tannerae. The type strain of Alloprevotella rava is 81/4-12T (=DSM 22548T =CCUG 58091T) and the type strain of Alloprevotella tannerae is ATCC 51259T =CCUG 34292T =CIP 104476T =NCTC 13073T. Alloprevotella rava is weakly to moderately saccharolytic and produces moderate amounts of acetic acid and major amounts of succinic acid as end products of fermentation. Strains are sensitive to 20% bile and hydrolyse gelatin. The principal cellular long-chain fatty acids are anteiso-C15:0, iso-C15:0, C16:0, iso-C17:0 and iso-C17:0 3-OH. The G+C content of the DNA of the type strain is 47 mol%. © 2013 IUMS Printed in Great Britain.","author":[{"dropping-particle":"","family":"Downes","given":"Julia","non-dropping-particle":"","parse-names":false,"suffix":""},{"dropping-particle":"","family":"Dewhirst","given":"Floyd E.","non-dropping-particle":"","parse-names":false,"suffix":""},{"dropping-particle":"","family":"Tanner","given":"Anne C.R.","non-dropping-particle":"","parse-names":false,"suffix":""},{"dropping-particle":"","family":"Wade","given":"William G.","non-dropping-particle":"","parse-names":false,"suffix":""}],"container-title":"International Journal of Systematic and Evolutionary Microbiology","id":"ITEM-1","issue":"PART4","issued":{"date-parts":[["2013","4","1"]]},"page":"1214-1218","publisher":"Microbiology Society","title":"Description of Alloprevotella rava gen. nov., sp. nov., isolated from the human oral cavity, and reclassification of Prevotella tannerae Moore et al. 1994 as Alloprevotella tannerae gen. nov., comb. nov","type":"article-journal","volume":"63"},"uris":["http://www.mendeley.com/documents/?uuid=5a630374-c28a-30ba-b964-2433f48877be"]}],"mendeley":{"formattedCitation":"(15)","plainTextFormattedCitation":"(15)","previouslyFormattedCitation":"(15)"},"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(15)</w:t>
            </w:r>
            <w:r w:rsidRPr="000163B9">
              <w:rPr>
                <w:rFonts w:ascii="Arial" w:hAnsi="Arial" w:cs="Arial"/>
                <w:sz w:val="24"/>
                <w:szCs w:val="24"/>
                <w:lang w:val="en-US"/>
              </w:rPr>
              <w:fldChar w:fldCharType="end"/>
            </w:r>
          </w:p>
        </w:tc>
        <w:tc>
          <w:tcPr>
            <w:tcW w:w="5244" w:type="dxa"/>
            <w:noWrap/>
            <w:vAlign w:val="center"/>
          </w:tcPr>
          <w:p w14:paraId="33DC9ADE" w14:textId="77777777" w:rsidR="00AD4776" w:rsidRDefault="00AD4776" w:rsidP="00AD4776">
            <w:pPr>
              <w:suppressLineNumbers/>
              <w:spacing w:line="360" w:lineRule="auto"/>
              <w:ind w:left="1110" w:hanging="1110"/>
              <w:jc w:val="center"/>
              <w:rPr>
                <w:rFonts w:ascii="Arial" w:hAnsi="Arial" w:cs="Arial"/>
                <w:sz w:val="24"/>
                <w:szCs w:val="24"/>
                <w:lang w:val="en-US"/>
              </w:rPr>
            </w:pPr>
          </w:p>
        </w:tc>
      </w:tr>
      <w:tr w:rsidR="00AD4776" w:rsidRPr="00AC601D" w14:paraId="6AEB1817" w14:textId="77777777" w:rsidTr="00B7650E">
        <w:trPr>
          <w:trHeight w:val="300"/>
          <w:jc w:val="center"/>
        </w:trPr>
        <w:tc>
          <w:tcPr>
            <w:tcW w:w="2078" w:type="dxa"/>
            <w:noWrap/>
            <w:vAlign w:val="center"/>
          </w:tcPr>
          <w:p w14:paraId="5E4BF697" w14:textId="77777777" w:rsidR="00AD4776"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233FD912" w14:textId="3023727C"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roofErr w:type="spellStart"/>
            <w:r>
              <w:rPr>
                <w:rFonts w:ascii="Arial" w:hAnsi="Arial" w:cs="Arial"/>
                <w:i/>
                <w:iCs/>
                <w:sz w:val="24"/>
                <w:szCs w:val="24"/>
                <w:lang w:val="en-US"/>
              </w:rPr>
              <w:t>Clostridium_XIVa</w:t>
            </w:r>
            <w:proofErr w:type="spellEnd"/>
          </w:p>
        </w:tc>
        <w:tc>
          <w:tcPr>
            <w:tcW w:w="4050" w:type="dxa"/>
            <w:noWrap/>
            <w:vAlign w:val="center"/>
          </w:tcPr>
          <w:p w14:paraId="637755B0" w14:textId="377E693B" w:rsidR="00AD4776" w:rsidRPr="000163B9" w:rsidRDefault="008B129A" w:rsidP="00AD4776">
            <w:pPr>
              <w:suppressLineNumbers/>
              <w:spacing w:line="360" w:lineRule="auto"/>
              <w:jc w:val="center"/>
              <w:rPr>
                <w:rFonts w:ascii="Arial" w:hAnsi="Arial" w:cs="Arial"/>
                <w:sz w:val="24"/>
                <w:szCs w:val="24"/>
                <w:lang w:val="en-US"/>
              </w:rPr>
            </w:pPr>
            <w:r>
              <w:rPr>
                <w:rFonts w:ascii="Arial" w:hAnsi="Arial" w:cs="Arial"/>
                <w:sz w:val="24"/>
                <w:szCs w:val="24"/>
                <w:lang w:val="en-US"/>
              </w:rPr>
              <w:t xml:space="preserve">Butyrate producer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{"citationItems":[{"id":"ITEM-1","itemData":{"DOI":"10.3389/fmicb.2016.00185","ISSN":"1664302X","abstract":"The colon is inhabited by a dense population of microorganisms, the so-called \"gut microbiota,\" able to ferment carbohydrates and proteins that escape absorption in the small intestine during digestion. This microbiota produces a wide range of metabolites, including short chain fatty acids (SCFA). These compounds are absorbed in the large bowel and are defined as 1-6 carbon volatile fatty acids which can present straight or branched-chain conformation. Their production is influenced by the pattern of food intake and diet-mediated changes in the gut microbiota. SCFA have distinct physiological effects: They contribute to shaping the gut environment, influence the physiology of the colon, they can be used as energy sources by host cells and the intestinal microbiota and they also participate in different host-signaling mechanisms. We summarize the current knowledge about the production of SCFA, including bacterial cross-feedings interactions, and the biological properties of these metabolites with impact on the human health.","author":[{"dropping-particle":"","family":"Ríos-Covián","given":"David","non-dropping-particle":"","parse-names":false,"suffix":""},{"dropping-particle":"","family":"Ruas-Madiedo","given":"Patricia","non-dropping-particle":"","parse-names":false,"suffix":""},{"dropping-particle":"","family":"Margolles","given":"Abelardo","non-dropping-particle":"","parse-names":false,"suffix":""},{"dropping-particle":"","family":"Gueimonde","given":"Miguel","non-dropping-particle":"","parse-names":false,"suffix":""},{"dropping-particle":"","family":"los Reyes-Gavilán","given":"Clara G.","non-dropping-particle":"De","parse-names":false,"suffix":""},{"dropping-particle":"","family":"Salazar","given":"Nuria","non-dropping-particle":"","parse-names":false,"suffix":""}],"container-title":"Frontiers in Microbiology","id":"ITEM-1","issue":"FEB","issued":{"date-parts":[["2016","2","17"]]},"page":"185","publisher":"Frontiers Media S.A.","title":"Intestinal short chain fatty acids and their link with diet and human health","type":"article-journal","volume":"7"},"uris":["http://www.mendeley.com/documents/?uuid=23825f29-3e46-35aa-aa4a-3a2f3858f201"]}],"mendeley":{"formattedCitation":"(16)","plainTextFormattedCitation":"(16)","previouslyFormattedCitation":"(16)"},"properties":{"noteIndex":0},"schema":"https://github.com/citation-style-language/schema/raw/master/csl-citation.json"}</w:instrText>
            </w:r>
            <w:r>
              <w:rPr>
                <w:rFonts w:ascii="Arial" w:hAnsi="Arial" w:cs="Arial"/>
                <w:sz w:val="24"/>
                <w:szCs w:val="24"/>
                <w:lang w:val="en-US"/>
              </w:rPr>
              <w:fldChar w:fldCharType="separate"/>
            </w:r>
            <w:r w:rsidRPr="008B129A">
              <w:rPr>
                <w:rFonts w:ascii="Arial" w:hAnsi="Arial" w:cs="Arial"/>
                <w:noProof/>
                <w:sz w:val="24"/>
                <w:szCs w:val="24"/>
                <w:lang w:val="en-US"/>
              </w:rPr>
              <w:t>(16)</w:t>
            </w:r>
            <w:r>
              <w:rPr>
                <w:rFonts w:ascii="Arial" w:hAnsi="Arial" w:cs="Arial"/>
                <w:sz w:val="24"/>
                <w:szCs w:val="24"/>
                <w:lang w:val="en-US"/>
              </w:rPr>
              <w:fldChar w:fldCharType="end"/>
            </w:r>
          </w:p>
        </w:tc>
        <w:tc>
          <w:tcPr>
            <w:tcW w:w="5244" w:type="dxa"/>
            <w:noWrap/>
            <w:vAlign w:val="center"/>
          </w:tcPr>
          <w:p w14:paraId="741F2C15" w14:textId="10061D9A" w:rsidR="00AD4776" w:rsidRDefault="00AD4776" w:rsidP="00AD4776">
            <w:pPr>
              <w:suppressLineNumbers/>
              <w:spacing w:line="360" w:lineRule="auto"/>
              <w:ind w:left="1110" w:hanging="1110"/>
              <w:jc w:val="center"/>
              <w:rPr>
                <w:rFonts w:ascii="Arial" w:hAnsi="Arial" w:cs="Arial"/>
                <w:sz w:val="24"/>
                <w:szCs w:val="24"/>
                <w:lang w:val="en-US"/>
              </w:rPr>
            </w:pPr>
          </w:p>
        </w:tc>
      </w:tr>
      <w:tr w:rsidR="00AD4776" w:rsidRPr="00AC601D" w14:paraId="7B66F1D3" w14:textId="77777777" w:rsidTr="00AD4776">
        <w:trPr>
          <w:trHeight w:val="243"/>
          <w:jc w:val="center"/>
        </w:trPr>
        <w:tc>
          <w:tcPr>
            <w:tcW w:w="2078" w:type="dxa"/>
            <w:noWrap/>
            <w:vAlign w:val="center"/>
          </w:tcPr>
          <w:p w14:paraId="7276EB23" w14:textId="77777777" w:rsidR="00AD4776"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572791A1" w14:textId="65668297" w:rsidR="00AD4776" w:rsidRDefault="00AD4776" w:rsidP="00AD4776">
            <w:pPr>
              <w:suppressLineNumbers/>
              <w:spacing w:line="360" w:lineRule="auto"/>
              <w:ind w:left="1110" w:right="-61" w:hanging="1110"/>
              <w:jc w:val="center"/>
              <w:rPr>
                <w:rFonts w:ascii="Arial" w:hAnsi="Arial" w:cs="Arial"/>
                <w:i/>
                <w:iCs/>
                <w:sz w:val="24"/>
                <w:szCs w:val="24"/>
                <w:lang w:val="en-US"/>
              </w:rPr>
            </w:pPr>
            <w:r>
              <w:rPr>
                <w:rFonts w:ascii="Arial" w:hAnsi="Arial" w:cs="Arial"/>
                <w:i/>
                <w:iCs/>
                <w:sz w:val="24"/>
                <w:szCs w:val="24"/>
                <w:lang w:val="en-US"/>
              </w:rPr>
              <w:t>Campylobacter</w:t>
            </w:r>
          </w:p>
        </w:tc>
        <w:tc>
          <w:tcPr>
            <w:tcW w:w="4050" w:type="dxa"/>
            <w:noWrap/>
            <w:vAlign w:val="center"/>
          </w:tcPr>
          <w:p w14:paraId="240AA754" w14:textId="77777777" w:rsidR="00AD4776" w:rsidRPr="000163B9" w:rsidRDefault="00AD4776" w:rsidP="00AD4776">
            <w:pPr>
              <w:suppressLineNumbers/>
              <w:spacing w:line="360" w:lineRule="auto"/>
              <w:jc w:val="center"/>
              <w:rPr>
                <w:rFonts w:ascii="Arial" w:hAnsi="Arial" w:cs="Arial"/>
                <w:sz w:val="24"/>
                <w:szCs w:val="24"/>
                <w:lang w:val="en-US"/>
              </w:rPr>
            </w:pPr>
          </w:p>
        </w:tc>
        <w:tc>
          <w:tcPr>
            <w:tcW w:w="5244" w:type="dxa"/>
            <w:noWrap/>
            <w:vAlign w:val="center"/>
          </w:tcPr>
          <w:p w14:paraId="47C21330" w14:textId="368C474F" w:rsidR="00AD4776" w:rsidRDefault="008B129A" w:rsidP="00AD4776">
            <w:pPr>
              <w:suppressLineNumbers/>
              <w:spacing w:line="360" w:lineRule="auto"/>
              <w:ind w:left="1110" w:hanging="1110"/>
              <w:jc w:val="center"/>
              <w:rPr>
                <w:rFonts w:ascii="Arial" w:hAnsi="Arial" w:cs="Arial"/>
                <w:sz w:val="24"/>
                <w:szCs w:val="24"/>
                <w:lang w:val="en-US"/>
              </w:rPr>
            </w:pPr>
            <w:r>
              <w:rPr>
                <w:rFonts w:ascii="Arial" w:hAnsi="Arial" w:cs="Arial"/>
                <w:sz w:val="24"/>
                <w:szCs w:val="24"/>
                <w:lang w:val="en-US"/>
              </w:rPr>
              <w:t xml:space="preserve">Pathogenic species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{"citationItems":[{"id":"ITEM-1","itemData":{"DOI":"10.3390/ijerph10126292","ISSN":"1660-4601","abstract":"Campylobacter species are a leading cause of bacterial-derived foodborne illnesses worldwide. The emergence of this bacterial group as a significant causative agent of human disease and their propensity to carry antibiotic resistance elements that allows them to resist antibacterial therapy make them a serious public health threat. Campylobacter jejuni and Campylobacter coli are considered to be the most important enteropathogens of this genus and their ability to colonize and survive in a wide variety of animal species and habitats make them extremely difficult to control. This article reviews the historical and emerging importance of this bacterial group and addresses aspects of the human infections they cause, their metabolism and pathogenesis, and their natural reservoirs in order to address the need for appropriate food safety regulations and interventions. © 2013 by the authors; licensee MDPI, Basel, Switzerland.","author":[{"dropping-particle":"","family":"Epps","given":"Sharon","non-dropping-particle":"","parse-names":false,"suffix":""},{"dropping-particle":"","family":"Harvey","given":"Roger","non-dropping-particle":"","parse-names":false,"suffix":""},{"dropping-particle":"","family":"Hume","given":"Michael","non-dropping-particle":"","parse-names":false,"suffix":""},{"dropping-particle":"","family":"Phillips","given":"Timothy","non-dropping-particle":"","parse-names":false,"suffix":""},{"dropping-particle":"","family":"Anderson","given":"Robin","non-dropping-particle":"","parse-names":false,"suffix":""},{"dropping-particle":"","family":"Nisbet","given":"David","non-dropping-particle":"","parse-names":false,"suffix":""}],"container-title":"International Journal of Environmental Research and Public Health","id":"ITEM-1","issue":"12","issued":{"date-parts":[["2013","11","26"]]},"page":"6292-6304","publisher":"Multidisciplinary Digital Publishing Institute","title":"Foodborne Campylobacter: Infections, Metabolism, Pathogenesis and Reservoirs","type":"article-journal","volume":"10"},"uris":["http://www.mendeley.com/documents/?uuid=c42e5e11-3ff9-3ed9-922c-e39e8099bd22"]}],"mendeley":{"formattedCitation":"(17)","plainTextFormattedCitation":"(17)","previouslyFormattedCitation":"(17)"},"properties":{"noteIndex":0},"schema":"https://github.com/citation-style-language/schema/raw/master/csl-citation.json"}</w:instrText>
            </w:r>
            <w:r>
              <w:rPr>
                <w:rFonts w:ascii="Arial" w:hAnsi="Arial" w:cs="Arial"/>
                <w:sz w:val="24"/>
                <w:szCs w:val="24"/>
                <w:lang w:val="en-US"/>
              </w:rPr>
              <w:fldChar w:fldCharType="separate"/>
            </w:r>
            <w:r w:rsidRPr="008B129A">
              <w:rPr>
                <w:rFonts w:ascii="Arial" w:hAnsi="Arial" w:cs="Arial"/>
                <w:noProof/>
                <w:sz w:val="24"/>
                <w:szCs w:val="24"/>
                <w:lang w:val="en-US"/>
              </w:rPr>
              <w:t>(17)</w:t>
            </w:r>
            <w:r>
              <w:rPr>
                <w:rFonts w:ascii="Arial" w:hAnsi="Arial" w:cs="Arial"/>
                <w:sz w:val="24"/>
                <w:szCs w:val="24"/>
                <w:lang w:val="en-US"/>
              </w:rPr>
              <w:fldChar w:fldCharType="end"/>
            </w:r>
          </w:p>
        </w:tc>
      </w:tr>
      <w:tr w:rsidR="00AD4776" w:rsidRPr="00FA660F" w14:paraId="4ECB1AAD" w14:textId="77777777" w:rsidTr="00AD4776">
        <w:trPr>
          <w:trHeight w:val="243"/>
          <w:jc w:val="center"/>
        </w:trPr>
        <w:tc>
          <w:tcPr>
            <w:tcW w:w="2078" w:type="dxa"/>
            <w:noWrap/>
            <w:vAlign w:val="center"/>
          </w:tcPr>
          <w:p w14:paraId="5BBBBA69" w14:textId="77777777" w:rsidR="00AD4776"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4BEB3C5D" w14:textId="666B8718" w:rsidR="00AD4776" w:rsidRDefault="00AD4776" w:rsidP="00AD4776">
            <w:pPr>
              <w:suppressLineNumbers/>
              <w:spacing w:line="360" w:lineRule="auto"/>
              <w:ind w:left="1110" w:right="-61" w:hanging="1110"/>
              <w:jc w:val="center"/>
              <w:rPr>
                <w:rFonts w:ascii="Arial" w:hAnsi="Arial" w:cs="Arial"/>
                <w:i/>
                <w:iCs/>
                <w:sz w:val="24"/>
                <w:szCs w:val="24"/>
                <w:lang w:val="en-US"/>
              </w:rPr>
            </w:pPr>
            <w:r w:rsidRPr="00B35F96">
              <w:rPr>
                <w:rFonts w:ascii="Arial" w:hAnsi="Arial" w:cs="Arial"/>
                <w:i/>
                <w:iCs/>
                <w:sz w:val="24"/>
                <w:szCs w:val="24"/>
                <w:lang w:val="en-US"/>
              </w:rPr>
              <w:t>Escherichia/Shigella</w:t>
            </w:r>
          </w:p>
        </w:tc>
        <w:tc>
          <w:tcPr>
            <w:tcW w:w="4050" w:type="dxa"/>
            <w:noWrap/>
            <w:vAlign w:val="center"/>
          </w:tcPr>
          <w:p w14:paraId="1A779D0B" w14:textId="51B9601C" w:rsidR="00AD4776" w:rsidRPr="000163B9" w:rsidRDefault="00AD4776" w:rsidP="00AD4776">
            <w:pPr>
              <w:suppressLineNumbers/>
              <w:spacing w:line="360" w:lineRule="auto"/>
              <w:jc w:val="center"/>
              <w:rPr>
                <w:rFonts w:ascii="Arial" w:hAnsi="Arial" w:cs="Arial"/>
                <w:sz w:val="24"/>
                <w:szCs w:val="24"/>
                <w:lang w:val="en-US"/>
              </w:rPr>
            </w:pPr>
            <w:r w:rsidRPr="000163B9">
              <w:rPr>
                <w:rFonts w:ascii="Arial" w:hAnsi="Arial" w:cs="Arial"/>
                <w:i/>
                <w:iCs/>
                <w:sz w:val="24"/>
                <w:szCs w:val="24"/>
                <w:lang w:val="en-US"/>
              </w:rPr>
              <w:t>E</w:t>
            </w:r>
            <w:r w:rsidR="00FF4DA0">
              <w:rPr>
                <w:rFonts w:ascii="Arial" w:hAnsi="Arial" w:cs="Arial"/>
                <w:i/>
                <w:iCs/>
                <w:sz w:val="24"/>
                <w:szCs w:val="24"/>
                <w:lang w:val="en-US"/>
              </w:rPr>
              <w:t>.</w:t>
            </w:r>
            <w:r w:rsidRPr="000163B9">
              <w:rPr>
                <w:rFonts w:ascii="Arial" w:hAnsi="Arial" w:cs="Arial"/>
                <w:i/>
                <w:iCs/>
                <w:sz w:val="24"/>
                <w:szCs w:val="24"/>
                <w:lang w:val="en-US"/>
              </w:rPr>
              <w:t>coli</w:t>
            </w:r>
            <w:r w:rsidRPr="000163B9">
              <w:rPr>
                <w:rFonts w:ascii="Arial" w:hAnsi="Arial" w:cs="Arial"/>
                <w:sz w:val="24"/>
                <w:szCs w:val="24"/>
                <w:lang w:val="en-US"/>
              </w:rPr>
              <w:t xml:space="preserve"> is associated with phenol production </w:t>
            </w:r>
            <w:r w:rsidRPr="000163B9">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{"citationItems":[{"id":"ITEM-1","itemData":{"DOI":"10.1002/biot.201300263","ISSN":"18607314","abstract":"Phenol is an industrially versatile commodity chemical and is currently produced from fossil resources. Phenol's biological production from renewable resources has been limited due to its toxicity to microorganisms. Here, we simultaneously engineered 18 Escherichia coli strains for the production of phenol using synthetic regulatory small RNA (sRNA) technology. sRNA-based knock-down of the two regulators and overexpression of the genes involved in the tyrosine biosynthetic pathway together with tyrosine phenol-lyase (TPL) in E. coli strains resulted in the production of phenol from glucose. The 18 engineered E. coli strains showed significant differences in the production of tyrosine (i.e. the immediate precursor for phenol), TPL activity, and tolerance to phenol. Among the engineered E. coli strains, the BL21 strain produced phenol most efficiently: 419 mg/L by flask culture and 1.69 g/L by fed-batch culture. The final titer and productivity were further improved through biphasic fed-batch fermentation using glycerol tributyrate as an extractant of phenol. The concentration of phenol in the glycerol tributyrate phase and fermentation broth reached 9.84 and 0.3 g/L, respectively, in 21 hours, which translates into the final phenol titer and productivity of 3.79 g/L and 0.18 g/L/h, respectively. This is the highest titer achieved by microbial fermentation. Although further engineering is required to be competitive with the current petro-based process, the strategies used for the development of the engineered strain and fermentation process will provide a valuable framework for the microbial production of toxic chemicals. © 2013 WILEY-VCH Verlag GmbH &amp; Co. KGaA, Weinheim.","author":[{"dropping-particle":"","family":"Kim","given":"Byoungjin","non-dropping-particle":"","parse-names":false,"suffix":""},{"dropping-particle":"","family":"Park","given":"Hyegwon","non-dropping-particle":"","parse-names":false,"suffix":""},{"dropping-particle":"","family":"Na","given":"Dokyun","non-dropping-particle":"","parse-names":false,"suffix":""},{"dropping-particle":"","family":"Lee","given":"Sang Yup","non-dropping-particle":"","parse-names":false,"suffix":""}],"container-title":"Biotechnology Journal","id":"ITEM-1","issue":"5","issued":{"date-parts":[["2014","5"]]},"page":"621-629","publisher":"Wiley-VCH Verlag","title":"Metabolic engineering of Escherichia coli for the production of phenol from glucose","type":"article-journal","volume":"9"},"uris":["http://www.mendeley.com/documents/?uuid=1981a20c-1f5b-34cf-9dd2-fef27d716f6b"]}],"mendeley":{"formattedCitation":"(18)","plainTextFormattedCitation":"(18)","previouslyFormattedCitation":"(18)"},"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(18)</w:t>
            </w:r>
            <w:r w:rsidRPr="000163B9">
              <w:rPr>
                <w:rFonts w:ascii="Arial" w:hAnsi="Arial" w:cs="Arial"/>
                <w:sz w:val="24"/>
                <w:szCs w:val="24"/>
                <w:lang w:val="en-US"/>
              </w:rPr>
              <w:fldChar w:fldCharType="end"/>
            </w:r>
          </w:p>
        </w:tc>
        <w:tc>
          <w:tcPr>
            <w:tcW w:w="5244" w:type="dxa"/>
            <w:noWrap/>
            <w:vAlign w:val="center"/>
          </w:tcPr>
          <w:p w14:paraId="79D07FFE" w14:textId="005D51FB" w:rsidR="00AD4776" w:rsidRDefault="00AD4776" w:rsidP="00AD4776">
            <w:pPr>
              <w:suppressLineNumbers/>
              <w:spacing w:line="360" w:lineRule="auto"/>
              <w:ind w:left="1110" w:hanging="1110"/>
              <w:jc w:val="center"/>
              <w:rPr>
                <w:rFonts w:ascii="Arial" w:hAnsi="Arial" w:cs="Arial"/>
                <w:sz w:val="24"/>
                <w:szCs w:val="24"/>
                <w:lang w:val="en-US"/>
              </w:rPr>
            </w:pPr>
            <w:r>
              <w:rPr>
                <w:rFonts w:ascii="Arial" w:hAnsi="Arial" w:cs="Arial"/>
                <w:sz w:val="24"/>
                <w:szCs w:val="24"/>
                <w:lang w:val="en-US"/>
              </w:rPr>
              <w:t xml:space="preserve">Pathogenic members </w:t>
            </w:r>
            <w:r>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{"citationItems":[{"id":"ITEM-1","itemData":{"DOI":"10.1016/S1473-3099(18)30475-4","ISSN":"14744457","abstract":"Background: Shigella and enterotoxigenic Escherichia coli (ETEC) are bacterial pathogens that are frequently associated with diarrhoeal disease, and are a significant cause of mortality and morbidity worldwide. The Global Burden of Diseases, Injuries, and Risk Factors study 2016 (GBD 2016) is a systematic, scientific effort to quantify the morbidity and mortality due to over 300 causes of death and disability. We aimed to analyse the global burden of shigella and ETEC diarrhoea according to age, sex, geography, and year from 1990 to 2016. Methods: We modelled shigella and ETEC-related mortality using a Bayesian hierarchical modelling platform that evaluates a wide range of covariates and model types on the basis of vital registration and verbal autopsy data. We used a compartmental meta-regression tool to model the incidence of shigella and ETEC, which enforces an association between incidence, prevalence, and remission on the basis of scientific literature, population representative surveys, and health-care data. We calculated 95% uncertainty intervals (UIs) for the point estimates. Findings: Shigella was the second leading cause of diarrhoeal mortality in 2016 among all ages, accounting for 212 438 deaths (95% UI 136 979–326 913) and about 13·2% (9·2–17·4) of all diarrhoea deaths. Shigella was responsible for 63 713 deaths (41 191–93 611) among children younger than 5 years and was frequently associated with diarrhoea across all adult age groups, increasing in elderly people, with broad geographical distribution. ETEC was the eighth leading cause of diarrhoea mortality in 2016 among all age groups, accounting for 51 186 deaths (26 757–83 064) and about 3·2% (1·8–4·7) of diarrhoea deaths. ETEC was responsible for about 4·2% (2·2–6·8) of diarrhoea deaths in children younger than 5 years. Interpretation: The health burden of bacterial diarrhoeal pathogens is difficult to estimate. Despite existing prevention and treatment options, they remain a major cause of morbidity and mortality globally. Additional emphasis by public health officials is needed on a reduction in disease due to shigella and ETEC to reduce disease burden. Funding: Bill &amp; Melinda Gates Foundation.","author":[{"dropping-particle":"","family":"Khalil","given":"Ibrahim A.","non-dropping-particle":"","parse-names":false,"suffix":""},{"dropping-particle":"","family":"Troeger","given":"Christopher","non-dropping-particle":"","parse-names":false,"suffix":""},{"dropping-particle":"","family":"Blacker","given":"Brigette F.","non-dropping-particle":"","parse-names":false,"suffix":""},{"dropping-particle":"","family":"Rao","given":"Puja C.","non-dropping-particle":"","parse-names":false,"suffix":""},{"dropping-particle":"","family":"Brown","given":"Alexandria","non-dropping-particle":"","parse-names":false,"suffix":""},{"dropping-particle":"","family":"Atherly","given":"Deborah E.","non-dropping-particle":"","parse-names":false,"suffix":""},{"dropping-particle":"","family":"Brewer","given":"Thomas G.","non-dropping-particle":"","parse-names":false,"suffix":""},{"dropping-particle":"","family":"Engmann","given":"Cyril M.","non-dropping-particle":"","parse-names":false,"suffix":""},{"dropping-particle":"","family":"Houpt","given":"Eric R.","non-dropping-particle":"","parse-names":false,"suffix":""},{"dropping-particle":"","family":"Kang","given":"Gagandeep","non-dropping-particle":"","parse-names":false,"suffix":""},{"dropping-particle":"","family":"Kotloff","given":"Karen L.","non-dropping-particle":"","parse-names":false,"suffix":""},{"dropping-particle":"","family":"Levine","given":"Myron M.","non-dropping-particle":"","parse-names":false,"suffix":""},{"dropping-particle":"","family":"Luby","given":"Stephen P.","non-dropping-particle":"","parse-names":false,"suffix":""},{"dropping-particle":"","family":"MacLennan","given":"Calman A.","non-dropping-particle":"","parse-names":false,"suffix":""},{"dropping-particle":"","family":"Pan","given":"William K.","non-dropping-particle":"","parse-names":false,"suffix":""},{"dropping-particle":"","family":"Pavlinac","given":"Patricia B.","non-dropping-particle":"","parse-names":false,"suffix":""},{"dropping-particle":"","family":"Platts-Mills","given":"James A.","non-dropping-particle":"","parse-names":false,"suffix":""},{"dropping-particle":"","family":"Qadri","given":"Firdausi","non-dropping-particle":"","parse-names":false,"suffix":""},{"dropping-particle":"","family":"Riddle","given":"Mark S.","non-dropping-particle":"","parse-names":false,"suffix":""},{"dropping-particle":"","family":"Ryan","given":"Edward T.","non-dropping-particle":"","parse-names":false,"suffix":""},{"dropping-particle":"","family":"Shoultz","given":"David A.","non-dropping-particle":"","parse-names":false,"suffix":""},{"dropping-particle":"","family":"Steele","given":"A. Duncan","non-dropping-particle":"","parse-names":false,"suffix":""},{"dropping-particle":"","family":"Walson","given":"Judd L.","non-dropping-particle":"","parse-names":false,"suffix":""},{"dropping-particle":"","family":"Sanders","given":"John W.","non-dropping-particle":"","parse-names":false,"suffix":""},{"dropping-particle":"","family":"Mokdad","given":"Ali H.","non-dropping-particle":"","parse-names":false,"suffix":""},{"dropping-particle":"","family":"Murray","given":"Christopher J.L.","non-dropping-particle":"","parse-names":false,"suffix":""},{"dropping-particle":"","family":"Hay","given":"Simon I.","non-dropping-particle":"","parse-names":false,"suffix":""},{"dropping-particle":"","family":"Reiner","given":"Robert C.","non-dropping-particle":"","parse-names":false,"suffix":""}],"container-title":"The Lancet Infectious Diseases","id":"ITEM-1","issue":"11","issued":{"date-parts":[["2018","11","1"]]},"page":"1229-1240","publisher":"Lancet Publishing Group","title":"Morbidity and mortality due to shigella and enterotoxigenic Escherichia coli diarrhoea: the Global Burden of Disease Study 1990–2016","type":"article-journal","volume":"18"},"uris":["http://www.mendeley.com/documents/?uuid=6ad5ce11-d09a-3acf-bbf8-cbecffca73b3"]},{"id":"ITEM-2","itemData":{"DOI":"10.1186/1757-4749-2-8","ISSN":"17574749","abstract":"A successful infection of the human intestine by enteropathogenic bacteria depends on the ability of bacteria to attach and colonize the intestinal epithelium and, in some cases, to invade the host cell, survive intracellularly and disseminate from cell to cell. To accomplish these processes bacteria have evolved an arsenal of molecules that are mostly secreted by dedicated type III secretion systems, and that interact with the host, subverting normal cellular functions. Here we overview the most important molecular strategies developed by enteropathogenic Escherichia coli, Salmonella enterica, Shigella flexneri, and Yersinia enterocolitica to cause enteric infections. Despite having evolved different effectors, these four microorganisms share common host cellular targets.","author":[{"dropping-particle":"","family":"Reis","given":"Roberta Souza","non-dropping-particle":"Dos","parse-names":false,"suffix":""},{"dropping-particle":"","family":"Horn","given":"Fabiana","non-dropping-particle":"","parse-names":false,"suffix":""}],"container-title":"Gut Pathogens","id":"ITEM-2","issue":"1","issued":{"date-parts":[["2014","7","22"]]},"page":"8","publisher":"BioMed Central Ltd.","title":"Enteropathogenic Escherichia coli, Samonella, Shigella and Yersinia: Cellular aspects of host-bacteria interactions in enteric diseases","type":"article-journal","volume":"2"},"uris":["http://www.mendeley.com/documents/?uuid=fe8a0525-91ff-33fd-8ee2-89f056fa6841"]}],"mendeley":{"formattedCitation":"(19, 20)","plainTextFormattedCitation":"(19, 20)","previouslyFormattedCitation":"(19, 20)"},"properties":{"noteIndex":0},"schema":"https://github.com/citation-style-language/schema/raw/master/csl-citation.json"}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(19</w:t>
            </w:r>
            <w:r w:rsidR="00FF4DA0">
              <w:rPr>
                <w:rFonts w:ascii="Arial" w:hAnsi="Arial" w:cs="Arial"/>
                <w:noProof/>
                <w:sz w:val="24"/>
                <w:szCs w:val="24"/>
                <w:lang w:val="en-US"/>
              </w:rPr>
              <w:t>,</w:t>
            </w:r>
            <w:r w:rsidR="008B129A" w:rsidRPr="008B129A">
              <w:rPr>
                <w:rFonts w:ascii="Arial" w:hAnsi="Arial" w:cs="Arial"/>
                <w:noProof/>
                <w:sz w:val="24"/>
                <w:szCs w:val="24"/>
                <w:lang w:val="en-US"/>
              </w:rPr>
              <w:t xml:space="preserve"> 20)</w:t>
            </w:r>
            <w:r>
              <w:rPr>
                <w:rFonts w:ascii="Arial" w:hAnsi="Arial" w:cs="Arial"/>
                <w:sz w:val="24"/>
                <w:szCs w:val="24"/>
                <w:lang w:val="en-US"/>
              </w:rPr>
              <w:fldChar w:fldCharType="end"/>
            </w:r>
          </w:p>
        </w:tc>
      </w:tr>
      <w:tr w:rsidR="00AD4776" w:rsidRPr="00FA660F" w14:paraId="68150520" w14:textId="77777777" w:rsidTr="00AD4776">
        <w:trPr>
          <w:trHeight w:val="243"/>
          <w:jc w:val="center"/>
        </w:trPr>
        <w:tc>
          <w:tcPr>
            <w:tcW w:w="2078" w:type="dxa"/>
            <w:noWrap/>
            <w:vAlign w:val="center"/>
          </w:tcPr>
          <w:p w14:paraId="64DC2F32" w14:textId="77777777" w:rsidR="00AD4776"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6E0B8C7E" w14:textId="06CCE252"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r>
              <w:rPr>
                <w:rFonts w:ascii="Arial" w:hAnsi="Arial" w:cs="Arial"/>
                <w:i/>
                <w:iCs/>
                <w:sz w:val="24"/>
                <w:szCs w:val="24"/>
                <w:lang w:val="en-US"/>
              </w:rPr>
              <w:t>Treponema</w:t>
            </w:r>
          </w:p>
        </w:tc>
        <w:tc>
          <w:tcPr>
            <w:tcW w:w="4050" w:type="dxa"/>
            <w:noWrap/>
            <w:vAlign w:val="center"/>
          </w:tcPr>
          <w:p w14:paraId="4C19BD3A" w14:textId="77777777" w:rsidR="00AD4776" w:rsidRPr="000163B9" w:rsidRDefault="00AD4776" w:rsidP="00AD4776">
            <w:pPr>
              <w:suppressLineNumbers/>
              <w:spacing w:line="360" w:lineRule="auto"/>
              <w:jc w:val="center"/>
              <w:rPr>
                <w:rFonts w:ascii="Arial" w:hAnsi="Arial" w:cs="Arial"/>
                <w:i/>
                <w:iCs/>
                <w:sz w:val="24"/>
                <w:szCs w:val="24"/>
                <w:lang w:val="en-US"/>
              </w:rPr>
            </w:pPr>
          </w:p>
        </w:tc>
        <w:tc>
          <w:tcPr>
            <w:tcW w:w="5244" w:type="dxa"/>
            <w:noWrap/>
            <w:vAlign w:val="center"/>
          </w:tcPr>
          <w:p w14:paraId="127D32DD" w14:textId="77777777" w:rsidR="00AD4776" w:rsidRDefault="00AD4776" w:rsidP="00AD4776">
            <w:pPr>
              <w:suppressLineNumbers/>
              <w:spacing w:line="360" w:lineRule="auto"/>
              <w:ind w:left="1110" w:hanging="1110"/>
              <w:jc w:val="center"/>
              <w:rPr>
                <w:rFonts w:ascii="Arial" w:hAnsi="Arial" w:cs="Arial"/>
                <w:sz w:val="24"/>
                <w:szCs w:val="24"/>
                <w:lang w:val="en-US"/>
              </w:rPr>
            </w:pPr>
          </w:p>
        </w:tc>
      </w:tr>
      <w:tr w:rsidR="00AD4776" w:rsidRPr="00FA660F" w14:paraId="3FBA70BB" w14:textId="77777777" w:rsidTr="00B7650E">
        <w:trPr>
          <w:trHeight w:val="300"/>
          <w:jc w:val="center"/>
        </w:trPr>
        <w:tc>
          <w:tcPr>
            <w:tcW w:w="2078" w:type="dxa"/>
            <w:noWrap/>
            <w:vAlign w:val="center"/>
            <w:hideMark/>
          </w:tcPr>
          <w:p w14:paraId="63727C98" w14:textId="613C7431" w:rsidR="00AD4776" w:rsidRPr="0044392A" w:rsidRDefault="00AD4776" w:rsidP="00AD4776">
            <w:pPr>
              <w:suppressLineNumbers/>
              <w:spacing w:line="360" w:lineRule="auto"/>
              <w:ind w:left="888" w:hanging="851"/>
              <w:jc w:val="center"/>
              <w:rPr>
                <w:rFonts w:ascii="Arial" w:hAnsi="Arial" w:cs="Arial"/>
                <w:sz w:val="24"/>
                <w:szCs w:val="24"/>
                <w:lang w:val="en-US"/>
              </w:rPr>
            </w:pPr>
            <w:bookmarkStart w:id="5" w:name="_Hlk42268027"/>
            <w:r w:rsidRPr="0044392A">
              <w:rPr>
                <w:rFonts w:ascii="Arial" w:hAnsi="Arial" w:cs="Arial"/>
                <w:sz w:val="24"/>
                <w:szCs w:val="24"/>
                <w:lang w:val="en-US"/>
              </w:rPr>
              <w:t>Control</w:t>
            </w:r>
            <w:bookmarkEnd w:id="5"/>
          </w:p>
        </w:tc>
        <w:tc>
          <w:tcPr>
            <w:tcW w:w="2803" w:type="dxa"/>
            <w:noWrap/>
            <w:vAlign w:val="center"/>
            <w:hideMark/>
          </w:tcPr>
          <w:p w14:paraId="3A22B4B3" w14:textId="040D4AB1"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Acidaminococcus</w:t>
            </w:r>
            <w:proofErr w:type="spellEnd"/>
          </w:p>
        </w:tc>
        <w:tc>
          <w:tcPr>
            <w:tcW w:w="4050" w:type="dxa"/>
            <w:noWrap/>
            <w:vAlign w:val="center"/>
            <w:hideMark/>
          </w:tcPr>
          <w:p w14:paraId="607B1CEE" w14:textId="581A4541" w:rsidR="00AD4776" w:rsidRPr="000163B9" w:rsidRDefault="00AD4776" w:rsidP="00AD4776">
            <w:pPr>
              <w:suppressLineNumbers/>
              <w:spacing w:line="360" w:lineRule="auto"/>
              <w:jc w:val="center"/>
              <w:rPr>
                <w:rFonts w:ascii="Arial" w:hAnsi="Arial" w:cs="Arial"/>
                <w:sz w:val="24"/>
                <w:szCs w:val="24"/>
                <w:lang w:val="en-US"/>
              </w:rPr>
            </w:pPr>
            <w:r w:rsidRPr="000163B9">
              <w:rPr>
                <w:rFonts w:ascii="Arial" w:hAnsi="Arial" w:cs="Arial"/>
                <w:sz w:val="24"/>
                <w:szCs w:val="24"/>
                <w:lang w:val="en-US"/>
              </w:rPr>
              <w:t>Acetic and butyric acids and CO</w:t>
            </w:r>
            <w:r w:rsidRPr="000163B9">
              <w:rPr>
                <w:rFonts w:ascii="Arial" w:hAnsi="Arial" w:cs="Arial"/>
                <w:sz w:val="24"/>
                <w:szCs w:val="24"/>
                <w:vertAlign w:val="subscript"/>
                <w:lang w:val="en-US"/>
              </w:rPr>
              <w:t>2</w:t>
            </w:r>
            <w:r w:rsidRPr="000163B9">
              <w:rPr>
                <w:rFonts w:ascii="Arial" w:hAnsi="Arial" w:cs="Arial"/>
                <w:sz w:val="24"/>
                <w:szCs w:val="24"/>
                <w:lang w:val="en-US"/>
              </w:rPr>
              <w:t xml:space="preserve"> producer </w:t>
            </w:r>
            <w:r w:rsidRPr="000163B9">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{"citationItems":[{"id":"ITEM-1","itemData":{"DOI":"10.1128/jb.98.2.756-766.1969","ISSN":"00219193","PMID":"5784223","author":[{"dropping-particle":"","family":"Rogosa","given":"M.","non-dropping-particle":"","parse-names":false,"suffix":""}],"container-title":"Journal of Bacteriology","id":"ITEM-1","issue":"2","issued":{"date-parts":[["1969","5"]]},"page":"756-766","publisher":"American Society for Microbiology (ASM)","title":"Acidaminococcus gen. n., Acidaminococcus fermentans sp. n., anaerobic gram-negative diplococci using amino acids as the sole energy source for growth.","type":"article-journal","volume":"98"},"uris":["http://www.mendeley.com/documents/?uuid=c86653d8-f450-3de2-9b2c-3310b2a8aed8"]}],"mendeley":{"formattedCitation":"(21)","plainTextFormattedCitation":"(21)","previouslyFormattedCitation":"(21)"},"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(21)</w:t>
            </w:r>
            <w:r w:rsidRPr="000163B9">
              <w:rPr>
                <w:rFonts w:ascii="Arial" w:hAnsi="Arial" w:cs="Arial"/>
                <w:sz w:val="24"/>
                <w:szCs w:val="24"/>
                <w:lang w:val="en-US"/>
              </w:rPr>
              <w:fldChar w:fldCharType="end"/>
            </w:r>
          </w:p>
        </w:tc>
        <w:tc>
          <w:tcPr>
            <w:tcW w:w="5244" w:type="dxa"/>
            <w:noWrap/>
            <w:vAlign w:val="center"/>
            <w:hideMark/>
          </w:tcPr>
          <w:p w14:paraId="6E11B17F" w14:textId="0C5E6F07" w:rsidR="00AD4776" w:rsidRPr="0044392A" w:rsidRDefault="00AD4776" w:rsidP="00AD4776">
            <w:pPr>
              <w:suppressLineNumbers/>
              <w:spacing w:line="360" w:lineRule="auto"/>
              <w:ind w:left="1110" w:hanging="1110"/>
              <w:jc w:val="center"/>
              <w:rPr>
                <w:rFonts w:ascii="Arial" w:hAnsi="Arial" w:cs="Arial"/>
                <w:sz w:val="24"/>
                <w:szCs w:val="24"/>
                <w:lang w:val="en-US"/>
              </w:rPr>
            </w:pPr>
          </w:p>
        </w:tc>
      </w:tr>
      <w:tr w:rsidR="00AD4776" w:rsidRPr="00C4151E" w14:paraId="30F4CA34" w14:textId="77777777" w:rsidTr="00B7650E">
        <w:trPr>
          <w:trHeight w:val="300"/>
          <w:jc w:val="center"/>
        </w:trPr>
        <w:tc>
          <w:tcPr>
            <w:tcW w:w="2078" w:type="dxa"/>
            <w:noWrap/>
            <w:vAlign w:val="center"/>
            <w:hideMark/>
          </w:tcPr>
          <w:p w14:paraId="6E839816" w14:textId="77777777" w:rsidR="00AD4776" w:rsidRPr="0044392A"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hideMark/>
          </w:tcPr>
          <w:p w14:paraId="496E823F" w14:textId="77777777"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Megasphaera</w:t>
            </w:r>
            <w:proofErr w:type="spellEnd"/>
          </w:p>
        </w:tc>
        <w:tc>
          <w:tcPr>
            <w:tcW w:w="4050" w:type="dxa"/>
            <w:noWrap/>
            <w:vAlign w:val="center"/>
            <w:hideMark/>
          </w:tcPr>
          <w:p w14:paraId="2F878746" w14:textId="3EE86295" w:rsidR="00AD4776" w:rsidRPr="000163B9" w:rsidRDefault="00AD4776" w:rsidP="00FF4DA0">
            <w:pPr>
              <w:suppressLineNumbers/>
              <w:spacing w:line="360" w:lineRule="auto"/>
              <w:jc w:val="center"/>
              <w:rPr>
                <w:rFonts w:ascii="Arial" w:hAnsi="Arial" w:cs="Arial"/>
                <w:sz w:val="24"/>
                <w:szCs w:val="24"/>
                <w:lang w:val="en-US"/>
              </w:rPr>
            </w:pPr>
            <w:r w:rsidRPr="000163B9">
              <w:rPr>
                <w:rFonts w:ascii="Arial" w:hAnsi="Arial" w:cs="Arial"/>
                <w:sz w:val="24"/>
                <w:szCs w:val="24"/>
                <w:lang w:val="en-US"/>
              </w:rPr>
              <w:t>Acetic</w:t>
            </w:r>
            <w:r w:rsidR="00FF4DA0">
              <w:rPr>
                <w:rFonts w:ascii="Arial" w:hAnsi="Arial" w:cs="Arial"/>
                <w:sz w:val="24"/>
                <w:szCs w:val="24"/>
                <w:lang w:val="en-US"/>
              </w:rPr>
              <w:t>,</w:t>
            </w:r>
            <w:r w:rsidRPr="000163B9">
              <w:rPr>
                <w:rFonts w:ascii="Arial" w:hAnsi="Arial" w:cs="Arial"/>
                <w:sz w:val="24"/>
                <w:szCs w:val="24"/>
                <w:lang w:val="en-US"/>
              </w:rPr>
              <w:t xml:space="preserve"> propionic</w:t>
            </w:r>
            <w:r w:rsidR="00FF4DA0">
              <w:rPr>
                <w:rFonts w:ascii="Arial" w:hAnsi="Arial" w:cs="Arial"/>
                <w:sz w:val="24"/>
                <w:szCs w:val="24"/>
                <w:lang w:val="en-US"/>
              </w:rPr>
              <w:t>,</w:t>
            </w:r>
            <w:r w:rsidRPr="000163B9">
              <w:rPr>
                <w:rFonts w:ascii="Arial" w:hAnsi="Arial" w:cs="Arial"/>
                <w:sz w:val="24"/>
                <w:szCs w:val="24"/>
                <w:lang w:val="en-US"/>
              </w:rPr>
              <w:t xml:space="preserve"> butyric</w:t>
            </w:r>
            <w:r w:rsidR="00FF4DA0">
              <w:rPr>
                <w:rFonts w:ascii="Arial" w:hAnsi="Arial" w:cs="Arial"/>
                <w:sz w:val="24"/>
                <w:szCs w:val="24"/>
                <w:lang w:val="en-US"/>
              </w:rPr>
              <w:t>,</w:t>
            </w:r>
            <w:r w:rsidRPr="000163B9">
              <w:rPr>
                <w:rFonts w:ascii="Arial" w:hAnsi="Arial" w:cs="Arial"/>
                <w:sz w:val="24"/>
                <w:szCs w:val="24"/>
                <w:lang w:val="en-US"/>
              </w:rPr>
              <w:t xml:space="preserve"> and valeric acid </w:t>
            </w:r>
            <w:r w:rsidRPr="000163B9">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10.1002/9781118960608.gbm00697","author":[{"dropping-particle":"","family":"Marchandin","given":"Hélène","non-dropping-particle":"","parse-names":false,"suffix":""},{"dropping-particle":"","family":"Juvonen","given":"Riikka","non-dropping-particle":"","parse-names":false,"suffix":""},{"dropping-particle":"","family":"Haikara","given":"Auli","non-dropping-particle":"","parse-names":false,"suffix":""}],"container-title":"Bergey's Manual of Systematics of Archaea and Bacteria","id":"ITEM-1","issued":{"date-parts":[["2015","9","14"]]},"page":"1-16","publisher":"John Wiley &amp; Sons, Ltd","publisher-place":"Chichester, UK","title":"&lt;i&gt;Megasphaera&lt;/i&gt;","type":"chapter"},"uris":["http://www.mendeley.com/documents/?uuid=7adb303b-0981-3253-b28f-3a7d45c71150"]}],"mendeley":{"formattedCitation":"(22)","plainTextFormattedCitation":"(22)","previouslyFormattedCitation":"(22)"},"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(22)</w:t>
            </w:r>
            <w:r w:rsidRPr="000163B9">
              <w:rPr>
                <w:rFonts w:ascii="Arial" w:hAnsi="Arial" w:cs="Arial"/>
                <w:sz w:val="24"/>
                <w:szCs w:val="24"/>
                <w:lang w:val="en-US"/>
              </w:rPr>
              <w:fldChar w:fldCharType="end"/>
            </w:r>
            <w:r w:rsidR="00FF4DA0">
              <w:rPr>
                <w:rFonts w:ascii="Arial" w:hAnsi="Arial" w:cs="Arial"/>
                <w:sz w:val="24"/>
                <w:szCs w:val="24"/>
                <w:lang w:val="en-US"/>
              </w:rPr>
              <w:t>,</w:t>
            </w:r>
            <w:r w:rsidRPr="000163B9">
              <w:rPr>
                <w:rFonts w:ascii="Arial" w:hAnsi="Arial" w:cs="Arial"/>
                <w:sz w:val="24"/>
                <w:szCs w:val="24"/>
                <w:lang w:val="en-US"/>
              </w:rPr>
              <w:t xml:space="preserve"> amino acids</w:t>
            </w:r>
            <w:r w:rsidR="00FF4DA0">
              <w:rPr>
                <w:rFonts w:ascii="Arial" w:hAnsi="Arial" w:cs="Arial"/>
                <w:sz w:val="24"/>
                <w:szCs w:val="24"/>
                <w:lang w:val="en-US"/>
              </w:rPr>
              <w:t>,</w:t>
            </w:r>
            <w:r w:rsidRPr="000163B9">
              <w:rPr>
                <w:rFonts w:ascii="Arial" w:hAnsi="Arial" w:cs="Arial"/>
                <w:sz w:val="24"/>
                <w:szCs w:val="24"/>
                <w:lang w:val="en-US"/>
              </w:rPr>
              <w:t xml:space="preserve"> vitamins</w:t>
            </w:r>
            <w:r w:rsidR="00FF4DA0">
              <w:rPr>
                <w:rFonts w:ascii="Arial" w:hAnsi="Arial" w:cs="Arial"/>
                <w:sz w:val="24"/>
                <w:szCs w:val="24"/>
                <w:lang w:val="en-US"/>
              </w:rPr>
              <w:t>,</w:t>
            </w:r>
            <w:r w:rsidRPr="000163B9">
              <w:rPr>
                <w:rFonts w:ascii="Arial" w:hAnsi="Arial" w:cs="Arial"/>
                <w:sz w:val="24"/>
                <w:szCs w:val="24"/>
                <w:lang w:val="en-US"/>
              </w:rPr>
              <w:t xml:space="preserve"> acetate and butyrate producer </w:t>
            </w:r>
            <w:r w:rsidRPr="000163B9">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{"citationItems":[{"id":"ITEM-1","itemData":{"DOI":"10.1371/journal.pone.0079353","ISSN":"1932-6203","abstract":"With increasing number of novel bacteria being isolated from the human gut ecosystem, there is a greater need to study their role in the gut ecosystem and their effect on the host health. In the present study, we carried out in silico genome-wide analysis of two novel Megasphaera sp. isolates NM10 (DSM25563) and BL7 (DSM25562), isolated from feces of two healthy individuals and validated the key features by in vitro studies. The analysis revealed the general metabolic potential, adaptive features and the potential effects of these isolates on the host. The comparative genome analysis of the two human gut isolates NM10 and BL7 with ruminal isolate Megasphaera elsdenii (DSM20460) highlighted the differential adaptive features for their survival in human gut. The key findings include features like bile resistance, presence of various sensory and regulatory systems, stress response systems, membrane transporters and resistance to antibiotics. Comparison of the \"glycobiome\" based on the genomes of the ruminal isolate with the human gut isolates NM10 and BL revealed the presence of diverse and unique sets of Carbohydrate-Active enzymes (CAZymes) amongst these isolates, with a higher collection of CAZymes in the human gut isolates. This could be attributed to the difference in host diet and thereby the environment, consequently suggesting host specific adaptation in these isolates. In silico analysis of metabolic potential predicted the ability of these isolates to produce important metabolites like short chain fatty acids (butyrate, acetate, formate, and caproate), vitamins and essential amino acids, which was further validated by in vitro experiments. The ability of these isolates to produce important metabolites advocates for a potential healthy influence on the host. Further in vivo studies including transcriptomic and proteomic analysis will be required for better understanding the role and impact of these Megasphaera sp. isolates NM10 and BL7 on the human host. © 2013 Shetty et al.","author":[{"dropping-particle":"","family":"Shetty","given":"Sudarshan Anand","non-dropping-particle":"","parse-names":false,"suffix":""},{"dropping-particle":"","family":"Marathe","given":"Nachiket Prakash","non-dropping-particle":"","parse-names":false,"suffix":""},{"dropping-particle":"","family":"Lanjekar","given":"Vikram","non-dropping-particle":"","parse-names":false,"suffix":""},{"dropping-particle":"","family":"Ranade","given":"Dilip","non-dropping-particle":"","parse-names":false,"suffix":""},{"dropping-particle":"","family":"Shouche","given":"Yogesh S.","non-dropping-particle":"","parse-names":false,"suffix":""}],"container-title":"PLoS ONE","editor":[{"dropping-particle":"","family":"Heimesaat","given":"Markus M.","non-dropping-particle":"","parse-names":false,"suffix":""}],"id":"ITEM-1","issue":"11","issued":{"date-parts":[["2013","11","18"]]},"page":"e79353","publisher":"Public Library of Science","title":"Comparative Genome Analysis of Megasphaera sp. Reveals Niche Specialization and Its Potential Role in the Human Gut","type":"article-journal","volume":"8"},"uris":["http://www.mendeley.com/documents/?uuid=5644a9f2-ab41-3f03-9fe4-dc1eab71f25b"]}],"mendeley":{"formattedCitation":"(23)","plainTextFormattedCitation":"(23)","previouslyFormattedCitation":"(23)"},"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(23)</w:t>
            </w:r>
            <w:r w:rsidRPr="000163B9">
              <w:rPr>
                <w:rFonts w:ascii="Arial" w:hAnsi="Arial" w:cs="Arial"/>
                <w:sz w:val="24"/>
                <w:szCs w:val="24"/>
                <w:lang w:val="en-US"/>
              </w:rPr>
              <w:fldChar w:fldCharType="end"/>
            </w:r>
          </w:p>
        </w:tc>
        <w:tc>
          <w:tcPr>
            <w:tcW w:w="5244" w:type="dxa"/>
            <w:noWrap/>
            <w:vAlign w:val="center"/>
            <w:hideMark/>
          </w:tcPr>
          <w:p w14:paraId="7D5D60D7" w14:textId="7195FD4B" w:rsidR="00AD4776" w:rsidRPr="0044392A" w:rsidRDefault="00AD4776" w:rsidP="00AD4776">
            <w:pPr>
              <w:suppressLineNumbers/>
              <w:spacing w:line="360" w:lineRule="auto"/>
              <w:ind w:left="1110" w:hanging="1110"/>
              <w:jc w:val="center"/>
              <w:rPr>
                <w:rFonts w:ascii="Arial" w:hAnsi="Arial" w:cs="Arial"/>
                <w:sz w:val="24"/>
                <w:szCs w:val="24"/>
                <w:lang w:val="en-US"/>
              </w:rPr>
            </w:pPr>
          </w:p>
        </w:tc>
      </w:tr>
      <w:tr w:rsidR="00AD4776" w:rsidRPr="0044392A" w14:paraId="34C481EA" w14:textId="77777777" w:rsidTr="00AD4776">
        <w:trPr>
          <w:trHeight w:val="300"/>
          <w:jc w:val="center"/>
        </w:trPr>
        <w:tc>
          <w:tcPr>
            <w:tcW w:w="2078" w:type="dxa"/>
            <w:noWrap/>
            <w:vAlign w:val="center"/>
            <w:hideMark/>
          </w:tcPr>
          <w:p w14:paraId="39FDFAF8" w14:textId="77777777" w:rsidR="00AD4776" w:rsidRPr="0044392A"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5F91D0E9" w14:textId="55DA1FF6"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r w:rsidRPr="00B35F96">
              <w:rPr>
                <w:rFonts w:ascii="Arial" w:hAnsi="Arial" w:cs="Arial"/>
                <w:i/>
                <w:iCs/>
                <w:sz w:val="24"/>
                <w:szCs w:val="24"/>
                <w:lang w:val="en-US"/>
              </w:rPr>
              <w:t>Bacteroides</w:t>
            </w:r>
          </w:p>
        </w:tc>
        <w:tc>
          <w:tcPr>
            <w:tcW w:w="4050" w:type="dxa"/>
            <w:noWrap/>
            <w:vAlign w:val="center"/>
          </w:tcPr>
          <w:p w14:paraId="78086C28" w14:textId="42062BCF" w:rsidR="00AD4776" w:rsidRPr="000163B9" w:rsidRDefault="00AD4776" w:rsidP="00AD4776">
            <w:pPr>
              <w:suppressLineNumbers/>
              <w:spacing w:line="360" w:lineRule="auto"/>
              <w:jc w:val="center"/>
              <w:rPr>
                <w:rFonts w:ascii="Arial" w:hAnsi="Arial" w:cs="Arial"/>
                <w:sz w:val="24"/>
                <w:szCs w:val="24"/>
                <w:lang w:val="en-US"/>
              </w:rPr>
            </w:pPr>
            <w:r w:rsidRPr="000163B9">
              <w:rPr>
                <w:rFonts w:ascii="Arial" w:hAnsi="Arial" w:cs="Arial"/>
                <w:sz w:val="24"/>
                <w:szCs w:val="24"/>
                <w:lang w:val="en-US"/>
              </w:rPr>
              <w:t xml:space="preserve">Breakdown polysaccharides </w:t>
            </w:r>
            <w:r w:rsidRPr="000163B9">
              <w:rPr>
                <w:rFonts w:ascii="Arial" w:hAnsi="Arial" w:cs="Arial"/>
                <w:sz w:val="24"/>
                <w:szCs w:val="24"/>
                <w:lang w:val="en-US"/>
              </w:rPr>
              <w:fldChar w:fldCharType="begin" w:fldLock="1"/>
            </w:r>
            <w:r w:rsidR="008B129A">
              <w:rPr>
                <w:rFonts w:ascii="Arial" w:hAnsi="Arial" w:cs="Arial"/>
                <w:sz w:val="24"/>
                <w:szCs w:val="24"/>
                <w:lang w:val="en-US"/>
              </w:rPr>
              <w:instrText xml:space="preserve">ADDIN CSL_CITATION {"citationItems":[{"id":"ITEM-1","itemData":{"DOI":"10.1016/j.tim.2017.06.009","ISSN":"0966842X","abstract":"Bacteroides spp. are members of the human gut microbiota that confer myriad benefits on their hosts. Among them is the provision of energy from otherwise indigestible polysaccharides comprising part of the host diet, lining the intestinal mucosal layer, and decorating the surface of other microbes. Bacteroides spp. devote </w:instrText>
            </w:r>
            <w:r w:rsidR="008B129A">
              <w:rPr>
                <w:rFonts w:ascii="Cambria Math" w:hAnsi="Cambria Math" w:cs="Cambria Math"/>
                <w:sz w:val="24"/>
                <w:szCs w:val="24"/>
                <w:lang w:val="en-US"/>
              </w:rPr>
              <w:instrText>∼</w:instrText>
            </w:r>
            <w:r w:rsidR="008B129A">
              <w:rPr>
                <w:rFonts w:ascii="Arial" w:hAnsi="Arial" w:cs="Arial"/>
                <w:sz w:val="24"/>
                <w:szCs w:val="24"/>
                <w:lang w:val="en-US"/>
              </w:rPr>
              <w:instrText>20% of their genomes to the transport and breakdown of a wide variety of polysaccharides, and to the regulation of these processes. Bacteroides spp. rely on different families of transcriptional regulators to ensure that carbohydrate utilization genes are expressed under specific conditions. The regulators and mechanisms controlling carbohydrate utilization are often unique to these gut-dwelling bacteria, and do not conform to those of model organisms. Bacteroides spp. break down complex polysaccharides from the host diet, the host intestinal mucosal layer, and the surface of other microbes. Different classes of transmembrane regulatory proteins control transcription of polysaccharide utilization genes. Monitoring of monosaccharide breakdown in the cytoplasm feeds back on the extracytoplasmic breakdown of complex polysaccharides. Multiple regulators act in a complex hierarchy to implement polysaccharide utilization preference. A global regulator of carbohydrate breakdown is necessary for Bacteroides’ survival in the mammalian gut.","author":[{"dropping-particle":"","family":"Schwalm","given":"Nathan D.","non-dropping-particle":"","parse-names":false,"suffix":""},{"dropping-particle":"","family":"Groisman","given":"Eduardo A.","non-dropping-particle":"","parse-names":false,"suffix":""}],"container-title":"Trends in Microbiology","id":"ITEM-1","issue":"12","issued":{"date-parts":[["2017","12","1"]]},"page":"1005-1015","publisher":"Elsevier Ltd","title":"Navigating the Gut Buffet: Control of Polysaccharide Utilization in Bacteroides spp.","type":"article-journal","volume":"25"},"uris":["http://www.mendeley.com/documents/?uuid=b8a7b384-75bc-30e5-82f8-828c66a920fd"]}],"mendeley":{"formattedCitation":"(24)","plainTextFormattedCitation":"(24)","previouslyFormattedCitation":"(24)"},"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(24)</w:t>
            </w:r>
            <w:r w:rsidRPr="000163B9">
              <w:rPr>
                <w:rFonts w:ascii="Arial" w:hAnsi="Arial" w:cs="Arial"/>
                <w:sz w:val="24"/>
                <w:szCs w:val="24"/>
                <w:lang w:val="en-US"/>
              </w:rPr>
              <w:fldChar w:fldCharType="end"/>
            </w:r>
            <w:r w:rsidR="00FF4DA0">
              <w:rPr>
                <w:rFonts w:ascii="Arial" w:hAnsi="Arial" w:cs="Arial"/>
                <w:sz w:val="24"/>
                <w:szCs w:val="24"/>
                <w:lang w:val="en-US"/>
              </w:rPr>
              <w:t>,</w:t>
            </w:r>
            <w:r w:rsidRPr="000163B9">
              <w:rPr>
                <w:rFonts w:ascii="Arial" w:hAnsi="Arial" w:cs="Arial"/>
                <w:sz w:val="24"/>
                <w:szCs w:val="24"/>
                <w:lang w:val="en-US"/>
              </w:rPr>
              <w:t xml:space="preserve"> propionate and acetate producer </w:t>
            </w:r>
            <w:r w:rsidRPr="000163B9">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{"citationItems":[{"id":"ITEM-1","itemData":{"DOI":"10.3389/fphar.2018.01354","ISSN":"16639812","abstract":"As an important source for traditional medical systems such as Ayurvedic medicine and traditional Chinese medicine, herbal medicines have received widespread attentions from all over the world, especially in developing countries. Over the past decade, studies on gut microbiota have generated rich information for understanding how gut microbiota shape the functioning of our body system. In view of the importance of gut microbiota, the researchers engaged in studying herbal medicines have paid more and more attention to gut microbiota and gut microbiota metabolites. Among a variety of gut microbiota metabolites, short-chain fatty acids (SCFAs) have received most attention because of their important role in maintaining the hemostasis of hosts and recovery of diseases. Herbal medicines, as an important resource provider for production of SCFAs, have been demonstrated to be able to modulate gut microbiota composition and regulate SCFAs production. In this mini-review, we summarize current knowledge about SCFAs origination, the role of SCFAs in health and disease, the influence of herbal medicine on SCFAs production and the corresponding mechanisms. At the end of this review, the strategies and suggestions for further research of SCFAs and herbal medicines are also discussed.","author":[{"dropping-particle":"","family":"Feng","given":"Wuwen","non-dropping-particle":"","parse-names":false,"suffix":""},{"dropping-particle":"","family":"Ao","given":"Hui","non-dropping-particle":"","parse-names":false,"suffix":""},{"dropping-particle":"","family":"Peng","given":"Cheng","non-dropping-particle":"","parse-names":false,"suffix":""}],"container-title":"Frontiers in Pharmacology","id":"ITEM-1","issue":"NOV","issued":{"date-parts":[["2018","11","23"]]},"page":"1354","publisher":"Frontiers Media S.A.","title":"Gut microbiota, short-chain fatty acids, and herbal medicines","type":"article-journal","volume":"9"},"uris":["http://www.mendeley.com/documents/?uuid=e8b94239-ff0d-3dc2-a3db-85f82fbc915a"]}],"mendeley":{"formattedCitation":"(2)","plainTextFormattedCitation":"(2)","previouslyFormattedCitation":"(2)"},"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(2)</w:t>
            </w:r>
            <w:r w:rsidRPr="000163B9">
              <w:rPr>
                <w:rFonts w:ascii="Arial" w:hAnsi="Arial" w:cs="Arial"/>
                <w:sz w:val="24"/>
                <w:szCs w:val="24"/>
                <w:lang w:val="en-US"/>
              </w:rPr>
              <w:fldChar w:fldCharType="end"/>
            </w:r>
          </w:p>
        </w:tc>
        <w:tc>
          <w:tcPr>
            <w:tcW w:w="5244" w:type="dxa"/>
            <w:noWrap/>
            <w:vAlign w:val="center"/>
          </w:tcPr>
          <w:p w14:paraId="762A41D9" w14:textId="5636C842" w:rsidR="00AD4776" w:rsidRPr="0044392A" w:rsidRDefault="00AD4776" w:rsidP="00AD4776">
            <w:pPr>
              <w:suppressLineNumbers/>
              <w:spacing w:line="360" w:lineRule="auto"/>
              <w:ind w:left="1110" w:hanging="1110"/>
              <w:jc w:val="center"/>
              <w:rPr>
                <w:rFonts w:ascii="Arial" w:hAnsi="Arial" w:cs="Arial"/>
                <w:sz w:val="24"/>
                <w:szCs w:val="24"/>
                <w:lang w:val="en-US"/>
              </w:rPr>
            </w:pPr>
            <w:r w:rsidRPr="0044392A">
              <w:rPr>
                <w:rFonts w:ascii="Arial" w:hAnsi="Arial" w:cs="Arial"/>
                <w:sz w:val="24"/>
                <w:szCs w:val="24"/>
                <w:lang w:val="en-US"/>
              </w:rPr>
              <w:t>Bacteriocin producer</w:t>
            </w:r>
            <w:r>
              <w:rPr>
                <w:rFonts w:ascii="Arial" w:hAnsi="Arial" w:cs="Arial"/>
                <w:sz w:val="24"/>
                <w:szCs w:val="24"/>
                <w:lang w:val="en-US"/>
              </w:rPr>
              <w:t xml:space="preserve"> </w:t>
            </w:r>
            <w:r>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{"citationItems":[{"id":"ITEM-1","itemData":{"abstract":"Antagonistic substances produced by microorganisms are important to maintenance of the resident microbiota in different ecological niches. They also are used to prevent the exogenous bacterial colonization and invasion, and consequently the development of infectious diseases. In this study, the presence of bacteriocin-producing Bacteroides and Parabacteroides species isolates from human intestinal microbiota was determined by phenotypic assays. Sixty-three (55.2%) out of the 114 strains produced antagonic substances. Our results showed that Bacteroides and Parabacteroides species evaluated produced substances with hetero-or iso-antagonism effects. The iso-antagonistic effect was observed in B. fragilis (40.9%), B. vulgatus (50%) and B. uniformis (14.2%). The production of bacteriocins with both hetero-and iso-antagonic effects may suggest a defense against the invasion of exogenous microorganisms in the intestinal microbiota.","author":[{"dropping-particle":"","family":"Nakano","given":"Viviane","non-dropping-particle":"","parse-names":false,"suffix":""},{"dropping-particle":"","family":"Ignacio","given":"Aline","non-dropping-particle":"","parse-names":false,"suffix":""},{"dropping-particle":"","family":"Fernandes","given":"Miriam Rodriguez","non-dropping-particle":"","parse-names":false,"suffix":""},{"dropping-particle":"","family":"Fukugaiti","given":"Marcia Harumi","non-dropping-particle":"","parse-names":false,"suffix":""},{"dropping-particle":"","family":"Avila-campos","given":"Mario J","non-dropping-particle":"","parse-names":false,"suffix":""}],"container-title":"Current Trends in Microbiology","id":"ITEM-1","issued":{"date-parts":[["2013"]]},"page":"1-4","title":"Intestinal Bacteroides and Parabacteroides species producing antagonistic substances.","type":"article-journal","volume":"1"},"uris":["http://www.mendeley.com/documents/?uuid=c2f28d2c-73c9-3f1f-ac5e-0403ed671ef3"]}],"mendeley":{"formattedCitation":"(25)","plainTextFormattedCitation":"(25)","previouslyFormattedCitation":"(25)"},"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(25)</w:t>
            </w:r>
            <w:r>
              <w:rPr>
                <w:rFonts w:ascii="Arial" w:hAnsi="Arial" w:cs="Arial"/>
                <w:sz w:val="24"/>
                <w:szCs w:val="24"/>
                <w:lang w:val="en-US"/>
              </w:rPr>
              <w:fldChar w:fldCharType="end"/>
            </w:r>
          </w:p>
        </w:tc>
      </w:tr>
      <w:tr w:rsidR="00AD4776" w:rsidRPr="00AC601D" w14:paraId="2E7E05A8" w14:textId="77777777" w:rsidTr="00AD4776">
        <w:trPr>
          <w:trHeight w:val="300"/>
          <w:jc w:val="center"/>
        </w:trPr>
        <w:tc>
          <w:tcPr>
            <w:tcW w:w="2078" w:type="dxa"/>
            <w:noWrap/>
            <w:vAlign w:val="center"/>
            <w:hideMark/>
          </w:tcPr>
          <w:p w14:paraId="71B8B82F" w14:textId="77777777" w:rsidR="00AD4776" w:rsidRPr="0044392A"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567EDC88" w14:textId="16BED47B"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r w:rsidRPr="00B35F96">
              <w:rPr>
                <w:rFonts w:ascii="Arial" w:hAnsi="Arial" w:cs="Arial"/>
                <w:i/>
                <w:iCs/>
                <w:sz w:val="24"/>
                <w:szCs w:val="24"/>
                <w:lang w:val="en-US"/>
              </w:rPr>
              <w:t>Parabacteroides</w:t>
            </w:r>
          </w:p>
        </w:tc>
        <w:tc>
          <w:tcPr>
            <w:tcW w:w="4050" w:type="dxa"/>
            <w:noWrap/>
            <w:vAlign w:val="center"/>
          </w:tcPr>
          <w:p w14:paraId="5BDF382D" w14:textId="413C1BAA" w:rsidR="00AD4776" w:rsidRPr="000163B9" w:rsidRDefault="00AD4776" w:rsidP="00AD4776">
            <w:pPr>
              <w:suppressLineNumbers/>
              <w:spacing w:line="360" w:lineRule="auto"/>
              <w:jc w:val="center"/>
              <w:rPr>
                <w:rFonts w:ascii="Arial" w:hAnsi="Arial" w:cs="Arial"/>
                <w:sz w:val="24"/>
                <w:szCs w:val="24"/>
                <w:lang w:val="en-US"/>
              </w:rPr>
            </w:pPr>
            <w:r w:rsidRPr="000163B9">
              <w:rPr>
                <w:rFonts w:ascii="Arial" w:hAnsi="Arial" w:cs="Arial"/>
                <w:i/>
                <w:iCs/>
                <w:sz w:val="24"/>
                <w:szCs w:val="24"/>
                <w:lang w:val="en-US"/>
              </w:rPr>
              <w:t>P</w:t>
            </w:r>
            <w:r w:rsidR="00FF4DA0">
              <w:rPr>
                <w:rFonts w:ascii="Arial" w:hAnsi="Arial" w:cs="Arial"/>
                <w:i/>
                <w:iCs/>
                <w:sz w:val="24"/>
                <w:szCs w:val="24"/>
                <w:lang w:val="en-US"/>
              </w:rPr>
              <w:t>.</w:t>
            </w:r>
            <w:r w:rsidRPr="000163B9">
              <w:rPr>
                <w:rFonts w:ascii="Arial" w:hAnsi="Arial" w:cs="Arial"/>
                <w:i/>
                <w:iCs/>
                <w:sz w:val="24"/>
                <w:szCs w:val="24"/>
                <w:lang w:val="en-US"/>
              </w:rPr>
              <w:t xml:space="preserve"> </w:t>
            </w:r>
            <w:proofErr w:type="spellStart"/>
            <w:r w:rsidRPr="000163B9">
              <w:rPr>
                <w:rFonts w:ascii="Arial" w:hAnsi="Arial" w:cs="Arial"/>
                <w:i/>
                <w:iCs/>
                <w:sz w:val="24"/>
                <w:szCs w:val="24"/>
                <w:lang w:val="en-US"/>
              </w:rPr>
              <w:t>distasonis</w:t>
            </w:r>
            <w:proofErr w:type="spellEnd"/>
            <w:r w:rsidRPr="000163B9">
              <w:rPr>
                <w:rFonts w:ascii="Arial" w:hAnsi="Arial" w:cs="Arial"/>
                <w:sz w:val="24"/>
                <w:szCs w:val="24"/>
                <w:lang w:val="en-US"/>
              </w:rPr>
              <w:t xml:space="preserve"> generates succinate and secondary bile acids in the gut </w:t>
            </w:r>
            <w:r w:rsidRPr="000163B9">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{"citationItems":[{"id":"ITEM-1","itemData":{"DOI":"10.1016/j.celrep.2018.12.028","ISSN":"22111247","abstract":"We demonstrated the metabolic benefits of Parabacteroides distasonis (PD) on decreasing weight gain, hyperglycemia, and hepatic steatosis in ob/ob and high-fat diet (HFD)-fed mice. Treatment with live P. distasonis (LPD) dramatically altered the bile acid profile with elevated lithocholic acid (LCA) and ursodeoxycholic acid (UDCA) and increased the level of succinate in the gut. In vitro cultivation of PD demonstrated its capacity to transform bile acids and production of succinate. Succinate supplementation in the diet decreased hyperglycemia in ob/ob mice via the activation of intestinal gluconeogenesis (IGN). Gavage with a mixture of LCA and UDCA reduced hyperlipidemia by activating the FXR pathway and repairing gut barrier integrity. Co-treatment with succinate and LCA/UDCA mirrored the benefits of LPD. The binding target of succinate was identified as fructose-1,6-bisphosphatase, the rate-limiting enzyme in IGN. The succinate and secondary bile acids produced by P. distasonis played key roles in the modulation of host metabolism.","author":[{"dropping-particle":"","family":"Wang","given":"Kai","non-dropping-particle":"","parse-names":false,"suffix":""},{"dropping-particle":"","family":"Liao","given":"Mingfang","non-dropping-particle":"","parse-names":false,"suffix":""},{"dropping-particle":"","family":"Zhou","given":"Nan","non-dropping-particle":"","parse-names":false,"suffix":""},{"dropping-particle":"","family":"Bao","given":"Li","non-dropping-particle":"","parse-names":false,"suffix":""},{"dropping-particle":"","family":"Ma","given":"Ke","non-dropping-particle":"","parse-names":false,"suffix":""},{"dropping-particle":"","family":"Zheng","given":"Zhongyong","non-dropping-particle":"","parse-names":false,"suffix":""},{"dropping-particle":"","family":"Wang","given":"Yujing","non-dropping-particle":"","parse-names":false,"suffix":""},{"dropping-particle":"","family":"Liu","given":"Chang","non-dropping-particle":"","parse-names":false,"suffix":""},{"dropping-particle":"","family":"Wang","given":"Wenzhao","non-dropping-particle":"","parse-names":false,"suffix":""},{"dropping-particle":"","family":"Wang","given":"Jun","non-dropping-particle":"","parse-names":false,"suffix":""},{"dropping-particle":"","family":"Liu","given":"Shuang Jiang","non-dropping-particle":"","parse-names":false,"suffix":""},{"dropping-particle":"","family":"Liu","given":"Hongwei","non-dropping-particle":"","parse-names":false,"suffix":""}],"container-title":"Cell Reports","id":"ITEM-1","issue":"1","issued":{"date-parts":[["2019"]]},"page":"222-235.e5","title":"Parabacteroides distasonis Alleviates Obesity and Metabolic Dysfunctions via Production of Succinate and Secondary Bile Acids","type":"article-journal","volume":"26"},"uris":["http://www.mendeley.com/documents/?uuid=ce7fa2a4-0b2a-3407-af37-e90d5251bea1"]}],"mendeley":{"formattedCitation":"(26)","plainTextFormattedCitation":"(26)","previouslyFormattedCitation":"(26)"},"properties":{"noteIndex":0},"schema":"https://github.com/citation-style-language/schema/raw/master/csl-citation.json"}</w:instrText>
            </w:r>
            <w:r w:rsidRPr="000163B9">
              <w:rPr>
                <w:rFonts w:ascii="Arial" w:hAnsi="Arial" w:cs="Arial"/>
                <w:sz w:val="24"/>
                <w:szCs w:val="24"/>
                <w:lang w:val="en-US"/>
              </w:rPr>
              <w:fldChar w:fldCharType="separate"/>
            </w:r>
            <w:r w:rsidR="008B129A" w:rsidRPr="008B129A">
              <w:rPr>
                <w:rFonts w:ascii="Arial" w:hAnsi="Arial" w:cs="Arial"/>
                <w:noProof/>
                <w:sz w:val="24"/>
                <w:szCs w:val="24"/>
                <w:lang w:val="en-US"/>
              </w:rPr>
              <w:t>(26)</w:t>
            </w:r>
            <w:r w:rsidRPr="000163B9">
              <w:rPr>
                <w:rFonts w:ascii="Arial" w:hAnsi="Arial" w:cs="Arial"/>
                <w:sz w:val="24"/>
                <w:szCs w:val="24"/>
                <w:lang w:val="en-US"/>
              </w:rPr>
              <w:fldChar w:fldCharType="end"/>
            </w:r>
          </w:p>
        </w:tc>
        <w:tc>
          <w:tcPr>
            <w:tcW w:w="5244" w:type="dxa"/>
            <w:noWrap/>
            <w:vAlign w:val="center"/>
          </w:tcPr>
          <w:p w14:paraId="1D7B1055" w14:textId="1B9A7EA0" w:rsidR="00AD4776" w:rsidRPr="0044392A" w:rsidRDefault="00AD4776" w:rsidP="00AD4776">
            <w:pPr>
              <w:suppressLineNumbers/>
              <w:spacing w:line="360" w:lineRule="auto"/>
              <w:ind w:left="1110" w:hanging="1110"/>
              <w:jc w:val="center"/>
              <w:rPr>
                <w:rFonts w:ascii="Arial" w:hAnsi="Arial" w:cs="Arial"/>
                <w:sz w:val="24"/>
                <w:szCs w:val="24"/>
                <w:lang w:val="en-US"/>
              </w:rPr>
            </w:pPr>
            <w:r>
              <w:rPr>
                <w:rFonts w:ascii="Arial" w:hAnsi="Arial" w:cs="Arial"/>
                <w:sz w:val="24"/>
                <w:szCs w:val="24"/>
                <w:lang w:val="en-US"/>
              </w:rPr>
              <w:t>B</w:t>
            </w:r>
            <w:r w:rsidRPr="0044392A">
              <w:rPr>
                <w:rFonts w:ascii="Arial" w:hAnsi="Arial" w:cs="Arial"/>
                <w:sz w:val="24"/>
                <w:szCs w:val="24"/>
                <w:lang w:val="en-US"/>
              </w:rPr>
              <w:t xml:space="preserve">acteriocins </w:t>
            </w:r>
            <w:r>
              <w:rPr>
                <w:rFonts w:ascii="Arial" w:hAnsi="Arial" w:cs="Arial"/>
                <w:sz w:val="24"/>
                <w:szCs w:val="24"/>
                <w:lang w:val="en-US"/>
              </w:rPr>
              <w:t xml:space="preserve">producer </w:t>
            </w:r>
            <w:r>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{"citationItems":[{"id":"ITEM-1","itemData":{"abstract":"Antagonistic substances produced by microorganisms are important to maintenance of the resident microbiota in different ecological niches. They also are used to prevent the exogenous bacterial colonization and invasion, and consequently the development of infectious diseases. In this study, the presence of bacteriocin-producing Bacteroides and Parabacteroides species isolates from human intestinal microbiota was determined by phenotypic assays. Sixty-three (55.2%) out of the 114 strains produced antagonic substances. Our results showed that Bacteroides and Parabacteroides species evaluated produced substances with hetero-or iso-antagonism effects. The iso-antagonistic effect was observed in B. fragilis (40.9%), B. vulgatus (50%) and B. uniformis (14.2%). The production of bacteriocins with both hetero-and iso-antagonic effects may suggest a defense against the invasion of exogenous microorganisms in the intestinal microbiota.","author":[{"dropping-particle":"","family":"Nakano","given":"Viviane","non-dropping-particle":"","parse-names":false,"suffix":""},{"dropping-particle":"","family":"Ignacio","given":"Aline","non-dropping-particle":"","parse-names":false,"suffix":""},{"dropping-particle":"","family":"Fernandes","given":"Miriam Rodriguez","non-dropping-particle":"","parse-names":false,"suffix":""},{"dropping-particle":"","family":"Fukugaiti","given":"Marcia Harumi","non-dropping-particle":"","parse-names":false,"suffix":""},{"dropping-particle":"","family":"Avila-campos","given":"Mario J","non-dropping-particle":"","parse-names":false,"suffix":""}],"container-title":"Current Trends in Microbiology","id":"ITEM-1","issued":{"date-parts":[["2013"]]},"page":"1-4","title":"Intestinal Bacteroides and Parabacteroides species producing antagonistic substances.","type":"article-journal","volume":"1"},"uris":["http://www.mendeley.com/documents/?uuid=c2f28d2c-73c9-3f1f-ac5e-0403ed671ef3"]}],"mendeley":{"formattedCitation":"(25)","plainTextFormattedCitation":"(25)","previouslyFormattedCitation":"(25)"},"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(25)</w:t>
            </w:r>
            <w:r>
              <w:rPr>
                <w:rFonts w:ascii="Arial" w:hAnsi="Arial" w:cs="Arial"/>
                <w:sz w:val="24"/>
                <w:szCs w:val="24"/>
                <w:lang w:val="en-US"/>
              </w:rPr>
              <w:fldChar w:fldCharType="end"/>
            </w:r>
          </w:p>
        </w:tc>
      </w:tr>
      <w:tr w:rsidR="00AD4776" w:rsidRPr="0044392A" w14:paraId="576169E1" w14:textId="77777777" w:rsidTr="00AD4776">
        <w:trPr>
          <w:trHeight w:val="300"/>
          <w:jc w:val="center"/>
        </w:trPr>
        <w:tc>
          <w:tcPr>
            <w:tcW w:w="2078" w:type="dxa"/>
            <w:noWrap/>
            <w:vAlign w:val="center"/>
            <w:hideMark/>
          </w:tcPr>
          <w:p w14:paraId="33ABD387" w14:textId="77777777" w:rsidR="00AD4776" w:rsidRPr="0044392A" w:rsidRDefault="00AD4776"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61DE9F2F" w14:textId="1E8F8DFE"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
        </w:tc>
        <w:tc>
          <w:tcPr>
            <w:tcW w:w="4050" w:type="dxa"/>
            <w:noWrap/>
            <w:vAlign w:val="center"/>
          </w:tcPr>
          <w:p w14:paraId="348DB04E" w14:textId="472B1E91" w:rsidR="00AD4776" w:rsidRPr="000163B9" w:rsidRDefault="00AD4776" w:rsidP="00AD4776">
            <w:pPr>
              <w:suppressLineNumbers/>
              <w:spacing w:line="360" w:lineRule="auto"/>
              <w:jc w:val="center"/>
              <w:rPr>
                <w:rFonts w:ascii="Arial" w:hAnsi="Arial" w:cs="Arial"/>
                <w:sz w:val="24"/>
                <w:szCs w:val="24"/>
                <w:lang w:val="en-US"/>
              </w:rPr>
            </w:pPr>
          </w:p>
        </w:tc>
        <w:tc>
          <w:tcPr>
            <w:tcW w:w="5244" w:type="dxa"/>
            <w:noWrap/>
            <w:vAlign w:val="center"/>
          </w:tcPr>
          <w:p w14:paraId="3AB17F32" w14:textId="78D1AABA" w:rsidR="00AD4776" w:rsidRPr="0044392A" w:rsidRDefault="00AD4776" w:rsidP="00AD4776">
            <w:pPr>
              <w:suppressLineNumbers/>
              <w:spacing w:line="360" w:lineRule="auto"/>
              <w:jc w:val="center"/>
              <w:rPr>
                <w:rFonts w:ascii="Arial" w:hAnsi="Arial" w:cs="Arial"/>
                <w:sz w:val="24"/>
                <w:szCs w:val="24"/>
                <w:lang w:val="en-US"/>
              </w:rPr>
            </w:pPr>
          </w:p>
        </w:tc>
      </w:tr>
      <w:tr w:rsidR="00AD4776" w:rsidRPr="000F6B4D" w14:paraId="19932BC4" w14:textId="77777777" w:rsidTr="00B7650E">
        <w:trPr>
          <w:trHeight w:val="300"/>
          <w:jc w:val="center"/>
        </w:trPr>
        <w:tc>
          <w:tcPr>
            <w:tcW w:w="2078" w:type="dxa"/>
            <w:noWrap/>
            <w:vAlign w:val="center"/>
            <w:hideMark/>
          </w:tcPr>
          <w:p w14:paraId="194C2216" w14:textId="6182A0A9" w:rsidR="00AD4776" w:rsidRPr="0044392A" w:rsidRDefault="000F6B4D" w:rsidP="00AD4776">
            <w:pPr>
              <w:suppressLineNumbers/>
              <w:spacing w:line="360" w:lineRule="auto"/>
              <w:ind w:left="888" w:hanging="851"/>
              <w:jc w:val="center"/>
              <w:rPr>
                <w:rFonts w:ascii="Arial" w:hAnsi="Arial" w:cs="Arial"/>
                <w:sz w:val="24"/>
                <w:szCs w:val="24"/>
                <w:lang w:val="en-US"/>
              </w:rPr>
            </w:pPr>
            <w:r>
              <w:rPr>
                <w:rFonts w:ascii="Arial" w:hAnsi="Arial" w:cs="Arial"/>
                <w:sz w:val="24"/>
                <w:szCs w:val="24"/>
                <w:lang w:val="en-US"/>
              </w:rPr>
              <w:t>Cu-MHAC</w:t>
            </w:r>
          </w:p>
        </w:tc>
        <w:tc>
          <w:tcPr>
            <w:tcW w:w="2803" w:type="dxa"/>
            <w:noWrap/>
            <w:vAlign w:val="center"/>
            <w:hideMark/>
          </w:tcPr>
          <w:p w14:paraId="18C45846" w14:textId="77777777" w:rsidR="00AD4776" w:rsidRPr="00B35F96" w:rsidRDefault="00AD4776" w:rsidP="00AD4776">
            <w:pPr>
              <w:suppressLineNumbers/>
              <w:spacing w:line="360" w:lineRule="auto"/>
              <w:ind w:left="1110" w:right="-61" w:hanging="1110"/>
              <w:jc w:val="center"/>
              <w:rPr>
                <w:rFonts w:ascii="Arial" w:hAnsi="Arial" w:cs="Arial"/>
                <w:i/>
                <w:iCs/>
                <w:sz w:val="24"/>
                <w:szCs w:val="24"/>
                <w:lang w:val="en-US"/>
              </w:rPr>
            </w:pPr>
            <w:proofErr w:type="spellStart"/>
            <w:r w:rsidRPr="00B35F96">
              <w:rPr>
                <w:rFonts w:ascii="Arial" w:hAnsi="Arial" w:cs="Arial"/>
                <w:i/>
                <w:iCs/>
                <w:sz w:val="24"/>
                <w:szCs w:val="24"/>
                <w:lang w:val="en-US"/>
              </w:rPr>
              <w:t>Oscillibacter</w:t>
            </w:r>
            <w:proofErr w:type="spellEnd"/>
          </w:p>
        </w:tc>
        <w:tc>
          <w:tcPr>
            <w:tcW w:w="4050" w:type="dxa"/>
            <w:noWrap/>
            <w:vAlign w:val="center"/>
            <w:hideMark/>
          </w:tcPr>
          <w:p w14:paraId="3F7B2456" w14:textId="37ACBB6A" w:rsidR="00AD4776" w:rsidRPr="000163B9" w:rsidRDefault="00AD4776" w:rsidP="00AD4776">
            <w:pPr>
              <w:suppressLineNumbers/>
              <w:spacing w:line="360" w:lineRule="auto"/>
              <w:jc w:val="center"/>
              <w:rPr>
                <w:rFonts w:ascii="Arial" w:hAnsi="Arial" w:cs="Arial"/>
                <w:sz w:val="24"/>
                <w:szCs w:val="24"/>
                <w:lang w:val="en-US"/>
              </w:rPr>
            </w:pPr>
          </w:p>
        </w:tc>
        <w:tc>
          <w:tcPr>
            <w:tcW w:w="5244" w:type="dxa"/>
            <w:noWrap/>
            <w:vAlign w:val="center"/>
            <w:hideMark/>
          </w:tcPr>
          <w:p w14:paraId="577B6985" w14:textId="68C3A30F" w:rsidR="00AD4776" w:rsidRDefault="00AD4776" w:rsidP="00AD4776">
            <w:pPr>
              <w:suppressLineNumbers/>
              <w:spacing w:line="360" w:lineRule="auto"/>
              <w:ind w:left="1110" w:hanging="1110"/>
              <w:jc w:val="center"/>
              <w:rPr>
                <w:rFonts w:ascii="Arial" w:hAnsi="Arial" w:cs="Arial"/>
                <w:sz w:val="24"/>
                <w:szCs w:val="24"/>
                <w:lang w:val="en-US"/>
              </w:rPr>
            </w:pPr>
            <w:r w:rsidRPr="0044392A">
              <w:rPr>
                <w:rFonts w:ascii="Arial" w:hAnsi="Arial" w:cs="Arial"/>
                <w:sz w:val="24"/>
                <w:szCs w:val="24"/>
                <w:lang w:val="en-US"/>
              </w:rPr>
              <w:t>Anti-inflammatory metabolites producer</w:t>
            </w:r>
            <w:r>
              <w:rPr>
                <w:rFonts w:ascii="Arial" w:hAnsi="Arial" w:cs="Arial"/>
                <w:sz w:val="24"/>
                <w:szCs w:val="24"/>
                <w:lang w:val="en-US"/>
              </w:rPr>
              <w:t xml:space="preserve"> </w:t>
            </w:r>
            <w:r>
              <w:rPr>
                <w:rFonts w:ascii="Arial" w:hAnsi="Arial" w:cs="Arial"/>
                <w:sz w:val="24"/>
                <w:szCs w:val="24"/>
                <w:lang w:val="en-US"/>
              </w:rPr>
              <w:fldChar w:fldCharType="begin" w:fldLock="1"/>
            </w:r>
            <w:r w:rsidR="008B129A">
              <w:rPr>
                <w:rFonts w:ascii="Arial" w:hAnsi="Arial" w:cs="Arial"/>
                <w:sz w:val="24"/>
                <w:szCs w:val="24"/>
                <w:lang w:val="en-US"/>
              </w:rPr>
              <w:instrText>ADDIN CSL_CITATION {"citationItems":[{"id":"ITEM-1","itemData":{"DOI":"10.1073/pnas.1518189113","ISSN":"10916490","abstract":"The beneficial roles of probiotics in lowering the gastrointestinal inflammation and preventing colorectal cancer have been frequently demonstrated, but their immunomodulatory effects and mechanism in suppressing the growth of extraintestinal tumors remain unexplored. Here, we adopted a mouse model and metagenome sequencing to investigate the efficacy of probiotic feeding in controlling s.c. hepatocellular carcinoma (HCC) and the underlying mechanism suppressing the tumor progression. Our result demonstrated that Prohep, a novel probiotic mixture, slows down the tumor growth significantly and reduces the tumor size and weight by 40% compared with the control. From a mechanistic point of view the down-regulated IL-17 cytokine and its major producer Th17 cells, whose levels decreased drastically, played critical roles in tumor reduction upon probiotics feeding. Cell staining illustrated that the reduced Th17 cells in the tumor of the probiotictreated group is mainly caused by the reduced frequency of migratory Th17 cells from the intestine and peripheral blood. In addition, shotgun-metagenome sequencing revealed the crosstalk between gut microbial metabolites and the HCC development. Probiotics shifted the gut microbial community toward certain beneficial bacteria, including Prevotella and Oscillibacter, that are known producers of antiinflammatory metabolites, which subsequently reduced the Th17 polarization and promoted the differentiation of antiinflammatory Treg/Tr1 cells in the gut. Overall, our study offers novel insights into the mechanism by which probiotic treatment modulates the microbiota and influences the regulation of the T-cell differentiation in the gut, which in turn alters the level of the proinflammatory cytokines in the extraintestinal tumor microenvironment.","author":[{"dropping-particle":"","family":"Li","given":"Jun","non-dropping-particle":"","parse-names":false,"suffix":""},{"dropping-particle":"","family":"Sung","given":"Cecilia Ying Ju","non-dropping-particle":"","parse-names":false,"suffix":""},{"dropping-particle":"","family":"Lee","given":"Nikki","non-dropping-particle":"","parse-names":false,"suffix":""},{"dropping-particle":"","family":"Ni","given":"Yueqiong","non-dropping-particle":"","parse-names":false,"suffix":""},{"dropping-particle":"","family":"Pihlajamäki","given":"Jussi","non-dropping-particle":"","parse-names":false,"suffix":""},{"dropping-particle":"","family":"Panagiotou","given":"Gianni","non-dropping-particle":"","parse-names":false,"suffix":""},{"dropping-particle":"","family":"El-Nezami","given":"Hani","non-dropping-particle":"","parse-names":false,"suffix":""}],"container-title":"Proceedings of the National Academy of Sciences of the United States of America","id":"ITEM-1","issue":"9","issued":{"date-parts":[["2016","3","1"]]},"page":"E1306-E1315","publisher":"National Academy of Sciences","title":"Probiotics modulated gut microbiota suppresses hepatocellular carcinoma growth in mice","type":"article-journal","volume":"113"},"uris":["http://www.mendeley.com/documents/?uuid=197f165b-0aa0-37ed-ae5d-9980f8847d98"]}],"mendeley":{"formattedCitation":"(27)","plainTextFormattedCitation":"(27)","previouslyFormattedCitation":"(27)"},"properties":{"noteIndex":0},"schema":"https://github.com/citation-style-language/schema/raw/master/csl-citation.json"}</w:instrText>
            </w:r>
            <w:r>
              <w:rPr>
                <w:rFonts w:ascii="Arial" w:hAnsi="Arial" w:cs="Arial"/>
                <w:sz w:val="24"/>
                <w:szCs w:val="24"/>
                <w:lang w:val="en-US"/>
              </w:rPr>
              <w:fldChar w:fldCharType="separate"/>
            </w:r>
            <w:r w:rsidR="008B129A" w:rsidRPr="008B129A">
              <w:rPr>
                <w:rFonts w:ascii="Arial" w:hAnsi="Arial" w:cs="Arial"/>
                <w:noProof/>
                <w:sz w:val="24"/>
                <w:szCs w:val="24"/>
                <w:lang w:val="en-US"/>
              </w:rPr>
              <w:t>(27)</w:t>
            </w:r>
            <w:r>
              <w:rPr>
                <w:rFonts w:ascii="Arial" w:hAnsi="Arial" w:cs="Arial"/>
                <w:sz w:val="24"/>
                <w:szCs w:val="24"/>
                <w:lang w:val="en-US"/>
              </w:rPr>
              <w:fldChar w:fldCharType="end"/>
            </w:r>
          </w:p>
          <w:p w14:paraId="722DC5D7" w14:textId="4100D1BF" w:rsidR="000F6B4D" w:rsidRPr="0044392A" w:rsidRDefault="000F6B4D" w:rsidP="00AD4776">
            <w:pPr>
              <w:suppressLineNumbers/>
              <w:spacing w:line="360" w:lineRule="auto"/>
              <w:ind w:left="1110" w:hanging="1110"/>
              <w:jc w:val="center"/>
              <w:rPr>
                <w:rFonts w:ascii="Arial" w:hAnsi="Arial" w:cs="Arial"/>
                <w:sz w:val="24"/>
                <w:szCs w:val="24"/>
                <w:lang w:val="en-US"/>
              </w:rPr>
            </w:pPr>
          </w:p>
        </w:tc>
      </w:tr>
      <w:tr w:rsidR="000F6B4D" w:rsidRPr="000F6B4D" w14:paraId="53AF19FB" w14:textId="77777777" w:rsidTr="00B7650E">
        <w:trPr>
          <w:trHeight w:val="300"/>
          <w:jc w:val="center"/>
        </w:trPr>
        <w:tc>
          <w:tcPr>
            <w:tcW w:w="2078" w:type="dxa"/>
            <w:noWrap/>
            <w:vAlign w:val="center"/>
          </w:tcPr>
          <w:p w14:paraId="7307E32D" w14:textId="77777777" w:rsidR="000F6B4D" w:rsidRDefault="000F6B4D"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10A31E2D" w14:textId="694628DA" w:rsidR="000F6B4D" w:rsidRPr="00B35F96" w:rsidRDefault="000F6B4D" w:rsidP="000F6B4D">
            <w:pPr>
              <w:suppressLineNumbers/>
              <w:spacing w:line="360" w:lineRule="auto"/>
              <w:ind w:left="1110" w:right="-61" w:hanging="1110"/>
              <w:jc w:val="center"/>
              <w:rPr>
                <w:rFonts w:ascii="Arial" w:hAnsi="Arial" w:cs="Arial"/>
                <w:i/>
                <w:iCs/>
                <w:sz w:val="24"/>
                <w:szCs w:val="24"/>
                <w:lang w:val="en-US"/>
              </w:rPr>
            </w:pPr>
            <w:proofErr w:type="spellStart"/>
            <w:r>
              <w:rPr>
                <w:rFonts w:ascii="Arial" w:hAnsi="Arial" w:cs="Arial"/>
                <w:i/>
                <w:iCs/>
                <w:sz w:val="24"/>
                <w:szCs w:val="24"/>
                <w:lang w:val="en-US"/>
              </w:rPr>
              <w:t>Prevotella</w:t>
            </w:r>
            <w:proofErr w:type="spellEnd"/>
          </w:p>
        </w:tc>
        <w:tc>
          <w:tcPr>
            <w:tcW w:w="4050" w:type="dxa"/>
            <w:noWrap/>
            <w:vAlign w:val="center"/>
          </w:tcPr>
          <w:p w14:paraId="5CC95C51" w14:textId="5D6C8771" w:rsidR="000F6B4D" w:rsidRPr="000163B9" w:rsidRDefault="008B129A" w:rsidP="00AD4776">
            <w:pPr>
              <w:suppressLineNumbers/>
              <w:spacing w:line="360" w:lineRule="auto"/>
              <w:jc w:val="center"/>
              <w:rPr>
                <w:rFonts w:ascii="Arial" w:hAnsi="Arial" w:cs="Arial"/>
                <w:sz w:val="24"/>
                <w:szCs w:val="24"/>
                <w:lang w:val="en-US"/>
              </w:rPr>
            </w:pPr>
            <w:r>
              <w:rPr>
                <w:rFonts w:ascii="Arial" w:hAnsi="Arial" w:cs="Arial"/>
                <w:sz w:val="24"/>
                <w:szCs w:val="24"/>
                <w:lang w:val="en-US"/>
              </w:rPr>
              <w:t xml:space="preserve">Acetate </w:t>
            </w:r>
            <w:r>
              <w:rPr>
                <w:rFonts w:ascii="Arial" w:hAnsi="Arial" w:cs="Arial"/>
                <w:sz w:val="24"/>
                <w:szCs w:val="24"/>
                <w:lang w:val="en-US"/>
              </w:rPr>
              <w:fldChar w:fldCharType="begin" w:fldLock="1"/>
            </w:r>
            <w:r w:rsidR="00D77F5F">
              <w:rPr>
                <w:rFonts w:ascii="Arial" w:hAnsi="Arial" w:cs="Arial"/>
                <w:sz w:val="24"/>
                <w:szCs w:val="24"/>
                <w:lang w:val="en-US"/>
              </w:rPr>
              <w:instrText>ADDIN CSL_CITATION {"citationItems":[{"id":"ITEM-1","itemData":{"DOI":"10.3389/fphar.2018.01354","ISSN":"16639812","abstract":"As an important source for traditional medical systems such as Ayurvedic medicine and traditional Chinese medicine, herbal medicines have received widespread attentions from all over the world, especially in developing countries. Over the past decade, studies on gut microbiota have generated rich information for understanding how gut microbiota shape the functioning of our body system. In view of the importance of gut microbiota, the researchers engaged in studying herbal medicines have paid more and more attention to gut microbiota and gut microbiota metabolites. Among a variety of gut microbiota metabolites, short-chain fatty acids (SCFAs) have received most attention because of their important role in maintaining the hemostasis of hosts and recovery of diseases. Herbal medicines, as an important resource provider for production of SCFAs, have been demonstrated to be able to modulate gut microbiota composition and regulate SCFAs production. In this mini-review, we summarize current knowledge about SCFAs origination, the role of SCFAs in health and disease, the influence of herbal medicine on SCFAs production and the corresponding mechanisms. At the end of this review, the strategies and suggestions for further research of SCFAs and herbal medicines are also discussed.","author":[{"dropping-particle":"","family":"Feng","given":"Wuwen","non-dropping-particle":"","parse-names":false,"suffix":""},{"dropping-particle":"","family":"Ao","given":"Hui","non-dropping-particle":"","parse-names":false,"suffix":""},{"dropping-particle":"","family":"Peng","given":"Cheng","non-dropping-particle":"","parse-names":false,"suffix":""}],"container-title":"Frontiers in Pharmacology","id":"ITEM-1","issue":"NOV","issued":{"date-parts":[["2018","11","23"]]},"page":"1354","publisher":"Frontiers Media S.A.","title":"Gut microbiota, short-chain fatty acids, and herbal medicines","type":"article-journal","volume":"9"},"uris":["http://www.mendeley.com/documents/?uuid=e8b94239-ff0d-3dc2-a3db-85f82fbc915a"]}],"mendeley":{"formattedCitation":"(2)","plainTextFormattedCitation":"(2)","previouslyFormattedCitation":"(2)"},"properties":{"noteIndex":0},"schema":"https://github.com/citation-style-language/schema/raw/master/csl-citation.json"}</w:instrText>
            </w:r>
            <w:r>
              <w:rPr>
                <w:rFonts w:ascii="Arial" w:hAnsi="Arial" w:cs="Arial"/>
                <w:sz w:val="24"/>
                <w:szCs w:val="24"/>
                <w:lang w:val="en-US"/>
              </w:rPr>
              <w:fldChar w:fldCharType="separate"/>
            </w:r>
            <w:r w:rsidRPr="008B129A">
              <w:rPr>
                <w:rFonts w:ascii="Arial" w:hAnsi="Arial" w:cs="Arial"/>
                <w:noProof/>
                <w:sz w:val="24"/>
                <w:szCs w:val="24"/>
                <w:lang w:val="en-US"/>
              </w:rPr>
              <w:t>(2)</w:t>
            </w:r>
            <w:r>
              <w:rPr>
                <w:rFonts w:ascii="Arial" w:hAnsi="Arial" w:cs="Arial"/>
                <w:sz w:val="24"/>
                <w:szCs w:val="24"/>
                <w:lang w:val="en-US"/>
              </w:rPr>
              <w:fldChar w:fldCharType="end"/>
            </w:r>
            <w:r>
              <w:rPr>
                <w:rFonts w:ascii="Arial" w:hAnsi="Arial" w:cs="Arial"/>
                <w:sz w:val="24"/>
                <w:szCs w:val="24"/>
                <w:lang w:val="en-US"/>
              </w:rPr>
              <w:t xml:space="preserve"> and propionate </w:t>
            </w:r>
            <w:r>
              <w:rPr>
                <w:rFonts w:ascii="Arial" w:hAnsi="Arial" w:cs="Arial"/>
                <w:sz w:val="24"/>
                <w:szCs w:val="24"/>
                <w:lang w:val="en-US"/>
              </w:rPr>
              <w:fldChar w:fldCharType="begin" w:fldLock="1"/>
            </w:r>
            <w:r>
              <w:rPr>
                <w:rFonts w:ascii="Arial" w:hAnsi="Arial" w:cs="Arial"/>
                <w:sz w:val="24"/>
                <w:szCs w:val="24"/>
                <w:lang w:val="en-US"/>
              </w:rPr>
              <w:instrText>ADDIN CSL_CITATION {"citationItems":[{"id":"ITEM-1","itemData":{"DOI":"10.1073/pnas.1518189113","ISSN":"10916490","abstract":"The beneficial roles of probiotics in lowering the gastrointestinal inflammation and preventing colorectal cancer have been frequently demonstrated, but their immunomodulatory effects and mechanism in suppressing the growth of extraintestinal tumors remain unexplored. Here, we adopted a mouse model and metagenome sequencing to investigate the efficacy of probiotic feeding in controlling s.c. hepatocellular carcinoma (HCC) and the underlying mechanism suppressing the tumor progression. Our result demonstrated that Prohep, a novel probiotic mixture, slows down the tumor growth significantly and reduces the tumor size and weight by 40% compared with the control. From a mechanistic point of view the down-regulated IL-17 cytokine and its major producer Th17 cells, whose levels decreased drastically, played critical roles in tumor reduction upon probiotics feeding. Cell staining illustrated that the reduced Th17 cells in the tumor of the probiotictreated group is mainly caused by the reduced frequency of migratory Th17 cells from the intestine and peripheral blood. In addition, shotgun-metagenome sequencing revealed the crosstalk between gut microbial metabolites and the HCC development. Probiotics shifted the gut microbial community toward certain beneficial bacteria, including Prevotella and Oscillibacter, that are known producers of antiinflammatory metabolites, which subsequently reduced the Th17 polarization and promoted the differentiation of antiinflammatory Treg/Tr1 cells in the gut. Overall, our study offers novel insights into the mechanism by which probiotic treatment modulates the microbiota and influences the regulation of the T-cell differentiation in the gut, which in turn alters the level of the proinflammatory cytokines in the extraintestinal tumor microenvironment.","author":[{"dropping-particle":"","family":"Li","given":"Jun","non-dropping-particle":"","parse-names":false,"suffix":""},{"dropping-particle":"","family":"Sung","given":"Cecilia Ying Ju","non-dropping-particle":"","parse-names":false,"suffix":""},{"dropping-particle":"","family":"Lee","given":"Nikki","non-dropping-particle":"","parse-names":false,"suffix":""},{"dropping-particle":"","family":"Ni","given":"Yueqiong","non-dropping-particle":"","parse-names":false,"suffix":""},{"dropping-particle":"","family":"Pihlajamäki","given":"Jussi","non-dropping-particle":"","parse-names":false,"suffix":""},{"dropping-particle":"","family":"Panagiotou","given":"Gianni","non-dropping-particle":"","parse-names":false,"suffix":""},{"dropping-particle":"","family":"El-Nezami","given":"Hani","non-dropping-particle":"","parse-names":false,"suffix":""}],"container-title":"Proceedings of the National Academy of Sciences of the United States of America","id":"ITEM-1","issue":"9","issued":{"date-parts":[["2016","3","1"]]},"page":"E1306-E1315","publisher":"National Academy of Sciences","title":"Probiotics modulated gut microbiota suppresses hepatocellular carcinoma growth in mice","type":"article-journal","volume":"113"},"uris":["http://www.mendeley.com/documents/?uuid=197f165b-0aa0-37ed-ae5d-9980f8847d98"]}],"mendeley":{"formattedCitation":"(27)","plainTextFormattedCitation":"(27)","previouslyFormattedCitation":"(27)"},"properties":{"noteIndex":0},"schema":"https://github.com/citation-style-language/schema/raw/master/csl-citation.json"}</w:instrText>
            </w:r>
            <w:r>
              <w:rPr>
                <w:rFonts w:ascii="Arial" w:hAnsi="Arial" w:cs="Arial"/>
                <w:sz w:val="24"/>
                <w:szCs w:val="24"/>
                <w:lang w:val="en-US"/>
              </w:rPr>
              <w:fldChar w:fldCharType="separate"/>
            </w:r>
            <w:r w:rsidRPr="008B129A">
              <w:rPr>
                <w:rFonts w:ascii="Arial" w:hAnsi="Arial" w:cs="Arial"/>
                <w:noProof/>
                <w:sz w:val="24"/>
                <w:szCs w:val="24"/>
                <w:lang w:val="en-US"/>
              </w:rPr>
              <w:t>(27)</w:t>
            </w:r>
            <w:r>
              <w:rPr>
                <w:rFonts w:ascii="Arial" w:hAnsi="Arial" w:cs="Arial"/>
                <w:sz w:val="24"/>
                <w:szCs w:val="24"/>
                <w:lang w:val="en-US"/>
              </w:rPr>
              <w:fldChar w:fldCharType="end"/>
            </w:r>
            <w:r w:rsidR="00D77F5F">
              <w:rPr>
                <w:rFonts w:ascii="Arial" w:hAnsi="Arial" w:cs="Arial"/>
                <w:sz w:val="24"/>
                <w:szCs w:val="24"/>
                <w:lang w:val="en-US"/>
              </w:rPr>
              <w:t xml:space="preserve"> </w:t>
            </w:r>
            <w:r>
              <w:rPr>
                <w:rFonts w:ascii="Arial" w:hAnsi="Arial" w:cs="Arial"/>
                <w:sz w:val="24"/>
                <w:szCs w:val="24"/>
                <w:lang w:val="en-US"/>
              </w:rPr>
              <w:t xml:space="preserve">producer </w:t>
            </w:r>
          </w:p>
        </w:tc>
        <w:tc>
          <w:tcPr>
            <w:tcW w:w="5244" w:type="dxa"/>
            <w:noWrap/>
            <w:vAlign w:val="center"/>
          </w:tcPr>
          <w:p w14:paraId="33E78391" w14:textId="77777777" w:rsidR="000F6B4D" w:rsidRPr="0044392A" w:rsidRDefault="000F6B4D" w:rsidP="00AD4776">
            <w:pPr>
              <w:suppressLineNumbers/>
              <w:spacing w:line="360" w:lineRule="auto"/>
              <w:ind w:left="1110" w:hanging="1110"/>
              <w:jc w:val="center"/>
              <w:rPr>
                <w:rFonts w:ascii="Arial" w:hAnsi="Arial" w:cs="Arial"/>
                <w:sz w:val="24"/>
                <w:szCs w:val="24"/>
                <w:lang w:val="en-US"/>
              </w:rPr>
            </w:pPr>
          </w:p>
        </w:tc>
      </w:tr>
      <w:tr w:rsidR="00436D07" w:rsidRPr="00FA660F" w14:paraId="1F7A47F1" w14:textId="77777777" w:rsidTr="00B7650E">
        <w:trPr>
          <w:trHeight w:val="300"/>
          <w:jc w:val="center"/>
        </w:trPr>
        <w:tc>
          <w:tcPr>
            <w:tcW w:w="2078" w:type="dxa"/>
            <w:noWrap/>
            <w:vAlign w:val="center"/>
          </w:tcPr>
          <w:p w14:paraId="6A997B40" w14:textId="77777777" w:rsidR="00436D07" w:rsidRDefault="00436D07" w:rsidP="00AD4776">
            <w:pPr>
              <w:suppressLineNumbers/>
              <w:spacing w:line="360" w:lineRule="auto"/>
              <w:ind w:left="888" w:hanging="851"/>
              <w:jc w:val="center"/>
              <w:rPr>
                <w:rFonts w:ascii="Arial" w:hAnsi="Arial" w:cs="Arial"/>
                <w:sz w:val="24"/>
                <w:szCs w:val="24"/>
                <w:lang w:val="en-US"/>
              </w:rPr>
            </w:pPr>
          </w:p>
        </w:tc>
        <w:tc>
          <w:tcPr>
            <w:tcW w:w="2803" w:type="dxa"/>
            <w:noWrap/>
            <w:vAlign w:val="center"/>
          </w:tcPr>
          <w:p w14:paraId="1D1A2D5B" w14:textId="4DF880C7" w:rsidR="00436D07" w:rsidRDefault="00436D07" w:rsidP="000F6B4D">
            <w:pPr>
              <w:suppressLineNumbers/>
              <w:spacing w:line="360" w:lineRule="auto"/>
              <w:ind w:left="1110" w:right="-61" w:hanging="1110"/>
              <w:jc w:val="center"/>
              <w:rPr>
                <w:rFonts w:ascii="Arial" w:hAnsi="Arial" w:cs="Arial"/>
                <w:i/>
                <w:iCs/>
                <w:sz w:val="24"/>
                <w:szCs w:val="24"/>
                <w:lang w:val="en-US"/>
              </w:rPr>
            </w:pPr>
            <w:proofErr w:type="spellStart"/>
            <w:r>
              <w:rPr>
                <w:rFonts w:ascii="Arial" w:hAnsi="Arial" w:cs="Arial"/>
                <w:i/>
                <w:iCs/>
                <w:sz w:val="24"/>
                <w:szCs w:val="24"/>
                <w:lang w:val="en-US"/>
              </w:rPr>
              <w:t>Desulfovibrio</w:t>
            </w:r>
            <w:proofErr w:type="spellEnd"/>
          </w:p>
        </w:tc>
        <w:tc>
          <w:tcPr>
            <w:tcW w:w="4050" w:type="dxa"/>
            <w:noWrap/>
            <w:vAlign w:val="center"/>
          </w:tcPr>
          <w:p w14:paraId="104AAD24" w14:textId="121A0A5C" w:rsidR="00436D07" w:rsidRPr="000163B9" w:rsidRDefault="00D77F5F" w:rsidP="00AD4776">
            <w:pPr>
              <w:suppressLineNumbers/>
              <w:spacing w:line="360" w:lineRule="auto"/>
              <w:jc w:val="center"/>
              <w:rPr>
                <w:rFonts w:ascii="Arial" w:hAnsi="Arial" w:cs="Arial"/>
                <w:sz w:val="24"/>
                <w:szCs w:val="24"/>
                <w:lang w:val="en-US"/>
              </w:rPr>
            </w:pPr>
            <w:r>
              <w:rPr>
                <w:rFonts w:ascii="Arial" w:hAnsi="Arial" w:cs="Arial"/>
                <w:sz w:val="24"/>
                <w:szCs w:val="24"/>
                <w:lang w:val="en-US"/>
              </w:rPr>
              <w:t xml:space="preserve">Sulphate-reducing </w:t>
            </w:r>
            <w:r>
              <w:rPr>
                <w:rFonts w:ascii="Arial" w:hAnsi="Arial" w:cs="Arial"/>
                <w:sz w:val="24"/>
                <w:szCs w:val="24"/>
                <w:lang w:val="en-US"/>
              </w:rPr>
              <w:fldChar w:fldCharType="begin" w:fldLock="1"/>
            </w:r>
            <w:r>
              <w:rPr>
                <w:rFonts w:ascii="Arial" w:hAnsi="Arial" w:cs="Arial"/>
                <w:sz w:val="24"/>
                <w:szCs w:val="24"/>
                <w:lang w:val="en-US"/>
              </w:rPr>
              <w:instrText>ADDIN CSL_CITATION {"citationItems":[{"id":"ITEM-1","itemData":{"DOI":"10.1111/lam.13149","ISSN":"0266-8254","abstract":"Desulfovibrio spp. is predominant member of sulphate-reducing bacteria in human gut microbiota. Previous studies indicated that the isolation of Desulfovibrio strains from human faecal samples is very important to study the roles of human intestinal Desulfovibrio spp. in maintaining healthy states or causing diseases, as well as defining their biological characteristics. However, there are very few reports describing the isolation of Desulfovibrio spp. from human faecal samples. In this study, faecal samples were inoculated into various media containing different components. The enriched culture communities were identified using 16S rRNA gene high-throughput sequencing analysis, enabling us to identify the specific components that enable the enrichment of Desulfovibrio. Using this information, we developed five specific media and identified an effective enrichment medium that produced the highest relative abundance of Desulfovibrio in communities cultured from four faecal samples (26·5, 73·5, 44·7 and 77·6% respectively). In addition, the major non-Desulfovibrio genera were identified. Finally, three species of Desulfovibrio, D. desulfuricans, D. piger and D. legallii were isolated, representing the first time that has D. legallii been isolated from a human gastrointestinal source. Significance and Impact of the Study: ost of the human intestinal bacteria have not been cultured because of lack of appropriate culture method and appropriate media. Desulfovibrio spp. is associated with several clinical conditions like inflammatory bowel disease, but until now there are very few reports describing the isolation of Desulfovibrio spp. from human faecal samples. In this study, 16S rRNA gene high-throughput sequencing analysis was applied to screen appropriate enrichment media and selective cultivation of Desulfovibrio. This sequencing-based directed culture method described here can be used for the selective cultivation of gut bacteria of interest.","author":[{"dropping-particle":"","family":"Chen","given":"Y.</w:instrText>
            </w:r>
            <w:r>
              <w:rPr>
                <w:rFonts w:ascii="Cambria Math" w:hAnsi="Cambria Math" w:cs="Cambria Math"/>
                <w:sz w:val="24"/>
                <w:szCs w:val="24"/>
                <w:lang w:val="en-US"/>
              </w:rPr>
              <w:instrText>‐</w:instrText>
            </w:r>
            <w:r>
              <w:rPr>
                <w:rFonts w:ascii="Arial" w:hAnsi="Arial" w:cs="Arial"/>
                <w:sz w:val="24"/>
                <w:szCs w:val="24"/>
                <w:lang w:val="en-US"/>
              </w:rPr>
              <w:instrText>R.","non-dropping-particle":"","parse-names":false,"suffix":""},{"dropping-particle":"","family":"Zhou","given":"L.</w:instrText>
            </w:r>
            <w:r>
              <w:rPr>
                <w:rFonts w:ascii="Cambria Math" w:hAnsi="Cambria Math" w:cs="Cambria Math"/>
                <w:sz w:val="24"/>
                <w:szCs w:val="24"/>
                <w:lang w:val="en-US"/>
              </w:rPr>
              <w:instrText>‐</w:instrText>
            </w:r>
            <w:r>
              <w:rPr>
                <w:rFonts w:ascii="Arial" w:hAnsi="Arial" w:cs="Arial"/>
                <w:sz w:val="24"/>
                <w:szCs w:val="24"/>
                <w:lang w:val="en-US"/>
              </w:rPr>
              <w:instrText>Z.","non-dropping-particle":"","parse-names":false,"suffix":""},{"dropping-particle":"","family":"Fang","given":"S.</w:instrText>
            </w:r>
            <w:r>
              <w:rPr>
                <w:rFonts w:ascii="Cambria Math" w:hAnsi="Cambria Math" w:cs="Cambria Math"/>
                <w:sz w:val="24"/>
                <w:szCs w:val="24"/>
                <w:lang w:val="en-US"/>
              </w:rPr>
              <w:instrText>‐</w:instrText>
            </w:r>
            <w:r>
              <w:rPr>
                <w:rFonts w:ascii="Arial" w:hAnsi="Arial" w:cs="Arial"/>
                <w:sz w:val="24"/>
                <w:szCs w:val="24"/>
                <w:lang w:val="en-US"/>
              </w:rPr>
              <w:instrText>T.","non-dropping-particle":"","parse-names":false,"suffix":""},{"dropping-particle":"","family":"Long","given":"H.</w:instrText>
            </w:r>
            <w:r>
              <w:rPr>
                <w:rFonts w:ascii="Cambria Math" w:hAnsi="Cambria Math" w:cs="Cambria Math"/>
                <w:sz w:val="24"/>
                <w:szCs w:val="24"/>
                <w:lang w:val="en-US"/>
              </w:rPr>
              <w:instrText>‐</w:instrText>
            </w:r>
            <w:r>
              <w:rPr>
                <w:rFonts w:ascii="Arial" w:hAnsi="Arial" w:cs="Arial"/>
                <w:sz w:val="24"/>
                <w:szCs w:val="24"/>
                <w:lang w:val="en-US"/>
              </w:rPr>
              <w:instrText>Y.","non-dropping-particle":"","parse-names":false,"suffix":""},{"dropping-particle":"","family":"Chen","given":"J.</w:instrText>
            </w:r>
            <w:r>
              <w:rPr>
                <w:rFonts w:ascii="Cambria Math" w:hAnsi="Cambria Math" w:cs="Cambria Math"/>
                <w:sz w:val="24"/>
                <w:szCs w:val="24"/>
                <w:lang w:val="en-US"/>
              </w:rPr>
              <w:instrText>‐</w:instrText>
            </w:r>
            <w:r>
              <w:rPr>
                <w:rFonts w:ascii="Arial" w:hAnsi="Arial" w:cs="Arial"/>
                <w:sz w:val="24"/>
                <w:szCs w:val="24"/>
                <w:lang w:val="en-US"/>
              </w:rPr>
              <w:instrText>Y.","non-dropping-particle":"","parse-names":false,"suffix":""},{"dropping-particle":"","family":"Zhang","given":"G.</w:instrText>
            </w:r>
            <w:r>
              <w:rPr>
                <w:rFonts w:ascii="Cambria Math" w:hAnsi="Cambria Math" w:cs="Cambria Math"/>
                <w:sz w:val="24"/>
                <w:szCs w:val="24"/>
                <w:lang w:val="en-US"/>
              </w:rPr>
              <w:instrText>‐</w:instrText>
            </w:r>
            <w:r>
              <w:rPr>
                <w:rFonts w:ascii="Arial" w:hAnsi="Arial" w:cs="Arial"/>
                <w:sz w:val="24"/>
                <w:szCs w:val="24"/>
                <w:lang w:val="en-US"/>
              </w:rPr>
              <w:instrText>X.","non-dropping-particle":"","parse-names":false,"suffix":""}],"container-title":"Letters in Applied Microbiology","id":"ITEM-1","issue":"6","issued":{"date-parts":[["2019","6","3"]]},"page":"553-561","publisher":"Blackwell Publishing Ltd","title":"Isolation of &lt;i&gt;Desulfovibrio&lt;/i&gt; spp. from human gut microbiota using a next</w:instrText>
            </w:r>
            <w:r>
              <w:rPr>
                <w:rFonts w:ascii="Cambria Math" w:hAnsi="Cambria Math" w:cs="Cambria Math"/>
                <w:sz w:val="24"/>
                <w:szCs w:val="24"/>
                <w:lang w:val="en-US"/>
              </w:rPr>
              <w:instrText>‐</w:instrText>
            </w:r>
            <w:r>
              <w:rPr>
                <w:rFonts w:ascii="Arial" w:hAnsi="Arial" w:cs="Arial"/>
                <w:sz w:val="24"/>
                <w:szCs w:val="24"/>
                <w:lang w:val="en-US"/>
              </w:rPr>
              <w:instrText>generation sequencing directed culture method","type":"article-journal","volume":"68"},"uris":["http://www.mendeley.com/documents/?uuid=22b48191-dd65-37c6-bebd-77d651e24aa0"]}],"mendeley":{"formattedCitation":"(28)","plainTextFormattedCitation":"(28)","previouslyFormattedCitation":"(28)"},"properties":{"noteIndex":0},"schema":"https://github.com/citation-style-language/schema/raw/master/csl-citation.json"}</w:instrText>
            </w:r>
            <w:r>
              <w:rPr>
                <w:rFonts w:ascii="Arial" w:hAnsi="Arial" w:cs="Arial"/>
                <w:sz w:val="24"/>
                <w:szCs w:val="24"/>
                <w:lang w:val="en-US"/>
              </w:rPr>
              <w:fldChar w:fldCharType="separate"/>
            </w:r>
            <w:r w:rsidRPr="00D77F5F">
              <w:rPr>
                <w:rFonts w:ascii="Arial" w:hAnsi="Arial" w:cs="Arial"/>
                <w:noProof/>
                <w:sz w:val="24"/>
                <w:szCs w:val="24"/>
                <w:lang w:val="en-US"/>
              </w:rPr>
              <w:t>(28)</w:t>
            </w:r>
            <w:r>
              <w:rPr>
                <w:rFonts w:ascii="Arial" w:hAnsi="Arial" w:cs="Arial"/>
                <w:sz w:val="24"/>
                <w:szCs w:val="24"/>
                <w:lang w:val="en-US"/>
              </w:rPr>
              <w:fldChar w:fldCharType="end"/>
            </w:r>
            <w:r>
              <w:rPr>
                <w:rFonts w:ascii="Arial" w:hAnsi="Arial" w:cs="Arial"/>
                <w:sz w:val="24"/>
                <w:szCs w:val="24"/>
                <w:lang w:val="en-US"/>
              </w:rPr>
              <w:t xml:space="preserve"> </w:t>
            </w:r>
          </w:p>
        </w:tc>
        <w:tc>
          <w:tcPr>
            <w:tcW w:w="5244" w:type="dxa"/>
            <w:noWrap/>
            <w:vAlign w:val="center"/>
          </w:tcPr>
          <w:p w14:paraId="1BE0F095" w14:textId="5065C5BD" w:rsidR="00436D07" w:rsidRPr="0044392A" w:rsidRDefault="00D77F5F" w:rsidP="00AD4776">
            <w:pPr>
              <w:suppressLineNumbers/>
              <w:spacing w:line="360" w:lineRule="auto"/>
              <w:ind w:left="1110" w:hanging="1110"/>
              <w:jc w:val="center"/>
              <w:rPr>
                <w:rFonts w:ascii="Arial" w:hAnsi="Arial" w:cs="Arial"/>
                <w:sz w:val="24"/>
                <w:szCs w:val="24"/>
                <w:lang w:val="en-US"/>
              </w:rPr>
            </w:pPr>
            <w:r>
              <w:rPr>
                <w:rFonts w:ascii="Arial" w:hAnsi="Arial" w:cs="Arial"/>
                <w:sz w:val="24"/>
                <w:szCs w:val="24"/>
                <w:lang w:val="en-US"/>
              </w:rPr>
              <w:t xml:space="preserve">Related to inflammatory bowel disease </w:t>
            </w:r>
            <w:r>
              <w:rPr>
                <w:rFonts w:ascii="Arial" w:hAnsi="Arial" w:cs="Arial"/>
                <w:sz w:val="24"/>
                <w:szCs w:val="24"/>
                <w:lang w:val="en-US"/>
              </w:rPr>
              <w:fldChar w:fldCharType="begin" w:fldLock="1"/>
            </w:r>
            <w:r>
              <w:rPr>
                <w:rFonts w:ascii="Arial" w:hAnsi="Arial" w:cs="Arial"/>
                <w:sz w:val="24"/>
                <w:szCs w:val="24"/>
                <w:lang w:val="en-US"/>
              </w:rPr>
              <w:instrText>ADDIN CSL_CITATION {"citationItems":[{"id":"ITEM-1","itemData":{"DOI":"10.1111/lam.13149","ISSN":"0266-8254","abstract":"Desulfovibrio spp. is predominant member of sulphate-reducing bacteria in human gut microbiota. Previous studies indicated that the isolation of Desulfovibrio strains from human faecal samples is very important to study the roles of human intestinal Desulfovibrio spp. in maintaining healthy states or causing diseases, as well as defining their biological characteristics. However, there are very few reports describing the isolation of Desulfovibrio spp. from human faecal samples. In this study, faecal samples were inoculated into various media containing different components. The enriched culture communities were identified using 16S rRNA gene high-throughput sequencing analysis, enabling us to identify the specific components that enable the enrichment of Desulfovibrio. Using this information, we developed five specific media and identified an effective enrichment medium that produced the highest relative abundance of Desulfovibrio in communities cultured from four faecal samples (26·5, 73·5, 44·7 and 77·6% respectively). In addition, the major non-Desulfovibrio genera were identified. Finally, three species of Desulfovibrio, D. desulfuricans, D. piger and D. legallii were isolated, representing the first time that has D. legallii been isolated from a human gastrointestinal source. Significance and Impact of the Study: ost of the human intestinal bacteria have not been cultured because of lack of appropriate culture method and appropriate media. Desulfovibrio spp. is associated with several clinical conditions like inflammatory bowel disease, but until now there are very few reports describing the isolation of Desulfovibrio spp. from human faecal samples. In this study, 16S rRNA gene high-throughput sequencing analysis was applied to screen appropriate enrichment media and selective cultivation of Desulfovibrio. This sequencing-based directed culture method described here can be used for the selective cultivation of gut bacteria of interest.","author":[{"dropping-particle":"","family":"Chen","given":"Y.</w:instrText>
            </w:r>
            <w:r>
              <w:rPr>
                <w:rFonts w:ascii="Cambria Math" w:hAnsi="Cambria Math" w:cs="Cambria Math"/>
                <w:sz w:val="24"/>
                <w:szCs w:val="24"/>
                <w:lang w:val="en-US"/>
              </w:rPr>
              <w:instrText>‐</w:instrText>
            </w:r>
            <w:r>
              <w:rPr>
                <w:rFonts w:ascii="Arial" w:hAnsi="Arial" w:cs="Arial"/>
                <w:sz w:val="24"/>
                <w:szCs w:val="24"/>
                <w:lang w:val="en-US"/>
              </w:rPr>
              <w:instrText>R.","non-dropping-particle":"","parse-names":false,"suffix":""},{"dropping-particle":"","family":"Zhou","given":"L.</w:instrText>
            </w:r>
            <w:r>
              <w:rPr>
                <w:rFonts w:ascii="Cambria Math" w:hAnsi="Cambria Math" w:cs="Cambria Math"/>
                <w:sz w:val="24"/>
                <w:szCs w:val="24"/>
                <w:lang w:val="en-US"/>
              </w:rPr>
              <w:instrText>‐</w:instrText>
            </w:r>
            <w:r>
              <w:rPr>
                <w:rFonts w:ascii="Arial" w:hAnsi="Arial" w:cs="Arial"/>
                <w:sz w:val="24"/>
                <w:szCs w:val="24"/>
                <w:lang w:val="en-US"/>
              </w:rPr>
              <w:instrText>Z.","non-dropping-particle":"","parse-names":false,"suffix":""},{"dropping-particle":"","family":"Fang","given":"S.</w:instrText>
            </w:r>
            <w:r>
              <w:rPr>
                <w:rFonts w:ascii="Cambria Math" w:hAnsi="Cambria Math" w:cs="Cambria Math"/>
                <w:sz w:val="24"/>
                <w:szCs w:val="24"/>
                <w:lang w:val="en-US"/>
              </w:rPr>
              <w:instrText>‐</w:instrText>
            </w:r>
            <w:r>
              <w:rPr>
                <w:rFonts w:ascii="Arial" w:hAnsi="Arial" w:cs="Arial"/>
                <w:sz w:val="24"/>
                <w:szCs w:val="24"/>
                <w:lang w:val="en-US"/>
              </w:rPr>
              <w:instrText>T.","non-dropping-particle":"","parse-names":false,"suffix":""},{"dropping-particle":"","family":"Long","given":"H.</w:instrText>
            </w:r>
            <w:r>
              <w:rPr>
                <w:rFonts w:ascii="Cambria Math" w:hAnsi="Cambria Math" w:cs="Cambria Math"/>
                <w:sz w:val="24"/>
                <w:szCs w:val="24"/>
                <w:lang w:val="en-US"/>
              </w:rPr>
              <w:instrText>‐</w:instrText>
            </w:r>
            <w:r>
              <w:rPr>
                <w:rFonts w:ascii="Arial" w:hAnsi="Arial" w:cs="Arial"/>
                <w:sz w:val="24"/>
                <w:szCs w:val="24"/>
                <w:lang w:val="en-US"/>
              </w:rPr>
              <w:instrText>Y.","non-dropping-particle":"","parse-names":false,"suffix":""},{"dropping-particle":"","family":"Chen","given":"J.</w:instrText>
            </w:r>
            <w:r>
              <w:rPr>
                <w:rFonts w:ascii="Cambria Math" w:hAnsi="Cambria Math" w:cs="Cambria Math"/>
                <w:sz w:val="24"/>
                <w:szCs w:val="24"/>
                <w:lang w:val="en-US"/>
              </w:rPr>
              <w:instrText>‐</w:instrText>
            </w:r>
            <w:r>
              <w:rPr>
                <w:rFonts w:ascii="Arial" w:hAnsi="Arial" w:cs="Arial"/>
                <w:sz w:val="24"/>
                <w:szCs w:val="24"/>
                <w:lang w:val="en-US"/>
              </w:rPr>
              <w:instrText>Y.","non-dropping-particle":"","parse-names":false,"suffix":""},{"dropping-particle":"","family":"Zhang","given":"G.</w:instrText>
            </w:r>
            <w:r>
              <w:rPr>
                <w:rFonts w:ascii="Cambria Math" w:hAnsi="Cambria Math" w:cs="Cambria Math"/>
                <w:sz w:val="24"/>
                <w:szCs w:val="24"/>
                <w:lang w:val="en-US"/>
              </w:rPr>
              <w:instrText>‐</w:instrText>
            </w:r>
            <w:r>
              <w:rPr>
                <w:rFonts w:ascii="Arial" w:hAnsi="Arial" w:cs="Arial"/>
                <w:sz w:val="24"/>
                <w:szCs w:val="24"/>
                <w:lang w:val="en-US"/>
              </w:rPr>
              <w:instrText>X.","non-dropping-particle":"","parse-names":false,"suffix":""}],"container-title":"Letters in Applied Microbiology","id":"ITEM-1","issue":"6","issued":{"date-parts":[["2019","6","3"]]},"page":"553-561","publisher":"Blackwell Publishing Ltd","title":"Isolation of &lt;i&gt;Desulfovibrio&lt;/i&gt; spp. from human gut microbiota using a next</w:instrText>
            </w:r>
            <w:r>
              <w:rPr>
                <w:rFonts w:ascii="Cambria Math" w:hAnsi="Cambria Math" w:cs="Cambria Math"/>
                <w:sz w:val="24"/>
                <w:szCs w:val="24"/>
                <w:lang w:val="en-US"/>
              </w:rPr>
              <w:instrText>‐</w:instrText>
            </w:r>
            <w:r>
              <w:rPr>
                <w:rFonts w:ascii="Arial" w:hAnsi="Arial" w:cs="Arial"/>
                <w:sz w:val="24"/>
                <w:szCs w:val="24"/>
                <w:lang w:val="en-US"/>
              </w:rPr>
              <w:instrText>generation sequencing directed culture method","type":"article-journal","volume":"68"},"uris":["http://www.mendeley.com/documents/?uuid=22b48191-dd65-37c6-bebd-77d651e24aa0"]}],"mendeley":{"formattedCitation":"(28)","plainTextFormattedCitation":"(28)"},"properties":{"noteIndex":0},"schema":"https://github.com/citation-style-language/schema/raw/master/csl-citation.json"}</w:instrText>
            </w:r>
            <w:r>
              <w:rPr>
                <w:rFonts w:ascii="Arial" w:hAnsi="Arial" w:cs="Arial"/>
                <w:sz w:val="24"/>
                <w:szCs w:val="24"/>
                <w:lang w:val="en-US"/>
              </w:rPr>
              <w:fldChar w:fldCharType="separate"/>
            </w:r>
            <w:r w:rsidRPr="00D77F5F">
              <w:rPr>
                <w:rFonts w:ascii="Arial" w:hAnsi="Arial" w:cs="Arial"/>
                <w:noProof/>
                <w:sz w:val="24"/>
                <w:szCs w:val="24"/>
                <w:lang w:val="en-US"/>
              </w:rPr>
              <w:t>(28)</w:t>
            </w:r>
            <w:r>
              <w:rPr>
                <w:rFonts w:ascii="Arial" w:hAnsi="Arial" w:cs="Arial"/>
                <w:sz w:val="24"/>
                <w:szCs w:val="24"/>
                <w:lang w:val="en-US"/>
              </w:rPr>
              <w:fldChar w:fldCharType="end"/>
            </w:r>
          </w:p>
        </w:tc>
      </w:tr>
      <w:bookmarkEnd w:id="4"/>
    </w:tbl>
    <w:p w14:paraId="240B5B17" w14:textId="2B482720" w:rsidR="00E126D0" w:rsidRPr="00F26D3F" w:rsidRDefault="00E126D0" w:rsidP="00F26D3F">
      <w:pPr>
        <w:spacing w:line="360" w:lineRule="auto"/>
        <w:rPr>
          <w:rFonts w:ascii="Arial" w:eastAsia="Arial" w:hAnsi="Arial" w:cs="Arial"/>
          <w:sz w:val="24"/>
          <w:szCs w:val="24"/>
          <w:lang w:val="en-US"/>
        </w:rPr>
        <w:sectPr w:rsidR="00E126D0" w:rsidRPr="00F26D3F" w:rsidSect="0006374F">
          <w:footerReference w:type="default" r:id="rId13"/>
          <w:pgSz w:w="16838" w:h="11906" w:orient="landscape"/>
          <w:pgMar w:top="1134" w:right="1418" w:bottom="1701" w:left="1418" w:header="0" w:footer="709" w:gutter="0"/>
          <w:cols w:space="720"/>
          <w:docGrid w:linePitch="299"/>
        </w:sectPr>
      </w:pPr>
    </w:p>
    <w:p w14:paraId="62D9E3F2" w14:textId="77777777" w:rsidR="000424EF" w:rsidRDefault="000424EF" w:rsidP="000D4F21">
      <w:pPr>
        <w:suppressLineNumbers/>
        <w:spacing w:line="360" w:lineRule="auto"/>
        <w:jc w:val="both"/>
        <w:rPr>
          <w:rFonts w:ascii="Arial" w:hAnsi="Arial" w:cs="Arial"/>
          <w:sz w:val="24"/>
          <w:szCs w:val="24"/>
          <w:lang w:val="en-US"/>
        </w:rPr>
      </w:pPr>
    </w:p>
    <w:p w14:paraId="172C27D3" w14:textId="7827EB6B" w:rsidR="00410DC9" w:rsidRDefault="00410DC9" w:rsidP="00D3013E">
      <w:pPr>
        <w:spacing w:line="360" w:lineRule="auto"/>
        <w:jc w:val="both"/>
        <w:rPr>
          <w:rFonts w:ascii="Arial" w:hAnsi="Arial" w:cs="Arial"/>
          <w:b/>
          <w:bCs/>
          <w:sz w:val="24"/>
          <w:szCs w:val="24"/>
          <w:lang w:val="en-US"/>
        </w:rPr>
      </w:pPr>
      <w:bookmarkStart w:id="6" w:name="_Hlk43054704"/>
      <w:r w:rsidRPr="00D3013E">
        <w:rPr>
          <w:rFonts w:ascii="Arial" w:hAnsi="Arial" w:cs="Arial"/>
          <w:b/>
          <w:bCs/>
          <w:sz w:val="24"/>
          <w:szCs w:val="24"/>
          <w:lang w:val="en-US"/>
        </w:rPr>
        <w:t>REFERENCES</w:t>
      </w:r>
      <w:r w:rsidR="00FD6663">
        <w:rPr>
          <w:rFonts w:ascii="Arial" w:hAnsi="Arial" w:cs="Arial"/>
          <w:b/>
          <w:bCs/>
          <w:sz w:val="24"/>
          <w:szCs w:val="24"/>
          <w:lang w:val="en-US"/>
        </w:rPr>
        <w:t xml:space="preserve"> TABLE S</w:t>
      </w:r>
      <w:r w:rsidR="00F26D3F">
        <w:rPr>
          <w:rFonts w:ascii="Arial" w:hAnsi="Arial" w:cs="Arial"/>
          <w:b/>
          <w:bCs/>
          <w:sz w:val="24"/>
          <w:szCs w:val="24"/>
          <w:lang w:val="en-US"/>
        </w:rPr>
        <w:t>4</w:t>
      </w:r>
    </w:p>
    <w:p w14:paraId="23896816" w14:textId="786295A1" w:rsidR="00D77F5F" w:rsidRPr="00531C70" w:rsidRDefault="00436D07" w:rsidP="00D77F5F">
      <w:pPr>
        <w:widowControl w:val="0"/>
        <w:autoSpaceDE w:val="0"/>
        <w:autoSpaceDN w:val="0"/>
        <w:adjustRightInd w:val="0"/>
        <w:spacing w:line="360" w:lineRule="auto"/>
        <w:ind w:left="640" w:hanging="640"/>
        <w:rPr>
          <w:rFonts w:ascii="Arial" w:hAnsi="Arial" w:cs="Arial"/>
          <w:noProof/>
          <w:sz w:val="24"/>
          <w:szCs w:val="24"/>
          <w:lang w:val="en-US"/>
        </w:rPr>
      </w:pPr>
      <w:r>
        <w:rPr>
          <w:rFonts w:ascii="Arial" w:hAnsi="Arial" w:cs="Arial"/>
          <w:b/>
          <w:bCs/>
          <w:sz w:val="24"/>
          <w:szCs w:val="24"/>
          <w:lang w:val="en-US"/>
        </w:rPr>
        <w:fldChar w:fldCharType="begin" w:fldLock="1"/>
      </w:r>
      <w:r>
        <w:rPr>
          <w:rFonts w:ascii="Arial" w:hAnsi="Arial" w:cs="Arial"/>
          <w:b/>
          <w:bCs/>
          <w:sz w:val="24"/>
          <w:szCs w:val="24"/>
          <w:lang w:val="en-US"/>
        </w:rPr>
        <w:instrText xml:space="preserve">ADDIN Mendeley Bibliography CSL_BIBLIOGRAPHY </w:instrText>
      </w:r>
      <w:r>
        <w:rPr>
          <w:rFonts w:ascii="Arial" w:hAnsi="Arial" w:cs="Arial"/>
          <w:b/>
          <w:bCs/>
          <w:sz w:val="24"/>
          <w:szCs w:val="24"/>
          <w:lang w:val="en-US"/>
        </w:rPr>
        <w:fldChar w:fldCharType="separate"/>
      </w:r>
      <w:r w:rsidR="00D77F5F" w:rsidRPr="00531C70">
        <w:rPr>
          <w:rFonts w:ascii="Arial" w:hAnsi="Arial" w:cs="Arial"/>
          <w:noProof/>
          <w:sz w:val="24"/>
          <w:szCs w:val="24"/>
          <w:lang w:val="en-US"/>
        </w:rPr>
        <w:t>1</w:t>
      </w:r>
      <w:r w:rsidR="00FF4DA0">
        <w:rPr>
          <w:rFonts w:ascii="Arial" w:hAnsi="Arial" w:cs="Arial"/>
          <w:noProof/>
          <w:sz w:val="24"/>
          <w:szCs w:val="24"/>
          <w:lang w:val="en-US"/>
        </w:rPr>
        <w:t>.</w:t>
      </w:r>
      <w:r w:rsidR="00D77F5F" w:rsidRPr="00531C70">
        <w:rPr>
          <w:rFonts w:ascii="Arial" w:hAnsi="Arial" w:cs="Arial"/>
          <w:noProof/>
          <w:sz w:val="24"/>
          <w:szCs w:val="24"/>
          <w:lang w:val="en-US"/>
        </w:rPr>
        <w:t xml:space="preserve"> </w:t>
      </w:r>
      <w:r w:rsidR="00D77F5F" w:rsidRPr="00531C70">
        <w:rPr>
          <w:rFonts w:ascii="Arial" w:hAnsi="Arial" w:cs="Arial"/>
          <w:noProof/>
          <w:sz w:val="24"/>
          <w:szCs w:val="24"/>
          <w:lang w:val="en-US"/>
        </w:rPr>
        <w:tab/>
        <w:t>Dai ZL</w:t>
      </w:r>
      <w:r w:rsidR="00FF4DA0">
        <w:rPr>
          <w:rFonts w:ascii="Arial" w:hAnsi="Arial" w:cs="Arial"/>
          <w:noProof/>
          <w:sz w:val="24"/>
          <w:szCs w:val="24"/>
          <w:lang w:val="en-US"/>
        </w:rPr>
        <w:t>.</w:t>
      </w:r>
      <w:r w:rsidR="00D77F5F" w:rsidRPr="00531C70">
        <w:rPr>
          <w:rFonts w:ascii="Arial" w:hAnsi="Arial" w:cs="Arial"/>
          <w:noProof/>
          <w:sz w:val="24"/>
          <w:szCs w:val="24"/>
          <w:lang w:val="en-US"/>
        </w:rPr>
        <w:t xml:space="preserve"> Wu G</w:t>
      </w:r>
      <w:r w:rsidR="00FF4DA0">
        <w:rPr>
          <w:rFonts w:ascii="Arial" w:hAnsi="Arial" w:cs="Arial"/>
          <w:noProof/>
          <w:sz w:val="24"/>
          <w:szCs w:val="24"/>
          <w:lang w:val="en-US"/>
        </w:rPr>
        <w:t>.</w:t>
      </w:r>
      <w:r w:rsidR="00D77F5F" w:rsidRPr="00531C70">
        <w:rPr>
          <w:rFonts w:ascii="Arial" w:hAnsi="Arial" w:cs="Arial"/>
          <w:noProof/>
          <w:sz w:val="24"/>
          <w:szCs w:val="24"/>
          <w:lang w:val="en-US"/>
        </w:rPr>
        <w:t xml:space="preserve"> Zhu WY</w:t>
      </w:r>
      <w:r w:rsidR="00FF4DA0">
        <w:rPr>
          <w:rFonts w:ascii="Arial" w:hAnsi="Arial" w:cs="Arial"/>
          <w:noProof/>
          <w:sz w:val="24"/>
          <w:szCs w:val="24"/>
          <w:lang w:val="en-US"/>
        </w:rPr>
        <w:t>.</w:t>
      </w:r>
      <w:r w:rsidR="00D77F5F" w:rsidRPr="00531C70">
        <w:rPr>
          <w:rFonts w:ascii="Arial" w:hAnsi="Arial" w:cs="Arial"/>
          <w:noProof/>
          <w:sz w:val="24"/>
          <w:szCs w:val="24"/>
          <w:lang w:val="en-US"/>
        </w:rPr>
        <w:t xml:space="preserve"> 2011</w:t>
      </w:r>
      <w:r w:rsidR="00FF4DA0">
        <w:rPr>
          <w:rFonts w:ascii="Arial" w:hAnsi="Arial" w:cs="Arial"/>
          <w:noProof/>
          <w:sz w:val="24"/>
          <w:szCs w:val="24"/>
          <w:lang w:val="en-US"/>
        </w:rPr>
        <w:t>.</w:t>
      </w:r>
      <w:r w:rsidR="00D77F5F" w:rsidRPr="00531C70">
        <w:rPr>
          <w:rFonts w:ascii="Arial" w:hAnsi="Arial" w:cs="Arial"/>
          <w:noProof/>
          <w:sz w:val="24"/>
          <w:szCs w:val="24"/>
          <w:lang w:val="en-US"/>
        </w:rPr>
        <w:t xml:space="preserve"> Amino acid metabolism in intestinal bacteria: Links between gut ecology and host health</w:t>
      </w:r>
      <w:r w:rsidR="00FF4DA0">
        <w:rPr>
          <w:rFonts w:ascii="Arial" w:hAnsi="Arial" w:cs="Arial"/>
          <w:noProof/>
          <w:sz w:val="24"/>
          <w:szCs w:val="24"/>
          <w:lang w:val="en-US"/>
        </w:rPr>
        <w:t>.</w:t>
      </w:r>
      <w:r w:rsidR="00D77F5F" w:rsidRPr="00531C70">
        <w:rPr>
          <w:rFonts w:ascii="Arial" w:hAnsi="Arial" w:cs="Arial"/>
          <w:noProof/>
          <w:sz w:val="24"/>
          <w:szCs w:val="24"/>
          <w:lang w:val="en-US"/>
        </w:rPr>
        <w:t xml:space="preserve"> Front Biosci 16:1768–1786</w:t>
      </w:r>
      <w:r w:rsidR="00FF4DA0">
        <w:rPr>
          <w:rFonts w:ascii="Arial" w:hAnsi="Arial" w:cs="Arial"/>
          <w:noProof/>
          <w:sz w:val="24"/>
          <w:szCs w:val="24"/>
          <w:lang w:val="en-US"/>
        </w:rPr>
        <w:t>.</w:t>
      </w:r>
    </w:p>
    <w:p w14:paraId="696AE7D6" w14:textId="1E883155"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2</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Feng W</w:t>
      </w:r>
      <w:r w:rsidR="00FF4DA0">
        <w:rPr>
          <w:rFonts w:ascii="Arial" w:hAnsi="Arial" w:cs="Arial"/>
          <w:noProof/>
          <w:sz w:val="24"/>
          <w:szCs w:val="24"/>
          <w:lang w:val="en-US"/>
        </w:rPr>
        <w:t>.</w:t>
      </w:r>
      <w:r w:rsidRPr="00531C70">
        <w:rPr>
          <w:rFonts w:ascii="Arial" w:hAnsi="Arial" w:cs="Arial"/>
          <w:noProof/>
          <w:sz w:val="24"/>
          <w:szCs w:val="24"/>
          <w:lang w:val="en-US"/>
        </w:rPr>
        <w:t xml:space="preserve"> Ao H</w:t>
      </w:r>
      <w:r w:rsidR="00FF4DA0">
        <w:rPr>
          <w:rFonts w:ascii="Arial" w:hAnsi="Arial" w:cs="Arial"/>
          <w:noProof/>
          <w:sz w:val="24"/>
          <w:szCs w:val="24"/>
          <w:lang w:val="en-US"/>
        </w:rPr>
        <w:t>.</w:t>
      </w:r>
      <w:r w:rsidRPr="00531C70">
        <w:rPr>
          <w:rFonts w:ascii="Arial" w:hAnsi="Arial" w:cs="Arial"/>
          <w:noProof/>
          <w:sz w:val="24"/>
          <w:szCs w:val="24"/>
          <w:lang w:val="en-US"/>
        </w:rPr>
        <w:t xml:space="preserve"> Peng C</w:t>
      </w:r>
      <w:r w:rsidR="00FF4DA0">
        <w:rPr>
          <w:rFonts w:ascii="Arial" w:hAnsi="Arial" w:cs="Arial"/>
          <w:noProof/>
          <w:sz w:val="24"/>
          <w:szCs w:val="24"/>
          <w:lang w:val="en-US"/>
        </w:rPr>
        <w:t>.</w:t>
      </w:r>
      <w:r w:rsidRPr="00531C70">
        <w:rPr>
          <w:rFonts w:ascii="Arial" w:hAnsi="Arial" w:cs="Arial"/>
          <w:noProof/>
          <w:sz w:val="24"/>
          <w:szCs w:val="24"/>
          <w:lang w:val="en-US"/>
        </w:rPr>
        <w:t xml:space="preserve"> 2018</w:t>
      </w:r>
      <w:r w:rsidR="00FF4DA0">
        <w:rPr>
          <w:rFonts w:ascii="Arial" w:hAnsi="Arial" w:cs="Arial"/>
          <w:noProof/>
          <w:sz w:val="24"/>
          <w:szCs w:val="24"/>
          <w:lang w:val="en-US"/>
        </w:rPr>
        <w:t>.</w:t>
      </w:r>
      <w:r w:rsidRPr="00531C70">
        <w:rPr>
          <w:rFonts w:ascii="Arial" w:hAnsi="Arial" w:cs="Arial"/>
          <w:noProof/>
          <w:sz w:val="24"/>
          <w:szCs w:val="24"/>
          <w:lang w:val="en-US"/>
        </w:rPr>
        <w:t xml:space="preserve"> Gut microbiota</w:t>
      </w:r>
      <w:r w:rsidR="00FF4DA0">
        <w:rPr>
          <w:rFonts w:ascii="Arial" w:hAnsi="Arial" w:cs="Arial"/>
          <w:noProof/>
          <w:sz w:val="24"/>
          <w:szCs w:val="24"/>
          <w:lang w:val="en-US"/>
        </w:rPr>
        <w:t>.</w:t>
      </w:r>
      <w:r w:rsidRPr="00531C70">
        <w:rPr>
          <w:rFonts w:ascii="Arial" w:hAnsi="Arial" w:cs="Arial"/>
          <w:noProof/>
          <w:sz w:val="24"/>
          <w:szCs w:val="24"/>
          <w:lang w:val="en-US"/>
        </w:rPr>
        <w:t xml:space="preserve"> short-chain fatty acids</w:t>
      </w:r>
      <w:r w:rsidR="00FF4DA0">
        <w:rPr>
          <w:rFonts w:ascii="Arial" w:hAnsi="Arial" w:cs="Arial"/>
          <w:noProof/>
          <w:sz w:val="24"/>
          <w:szCs w:val="24"/>
          <w:lang w:val="en-US"/>
        </w:rPr>
        <w:t>.</w:t>
      </w:r>
      <w:r w:rsidRPr="00531C70">
        <w:rPr>
          <w:rFonts w:ascii="Arial" w:hAnsi="Arial" w:cs="Arial"/>
          <w:noProof/>
          <w:sz w:val="24"/>
          <w:szCs w:val="24"/>
          <w:lang w:val="en-US"/>
        </w:rPr>
        <w:t xml:space="preserve"> and herbal medicines</w:t>
      </w:r>
      <w:r w:rsidR="00FF4DA0">
        <w:rPr>
          <w:rFonts w:ascii="Arial" w:hAnsi="Arial" w:cs="Arial"/>
          <w:noProof/>
          <w:sz w:val="24"/>
          <w:szCs w:val="24"/>
          <w:lang w:val="en-US"/>
        </w:rPr>
        <w:t>.</w:t>
      </w:r>
      <w:r w:rsidRPr="00531C70">
        <w:rPr>
          <w:rFonts w:ascii="Arial" w:hAnsi="Arial" w:cs="Arial"/>
          <w:noProof/>
          <w:sz w:val="24"/>
          <w:szCs w:val="24"/>
          <w:lang w:val="en-US"/>
        </w:rPr>
        <w:t xml:space="preserve"> Front Pharmacol 9:1354</w:t>
      </w:r>
      <w:r w:rsidR="00FF4DA0">
        <w:rPr>
          <w:rFonts w:ascii="Arial" w:hAnsi="Arial" w:cs="Arial"/>
          <w:noProof/>
          <w:sz w:val="24"/>
          <w:szCs w:val="24"/>
          <w:lang w:val="en-US"/>
        </w:rPr>
        <w:t>.</w:t>
      </w:r>
    </w:p>
    <w:p w14:paraId="454CE066" w14:textId="50043A22"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3</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Krzyaściak W</w:t>
      </w:r>
      <w:r w:rsidR="00FF4DA0">
        <w:rPr>
          <w:rFonts w:ascii="Arial" w:hAnsi="Arial" w:cs="Arial"/>
          <w:noProof/>
          <w:sz w:val="24"/>
          <w:szCs w:val="24"/>
          <w:lang w:val="en-US"/>
        </w:rPr>
        <w:t>.</w:t>
      </w:r>
      <w:r w:rsidRPr="00531C70">
        <w:rPr>
          <w:rFonts w:ascii="Arial" w:hAnsi="Arial" w:cs="Arial"/>
          <w:noProof/>
          <w:sz w:val="24"/>
          <w:szCs w:val="24"/>
          <w:lang w:val="en-US"/>
        </w:rPr>
        <w:t xml:space="preserve"> Pluskwa KK</w:t>
      </w:r>
      <w:r w:rsidR="00FF4DA0">
        <w:rPr>
          <w:rFonts w:ascii="Arial" w:hAnsi="Arial" w:cs="Arial"/>
          <w:noProof/>
          <w:sz w:val="24"/>
          <w:szCs w:val="24"/>
          <w:lang w:val="en-US"/>
        </w:rPr>
        <w:t>.</w:t>
      </w:r>
      <w:r w:rsidRPr="00531C70">
        <w:rPr>
          <w:rFonts w:ascii="Arial" w:hAnsi="Arial" w:cs="Arial"/>
          <w:noProof/>
          <w:sz w:val="24"/>
          <w:szCs w:val="24"/>
          <w:lang w:val="en-US"/>
        </w:rPr>
        <w:t xml:space="preserve"> Jurczak A</w:t>
      </w:r>
      <w:r w:rsidR="00FF4DA0">
        <w:rPr>
          <w:rFonts w:ascii="Arial" w:hAnsi="Arial" w:cs="Arial"/>
          <w:noProof/>
          <w:sz w:val="24"/>
          <w:szCs w:val="24"/>
          <w:lang w:val="en-US"/>
        </w:rPr>
        <w:t>.</w:t>
      </w:r>
      <w:r w:rsidRPr="00531C70">
        <w:rPr>
          <w:rFonts w:ascii="Arial" w:hAnsi="Arial" w:cs="Arial"/>
          <w:noProof/>
          <w:sz w:val="24"/>
          <w:szCs w:val="24"/>
          <w:lang w:val="en-US"/>
        </w:rPr>
        <w:t xml:space="preserve"> Koaścielniak D</w:t>
      </w:r>
      <w:r w:rsidR="00FF4DA0">
        <w:rPr>
          <w:rFonts w:ascii="Arial" w:hAnsi="Arial" w:cs="Arial"/>
          <w:noProof/>
          <w:sz w:val="24"/>
          <w:szCs w:val="24"/>
          <w:lang w:val="en-US"/>
        </w:rPr>
        <w:t>.</w:t>
      </w:r>
      <w:r w:rsidRPr="00531C70">
        <w:rPr>
          <w:rFonts w:ascii="Arial" w:hAnsi="Arial" w:cs="Arial"/>
          <w:noProof/>
          <w:sz w:val="24"/>
          <w:szCs w:val="24"/>
          <w:lang w:val="en-US"/>
        </w:rPr>
        <w:t xml:space="preserve"> 2013</w:t>
      </w:r>
      <w:r w:rsidR="00FF4DA0">
        <w:rPr>
          <w:rFonts w:ascii="Arial" w:hAnsi="Arial" w:cs="Arial"/>
          <w:noProof/>
          <w:sz w:val="24"/>
          <w:szCs w:val="24"/>
          <w:lang w:val="en-US"/>
        </w:rPr>
        <w:t>.</w:t>
      </w:r>
      <w:r w:rsidRPr="00531C70">
        <w:rPr>
          <w:rFonts w:ascii="Arial" w:hAnsi="Arial" w:cs="Arial"/>
          <w:noProof/>
          <w:sz w:val="24"/>
          <w:szCs w:val="24"/>
          <w:lang w:val="en-US"/>
        </w:rPr>
        <w:t xml:space="preserve"> The pathogenicity of the Streptococcus genus</w:t>
      </w:r>
      <w:r w:rsidR="00FF4DA0">
        <w:rPr>
          <w:rFonts w:ascii="Arial" w:hAnsi="Arial" w:cs="Arial"/>
          <w:noProof/>
          <w:sz w:val="24"/>
          <w:szCs w:val="24"/>
          <w:lang w:val="en-US"/>
        </w:rPr>
        <w:t>.</w:t>
      </w:r>
      <w:r w:rsidRPr="00531C70">
        <w:rPr>
          <w:rFonts w:ascii="Arial" w:hAnsi="Arial" w:cs="Arial"/>
          <w:noProof/>
          <w:sz w:val="24"/>
          <w:szCs w:val="24"/>
          <w:lang w:val="en-US"/>
        </w:rPr>
        <w:t xml:space="preserve"> Eur J Clin Microbiol Infect Dis 32:1361–1376</w:t>
      </w:r>
      <w:r w:rsidR="00FF4DA0">
        <w:rPr>
          <w:rFonts w:ascii="Arial" w:hAnsi="Arial" w:cs="Arial"/>
          <w:noProof/>
          <w:sz w:val="24"/>
          <w:szCs w:val="24"/>
          <w:lang w:val="en-US"/>
        </w:rPr>
        <w:t>.</w:t>
      </w:r>
    </w:p>
    <w:p w14:paraId="314972DC" w14:textId="201A9ECD" w:rsidR="00D77F5F" w:rsidRPr="00F26D3F"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4</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Murase K</w:t>
      </w:r>
      <w:r w:rsidR="00FF4DA0">
        <w:rPr>
          <w:rFonts w:ascii="Arial" w:hAnsi="Arial" w:cs="Arial"/>
          <w:noProof/>
          <w:sz w:val="24"/>
          <w:szCs w:val="24"/>
          <w:lang w:val="en-US"/>
        </w:rPr>
        <w:t>.</w:t>
      </w:r>
      <w:r w:rsidRPr="00531C70">
        <w:rPr>
          <w:rFonts w:ascii="Arial" w:hAnsi="Arial" w:cs="Arial"/>
          <w:noProof/>
          <w:sz w:val="24"/>
          <w:szCs w:val="24"/>
          <w:lang w:val="en-US"/>
        </w:rPr>
        <w:t xml:space="preserve"> Watanabe T</w:t>
      </w:r>
      <w:r w:rsidR="00FF4DA0">
        <w:rPr>
          <w:rFonts w:ascii="Arial" w:hAnsi="Arial" w:cs="Arial"/>
          <w:noProof/>
          <w:sz w:val="24"/>
          <w:szCs w:val="24"/>
          <w:lang w:val="en-US"/>
        </w:rPr>
        <w:t>.</w:t>
      </w:r>
      <w:r w:rsidRPr="00531C70">
        <w:rPr>
          <w:rFonts w:ascii="Arial" w:hAnsi="Arial" w:cs="Arial"/>
          <w:noProof/>
          <w:sz w:val="24"/>
          <w:szCs w:val="24"/>
          <w:lang w:val="en-US"/>
        </w:rPr>
        <w:t xml:space="preserve"> Arai S</w:t>
      </w:r>
      <w:r w:rsidR="00FF4DA0">
        <w:rPr>
          <w:rFonts w:ascii="Arial" w:hAnsi="Arial" w:cs="Arial"/>
          <w:noProof/>
          <w:sz w:val="24"/>
          <w:szCs w:val="24"/>
          <w:lang w:val="en-US"/>
        </w:rPr>
        <w:t>.</w:t>
      </w:r>
      <w:r w:rsidRPr="00531C70">
        <w:rPr>
          <w:rFonts w:ascii="Arial" w:hAnsi="Arial" w:cs="Arial"/>
          <w:noProof/>
          <w:sz w:val="24"/>
          <w:szCs w:val="24"/>
          <w:lang w:val="en-US"/>
        </w:rPr>
        <w:t xml:space="preserve"> Kim H</w:t>
      </w:r>
      <w:r w:rsidR="00FF4DA0">
        <w:rPr>
          <w:rFonts w:ascii="Arial" w:hAnsi="Arial" w:cs="Arial"/>
          <w:noProof/>
          <w:sz w:val="24"/>
          <w:szCs w:val="24"/>
          <w:lang w:val="en-US"/>
        </w:rPr>
        <w:t>.</w:t>
      </w:r>
      <w:r w:rsidRPr="00531C70">
        <w:rPr>
          <w:rFonts w:ascii="Arial" w:hAnsi="Arial" w:cs="Arial"/>
          <w:noProof/>
          <w:sz w:val="24"/>
          <w:szCs w:val="24"/>
          <w:lang w:val="en-US"/>
        </w:rPr>
        <w:t xml:space="preserve"> Tohya M</w:t>
      </w:r>
      <w:r w:rsidR="00FF4DA0">
        <w:rPr>
          <w:rFonts w:ascii="Arial" w:hAnsi="Arial" w:cs="Arial"/>
          <w:noProof/>
          <w:sz w:val="24"/>
          <w:szCs w:val="24"/>
          <w:lang w:val="en-US"/>
        </w:rPr>
        <w:t>.</w:t>
      </w:r>
      <w:r w:rsidRPr="00531C70">
        <w:rPr>
          <w:rFonts w:ascii="Arial" w:hAnsi="Arial" w:cs="Arial"/>
          <w:noProof/>
          <w:sz w:val="24"/>
          <w:szCs w:val="24"/>
          <w:lang w:val="en-US"/>
        </w:rPr>
        <w:t xml:space="preserve"> Ishida-Kuroki K</w:t>
      </w:r>
      <w:r w:rsidR="00FF4DA0">
        <w:rPr>
          <w:rFonts w:ascii="Arial" w:hAnsi="Arial" w:cs="Arial"/>
          <w:noProof/>
          <w:sz w:val="24"/>
          <w:szCs w:val="24"/>
          <w:lang w:val="en-US"/>
        </w:rPr>
        <w:t>.</w:t>
      </w:r>
      <w:r w:rsidRPr="00531C70">
        <w:rPr>
          <w:rFonts w:ascii="Arial" w:hAnsi="Arial" w:cs="Arial"/>
          <w:noProof/>
          <w:sz w:val="24"/>
          <w:szCs w:val="24"/>
          <w:lang w:val="en-US"/>
        </w:rPr>
        <w:t xml:space="preserve"> Võ TH</w:t>
      </w:r>
      <w:r w:rsidR="00FF4DA0">
        <w:rPr>
          <w:rFonts w:ascii="Arial" w:hAnsi="Arial" w:cs="Arial"/>
          <w:noProof/>
          <w:sz w:val="24"/>
          <w:szCs w:val="24"/>
          <w:lang w:val="en-US"/>
        </w:rPr>
        <w:t>.</w:t>
      </w:r>
      <w:r w:rsidRPr="00531C70">
        <w:rPr>
          <w:rFonts w:ascii="Arial" w:hAnsi="Arial" w:cs="Arial"/>
          <w:noProof/>
          <w:sz w:val="24"/>
          <w:szCs w:val="24"/>
          <w:lang w:val="en-US"/>
        </w:rPr>
        <w:t xml:space="preserve"> Nguy TPB</w:t>
      </w:r>
      <w:r w:rsidR="00FF4DA0">
        <w:rPr>
          <w:rFonts w:ascii="Arial" w:hAnsi="Arial" w:cs="Arial"/>
          <w:noProof/>
          <w:sz w:val="24"/>
          <w:szCs w:val="24"/>
          <w:lang w:val="en-US"/>
        </w:rPr>
        <w:t>.</w:t>
      </w:r>
      <w:r w:rsidRPr="00531C70">
        <w:rPr>
          <w:rFonts w:ascii="Arial" w:hAnsi="Arial" w:cs="Arial"/>
          <w:noProof/>
          <w:sz w:val="24"/>
          <w:szCs w:val="24"/>
          <w:lang w:val="en-US"/>
        </w:rPr>
        <w:t xml:space="preserve"> Nakagawa I</w:t>
      </w:r>
      <w:r w:rsidR="00FF4DA0">
        <w:rPr>
          <w:rFonts w:ascii="Arial" w:hAnsi="Arial" w:cs="Arial"/>
          <w:noProof/>
          <w:sz w:val="24"/>
          <w:szCs w:val="24"/>
          <w:lang w:val="en-US"/>
        </w:rPr>
        <w:t>.</w:t>
      </w:r>
      <w:r w:rsidRPr="00531C70">
        <w:rPr>
          <w:rFonts w:ascii="Arial" w:hAnsi="Arial" w:cs="Arial"/>
          <w:noProof/>
          <w:sz w:val="24"/>
          <w:szCs w:val="24"/>
          <w:lang w:val="en-US"/>
        </w:rPr>
        <w:t xml:space="preserve"> Osawa R</w:t>
      </w:r>
      <w:r w:rsidR="00FF4DA0">
        <w:rPr>
          <w:rFonts w:ascii="Arial" w:hAnsi="Arial" w:cs="Arial"/>
          <w:noProof/>
          <w:sz w:val="24"/>
          <w:szCs w:val="24"/>
          <w:lang w:val="en-US"/>
        </w:rPr>
        <w:t>.</w:t>
      </w:r>
      <w:r w:rsidRPr="00531C70">
        <w:rPr>
          <w:rFonts w:ascii="Arial" w:hAnsi="Arial" w:cs="Arial"/>
          <w:noProof/>
          <w:sz w:val="24"/>
          <w:szCs w:val="24"/>
          <w:lang w:val="en-US"/>
        </w:rPr>
        <w:t xml:space="preserve"> Nguyn NH</w:t>
      </w:r>
      <w:r w:rsidR="00FF4DA0">
        <w:rPr>
          <w:rFonts w:ascii="Arial" w:hAnsi="Arial" w:cs="Arial"/>
          <w:noProof/>
          <w:sz w:val="24"/>
          <w:szCs w:val="24"/>
          <w:lang w:val="en-US"/>
        </w:rPr>
        <w:t>.</w:t>
      </w:r>
      <w:r w:rsidRPr="00531C70">
        <w:rPr>
          <w:rFonts w:ascii="Arial" w:hAnsi="Arial" w:cs="Arial"/>
          <w:noProof/>
          <w:sz w:val="24"/>
          <w:szCs w:val="24"/>
          <w:lang w:val="en-US"/>
        </w:rPr>
        <w:t xml:space="preserve"> Sekizaki T</w:t>
      </w:r>
      <w:r w:rsidR="00FF4DA0">
        <w:rPr>
          <w:rFonts w:ascii="Arial" w:hAnsi="Arial" w:cs="Arial"/>
          <w:noProof/>
          <w:sz w:val="24"/>
          <w:szCs w:val="24"/>
          <w:lang w:val="en-US"/>
        </w:rPr>
        <w:t>.</w:t>
      </w:r>
      <w:r w:rsidRPr="00531C70">
        <w:rPr>
          <w:rFonts w:ascii="Arial" w:hAnsi="Arial" w:cs="Arial"/>
          <w:noProof/>
          <w:sz w:val="24"/>
          <w:szCs w:val="24"/>
          <w:lang w:val="en-US"/>
        </w:rPr>
        <w:t xml:space="preserve"> 2019</w:t>
      </w:r>
      <w:r w:rsidR="00FF4DA0">
        <w:rPr>
          <w:rFonts w:ascii="Arial" w:hAnsi="Arial" w:cs="Arial"/>
          <w:noProof/>
          <w:sz w:val="24"/>
          <w:szCs w:val="24"/>
          <w:lang w:val="en-US"/>
        </w:rPr>
        <w:t>.</w:t>
      </w:r>
      <w:r w:rsidRPr="00531C70">
        <w:rPr>
          <w:rFonts w:ascii="Arial" w:hAnsi="Arial" w:cs="Arial"/>
          <w:noProof/>
          <w:sz w:val="24"/>
          <w:szCs w:val="24"/>
          <w:lang w:val="en-US"/>
        </w:rPr>
        <w:t xml:space="preserve"> Characterization of pig saliva as the major natural habitat of Streptococcus suis by analyzing oral</w:t>
      </w:r>
      <w:r w:rsidR="00FF4DA0">
        <w:rPr>
          <w:rFonts w:ascii="Arial" w:hAnsi="Arial" w:cs="Arial"/>
          <w:noProof/>
          <w:sz w:val="24"/>
          <w:szCs w:val="24"/>
          <w:lang w:val="en-US"/>
        </w:rPr>
        <w:t>.</w:t>
      </w:r>
      <w:r w:rsidRPr="00531C70">
        <w:rPr>
          <w:rFonts w:ascii="Arial" w:hAnsi="Arial" w:cs="Arial"/>
          <w:noProof/>
          <w:sz w:val="24"/>
          <w:szCs w:val="24"/>
          <w:lang w:val="en-US"/>
        </w:rPr>
        <w:t xml:space="preserve"> fecal</w:t>
      </w:r>
      <w:r w:rsidR="00FF4DA0">
        <w:rPr>
          <w:rFonts w:ascii="Arial" w:hAnsi="Arial" w:cs="Arial"/>
          <w:noProof/>
          <w:sz w:val="24"/>
          <w:szCs w:val="24"/>
          <w:lang w:val="en-US"/>
        </w:rPr>
        <w:t>.</w:t>
      </w:r>
      <w:r w:rsidRPr="00531C70">
        <w:rPr>
          <w:rFonts w:ascii="Arial" w:hAnsi="Arial" w:cs="Arial"/>
          <w:noProof/>
          <w:sz w:val="24"/>
          <w:szCs w:val="24"/>
          <w:lang w:val="en-US"/>
        </w:rPr>
        <w:t xml:space="preserve"> vaginal</w:t>
      </w:r>
      <w:r w:rsidR="00FF4DA0">
        <w:rPr>
          <w:rFonts w:ascii="Arial" w:hAnsi="Arial" w:cs="Arial"/>
          <w:noProof/>
          <w:sz w:val="24"/>
          <w:szCs w:val="24"/>
          <w:lang w:val="en-US"/>
        </w:rPr>
        <w:t>.</w:t>
      </w:r>
      <w:r w:rsidRPr="00531C70">
        <w:rPr>
          <w:rFonts w:ascii="Arial" w:hAnsi="Arial" w:cs="Arial"/>
          <w:noProof/>
          <w:sz w:val="24"/>
          <w:szCs w:val="24"/>
          <w:lang w:val="en-US"/>
        </w:rPr>
        <w:t xml:space="preserve"> and environmental microbiota</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F26D3F">
        <w:rPr>
          <w:rFonts w:ascii="Arial" w:hAnsi="Arial" w:cs="Arial"/>
          <w:noProof/>
          <w:sz w:val="24"/>
          <w:szCs w:val="24"/>
          <w:lang w:val="en-US"/>
        </w:rPr>
        <w:t>PLoS One 14:e0215983</w:t>
      </w:r>
      <w:r w:rsidR="00FF4DA0" w:rsidRPr="00F26D3F">
        <w:rPr>
          <w:rFonts w:ascii="Arial" w:hAnsi="Arial" w:cs="Arial"/>
          <w:noProof/>
          <w:sz w:val="24"/>
          <w:szCs w:val="24"/>
          <w:lang w:val="en-US"/>
        </w:rPr>
        <w:t>.</w:t>
      </w:r>
    </w:p>
    <w:p w14:paraId="69C83889" w14:textId="005978CE"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F26D3F">
        <w:rPr>
          <w:rFonts w:ascii="Arial" w:hAnsi="Arial" w:cs="Arial"/>
          <w:noProof/>
          <w:sz w:val="24"/>
          <w:szCs w:val="24"/>
          <w:lang w:val="en-US"/>
        </w:rPr>
        <w:t>5</w:t>
      </w:r>
      <w:r w:rsidR="00FF4DA0" w:rsidRPr="00F26D3F">
        <w:rPr>
          <w:rFonts w:ascii="Arial" w:hAnsi="Arial" w:cs="Arial"/>
          <w:noProof/>
          <w:sz w:val="24"/>
          <w:szCs w:val="24"/>
          <w:lang w:val="en-US"/>
        </w:rPr>
        <w:t>.</w:t>
      </w:r>
      <w:r w:rsidRPr="00F26D3F">
        <w:rPr>
          <w:rFonts w:ascii="Arial" w:hAnsi="Arial" w:cs="Arial"/>
          <w:noProof/>
          <w:sz w:val="24"/>
          <w:szCs w:val="24"/>
          <w:lang w:val="en-US"/>
        </w:rPr>
        <w:t xml:space="preserve"> </w:t>
      </w:r>
      <w:r w:rsidRPr="00F26D3F">
        <w:rPr>
          <w:rFonts w:ascii="Arial" w:hAnsi="Arial" w:cs="Arial"/>
          <w:noProof/>
          <w:sz w:val="24"/>
          <w:szCs w:val="24"/>
          <w:lang w:val="en-US"/>
        </w:rPr>
        <w:tab/>
        <w:t>Bracarense APFRL</w:t>
      </w:r>
      <w:r w:rsidR="00FF4DA0" w:rsidRPr="00F26D3F">
        <w:rPr>
          <w:rFonts w:ascii="Arial" w:hAnsi="Arial" w:cs="Arial"/>
          <w:noProof/>
          <w:sz w:val="24"/>
          <w:szCs w:val="24"/>
          <w:lang w:val="en-US"/>
        </w:rPr>
        <w:t>.</w:t>
      </w:r>
      <w:r w:rsidRPr="00F26D3F">
        <w:rPr>
          <w:rFonts w:ascii="Arial" w:hAnsi="Arial" w:cs="Arial"/>
          <w:noProof/>
          <w:sz w:val="24"/>
          <w:szCs w:val="24"/>
          <w:lang w:val="en-US"/>
        </w:rPr>
        <w:t xml:space="preserve"> Yamasaki L</w:t>
      </w:r>
      <w:r w:rsidR="00FF4DA0" w:rsidRPr="00F26D3F">
        <w:rPr>
          <w:rFonts w:ascii="Arial" w:hAnsi="Arial" w:cs="Arial"/>
          <w:noProof/>
          <w:sz w:val="24"/>
          <w:szCs w:val="24"/>
          <w:lang w:val="en-US"/>
        </w:rPr>
        <w:t>.</w:t>
      </w:r>
      <w:r w:rsidRPr="00F26D3F">
        <w:rPr>
          <w:rFonts w:ascii="Arial" w:hAnsi="Arial" w:cs="Arial"/>
          <w:noProof/>
          <w:sz w:val="24"/>
          <w:szCs w:val="24"/>
          <w:lang w:val="en-US"/>
        </w:rPr>
        <w:t xml:space="preserve"> Silva EO</w:t>
      </w:r>
      <w:r w:rsidR="00FF4DA0" w:rsidRPr="00F26D3F">
        <w:rPr>
          <w:rFonts w:ascii="Arial" w:hAnsi="Arial" w:cs="Arial"/>
          <w:noProof/>
          <w:sz w:val="24"/>
          <w:szCs w:val="24"/>
          <w:lang w:val="en-US"/>
        </w:rPr>
        <w:t>.</w:t>
      </w:r>
      <w:r w:rsidRPr="00F26D3F">
        <w:rPr>
          <w:rFonts w:ascii="Arial" w:hAnsi="Arial" w:cs="Arial"/>
          <w:noProof/>
          <w:sz w:val="24"/>
          <w:szCs w:val="24"/>
          <w:lang w:val="en-US"/>
        </w:rPr>
        <w:t xml:space="preserve"> Oliveira RL</w:t>
      </w:r>
      <w:r w:rsidR="00FF4DA0" w:rsidRPr="00F26D3F">
        <w:rPr>
          <w:rFonts w:ascii="Arial" w:hAnsi="Arial" w:cs="Arial"/>
          <w:noProof/>
          <w:sz w:val="24"/>
          <w:szCs w:val="24"/>
          <w:lang w:val="en-US"/>
        </w:rPr>
        <w:t>.</w:t>
      </w:r>
      <w:r w:rsidRPr="00F26D3F">
        <w:rPr>
          <w:rFonts w:ascii="Arial" w:hAnsi="Arial" w:cs="Arial"/>
          <w:noProof/>
          <w:sz w:val="24"/>
          <w:szCs w:val="24"/>
          <w:lang w:val="en-US"/>
        </w:rPr>
        <w:t xml:space="preserve"> </w:t>
      </w:r>
      <w:r w:rsidRPr="00531C70">
        <w:rPr>
          <w:rFonts w:ascii="Arial" w:hAnsi="Arial" w:cs="Arial"/>
          <w:noProof/>
          <w:sz w:val="24"/>
          <w:szCs w:val="24"/>
          <w:lang w:val="en-US"/>
        </w:rPr>
        <w:t>Alfieri AA</w:t>
      </w:r>
      <w:r w:rsidR="00FF4DA0">
        <w:rPr>
          <w:rFonts w:ascii="Arial" w:hAnsi="Arial" w:cs="Arial"/>
          <w:noProof/>
          <w:sz w:val="24"/>
          <w:szCs w:val="24"/>
          <w:lang w:val="en-US"/>
        </w:rPr>
        <w:t>.</w:t>
      </w:r>
      <w:r w:rsidRPr="00531C70">
        <w:rPr>
          <w:rFonts w:ascii="Arial" w:hAnsi="Arial" w:cs="Arial"/>
          <w:noProof/>
          <w:sz w:val="24"/>
          <w:szCs w:val="24"/>
          <w:lang w:val="en-US"/>
        </w:rPr>
        <w:t xml:space="preserve"> 2013</w:t>
      </w:r>
      <w:r w:rsidR="00FF4DA0">
        <w:rPr>
          <w:rFonts w:ascii="Arial" w:hAnsi="Arial" w:cs="Arial"/>
          <w:noProof/>
          <w:sz w:val="24"/>
          <w:szCs w:val="24"/>
          <w:lang w:val="en-US"/>
        </w:rPr>
        <w:t>.</w:t>
      </w:r>
      <w:r w:rsidRPr="00531C70">
        <w:rPr>
          <w:rFonts w:ascii="Arial" w:hAnsi="Arial" w:cs="Arial"/>
          <w:noProof/>
          <w:sz w:val="24"/>
          <w:szCs w:val="24"/>
          <w:lang w:val="en-US"/>
        </w:rPr>
        <w:t xml:space="preserve"> Helicobacter spp</w:t>
      </w:r>
      <w:r w:rsidR="00FF4DA0">
        <w:rPr>
          <w:rFonts w:ascii="Arial" w:hAnsi="Arial" w:cs="Arial"/>
          <w:noProof/>
          <w:sz w:val="24"/>
          <w:szCs w:val="24"/>
          <w:lang w:val="en-US"/>
        </w:rPr>
        <w:t>.</w:t>
      </w:r>
      <w:r w:rsidRPr="00531C70">
        <w:rPr>
          <w:rFonts w:ascii="Arial" w:hAnsi="Arial" w:cs="Arial"/>
          <w:noProof/>
          <w:sz w:val="24"/>
          <w:szCs w:val="24"/>
          <w:lang w:val="en-US"/>
        </w:rPr>
        <w:t xml:space="preserve"> infection induces changes in epithelial proliferation and E-cadherin expression in the gastric mucosa of pigs</w:t>
      </w:r>
      <w:r w:rsidR="00FF4DA0">
        <w:rPr>
          <w:rFonts w:ascii="Arial" w:hAnsi="Arial" w:cs="Arial"/>
          <w:noProof/>
          <w:sz w:val="24"/>
          <w:szCs w:val="24"/>
          <w:lang w:val="en-US"/>
        </w:rPr>
        <w:t>.</w:t>
      </w:r>
      <w:r w:rsidRPr="00531C70">
        <w:rPr>
          <w:rFonts w:ascii="Arial" w:hAnsi="Arial" w:cs="Arial"/>
          <w:noProof/>
          <w:sz w:val="24"/>
          <w:szCs w:val="24"/>
          <w:lang w:val="en-US"/>
        </w:rPr>
        <w:t xml:space="preserve"> J Comp Pathol 149:402–409</w:t>
      </w:r>
      <w:r w:rsidR="00FF4DA0">
        <w:rPr>
          <w:rFonts w:ascii="Arial" w:hAnsi="Arial" w:cs="Arial"/>
          <w:noProof/>
          <w:sz w:val="24"/>
          <w:szCs w:val="24"/>
          <w:lang w:val="en-US"/>
        </w:rPr>
        <w:t>.</w:t>
      </w:r>
    </w:p>
    <w:p w14:paraId="412DDF13" w14:textId="6F9F2BF9"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6</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Mladenova-Hristova I</w:t>
      </w:r>
      <w:r w:rsidR="00FF4DA0">
        <w:rPr>
          <w:rFonts w:ascii="Arial" w:hAnsi="Arial" w:cs="Arial"/>
          <w:noProof/>
          <w:sz w:val="24"/>
          <w:szCs w:val="24"/>
          <w:lang w:val="en-US"/>
        </w:rPr>
        <w:t>.</w:t>
      </w:r>
      <w:r w:rsidRPr="00531C70">
        <w:rPr>
          <w:rFonts w:ascii="Arial" w:hAnsi="Arial" w:cs="Arial"/>
          <w:noProof/>
          <w:sz w:val="24"/>
          <w:szCs w:val="24"/>
          <w:lang w:val="en-US"/>
        </w:rPr>
        <w:t xml:space="preserve"> Grekova O</w:t>
      </w:r>
      <w:r w:rsidR="00FF4DA0">
        <w:rPr>
          <w:rFonts w:ascii="Arial" w:hAnsi="Arial" w:cs="Arial"/>
          <w:noProof/>
          <w:sz w:val="24"/>
          <w:szCs w:val="24"/>
          <w:lang w:val="en-US"/>
        </w:rPr>
        <w:t>.</w:t>
      </w:r>
      <w:r w:rsidRPr="00531C70">
        <w:rPr>
          <w:rFonts w:ascii="Arial" w:hAnsi="Arial" w:cs="Arial"/>
          <w:noProof/>
          <w:sz w:val="24"/>
          <w:szCs w:val="24"/>
          <w:lang w:val="en-US"/>
        </w:rPr>
        <w:t xml:space="preserve"> Patel A</w:t>
      </w:r>
      <w:r w:rsidR="00FF4DA0">
        <w:rPr>
          <w:rFonts w:ascii="Arial" w:hAnsi="Arial" w:cs="Arial"/>
          <w:noProof/>
          <w:sz w:val="24"/>
          <w:szCs w:val="24"/>
          <w:lang w:val="en-US"/>
        </w:rPr>
        <w:t>.</w:t>
      </w:r>
      <w:r w:rsidRPr="00531C70">
        <w:rPr>
          <w:rFonts w:ascii="Arial" w:hAnsi="Arial" w:cs="Arial"/>
          <w:noProof/>
          <w:sz w:val="24"/>
          <w:szCs w:val="24"/>
          <w:lang w:val="en-US"/>
        </w:rPr>
        <w:t xml:space="preserve"> 2017</w:t>
      </w:r>
      <w:r w:rsidR="00FF4DA0">
        <w:rPr>
          <w:rFonts w:ascii="Arial" w:hAnsi="Arial" w:cs="Arial"/>
          <w:noProof/>
          <w:sz w:val="24"/>
          <w:szCs w:val="24"/>
          <w:lang w:val="en-US"/>
        </w:rPr>
        <w:t>.</w:t>
      </w:r>
      <w:r w:rsidRPr="00531C70">
        <w:rPr>
          <w:rFonts w:ascii="Arial" w:hAnsi="Arial" w:cs="Arial"/>
          <w:noProof/>
          <w:sz w:val="24"/>
          <w:szCs w:val="24"/>
          <w:lang w:val="en-US"/>
        </w:rPr>
        <w:t xml:space="preserve"> Zoonotic potential of Helicobacter spp</w:t>
      </w:r>
      <w:r w:rsidR="00FF4DA0">
        <w:rPr>
          <w:rFonts w:ascii="Arial" w:hAnsi="Arial" w:cs="Arial"/>
          <w:noProof/>
          <w:sz w:val="24"/>
          <w:szCs w:val="24"/>
          <w:lang w:val="en-US"/>
        </w:rPr>
        <w:t>.</w:t>
      </w:r>
      <w:r w:rsidRPr="00531C70">
        <w:rPr>
          <w:rFonts w:ascii="Arial" w:hAnsi="Arial" w:cs="Arial"/>
          <w:noProof/>
          <w:sz w:val="24"/>
          <w:szCs w:val="24"/>
          <w:lang w:val="en-US"/>
        </w:rPr>
        <w:t xml:space="preserve"> J Microbiol Immunol Infect 50:265–269</w:t>
      </w:r>
      <w:r w:rsidR="00FF4DA0">
        <w:rPr>
          <w:rFonts w:ascii="Arial" w:hAnsi="Arial" w:cs="Arial"/>
          <w:noProof/>
          <w:sz w:val="24"/>
          <w:szCs w:val="24"/>
          <w:lang w:val="en-US"/>
        </w:rPr>
        <w:t>.</w:t>
      </w:r>
    </w:p>
    <w:p w14:paraId="17D3A6AF" w14:textId="521120CC"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7</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Anand S</w:t>
      </w:r>
      <w:r w:rsidR="00FF4DA0">
        <w:rPr>
          <w:rFonts w:ascii="Arial" w:hAnsi="Arial" w:cs="Arial"/>
          <w:noProof/>
          <w:sz w:val="24"/>
          <w:szCs w:val="24"/>
          <w:lang w:val="en-US"/>
        </w:rPr>
        <w:t>.</w:t>
      </w:r>
      <w:r w:rsidRPr="00531C70">
        <w:rPr>
          <w:rFonts w:ascii="Arial" w:hAnsi="Arial" w:cs="Arial"/>
          <w:noProof/>
          <w:sz w:val="24"/>
          <w:szCs w:val="24"/>
          <w:lang w:val="en-US"/>
        </w:rPr>
        <w:t xml:space="preserve"> Kaur H</w:t>
      </w:r>
      <w:r w:rsidR="00FF4DA0">
        <w:rPr>
          <w:rFonts w:ascii="Arial" w:hAnsi="Arial" w:cs="Arial"/>
          <w:noProof/>
          <w:sz w:val="24"/>
          <w:szCs w:val="24"/>
          <w:lang w:val="en-US"/>
        </w:rPr>
        <w:t>.</w:t>
      </w:r>
      <w:r w:rsidRPr="00531C70">
        <w:rPr>
          <w:rFonts w:ascii="Arial" w:hAnsi="Arial" w:cs="Arial"/>
          <w:noProof/>
          <w:sz w:val="24"/>
          <w:szCs w:val="24"/>
          <w:lang w:val="en-US"/>
        </w:rPr>
        <w:t xml:space="preserve"> Mande SS</w:t>
      </w:r>
      <w:r w:rsidR="00FF4DA0">
        <w:rPr>
          <w:rFonts w:ascii="Arial" w:hAnsi="Arial" w:cs="Arial"/>
          <w:noProof/>
          <w:sz w:val="24"/>
          <w:szCs w:val="24"/>
          <w:lang w:val="en-US"/>
        </w:rPr>
        <w:t>.</w:t>
      </w:r>
      <w:r w:rsidRPr="00531C70">
        <w:rPr>
          <w:rFonts w:ascii="Arial" w:hAnsi="Arial" w:cs="Arial"/>
          <w:noProof/>
          <w:sz w:val="24"/>
          <w:szCs w:val="24"/>
          <w:lang w:val="en-US"/>
        </w:rPr>
        <w:t xml:space="preserve"> 2016</w:t>
      </w:r>
      <w:r w:rsidR="00FF4DA0">
        <w:rPr>
          <w:rFonts w:ascii="Arial" w:hAnsi="Arial" w:cs="Arial"/>
          <w:noProof/>
          <w:sz w:val="24"/>
          <w:szCs w:val="24"/>
          <w:lang w:val="en-US"/>
        </w:rPr>
        <w:t>.</w:t>
      </w:r>
      <w:r w:rsidRPr="00531C70">
        <w:rPr>
          <w:rFonts w:ascii="Arial" w:hAnsi="Arial" w:cs="Arial"/>
          <w:noProof/>
          <w:sz w:val="24"/>
          <w:szCs w:val="24"/>
          <w:lang w:val="en-US"/>
        </w:rPr>
        <w:t xml:space="preserve"> Comparative In silico Analysis of Butyrate Production Pathways in Gut Commensals and Pathogens</w:t>
      </w:r>
      <w:r w:rsidR="00FF4DA0">
        <w:rPr>
          <w:rFonts w:ascii="Arial" w:hAnsi="Arial" w:cs="Arial"/>
          <w:noProof/>
          <w:sz w:val="24"/>
          <w:szCs w:val="24"/>
          <w:lang w:val="en-US"/>
        </w:rPr>
        <w:t>.</w:t>
      </w:r>
      <w:r w:rsidRPr="00531C70">
        <w:rPr>
          <w:rFonts w:ascii="Arial" w:hAnsi="Arial" w:cs="Arial"/>
          <w:noProof/>
          <w:sz w:val="24"/>
          <w:szCs w:val="24"/>
          <w:lang w:val="en-US"/>
        </w:rPr>
        <w:t xml:space="preserve"> Front Microbiol 7:1945</w:t>
      </w:r>
      <w:r w:rsidR="00FF4DA0">
        <w:rPr>
          <w:rFonts w:ascii="Arial" w:hAnsi="Arial" w:cs="Arial"/>
          <w:noProof/>
          <w:sz w:val="24"/>
          <w:szCs w:val="24"/>
          <w:lang w:val="en-US"/>
        </w:rPr>
        <w:t>.</w:t>
      </w:r>
    </w:p>
    <w:p w14:paraId="2DAE45B1" w14:textId="70594940" w:rsidR="00D77F5F" w:rsidRPr="002C11FF"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531C70">
        <w:rPr>
          <w:rFonts w:ascii="Arial" w:hAnsi="Arial" w:cs="Arial"/>
          <w:noProof/>
          <w:sz w:val="24"/>
          <w:szCs w:val="24"/>
          <w:lang w:val="en-US"/>
        </w:rPr>
        <w:t>8</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McGuire AM</w:t>
      </w:r>
      <w:r w:rsidR="00FF4DA0">
        <w:rPr>
          <w:rFonts w:ascii="Arial" w:hAnsi="Arial" w:cs="Arial"/>
          <w:noProof/>
          <w:sz w:val="24"/>
          <w:szCs w:val="24"/>
          <w:lang w:val="en-US"/>
        </w:rPr>
        <w:t>.</w:t>
      </w:r>
      <w:r w:rsidRPr="00531C70">
        <w:rPr>
          <w:rFonts w:ascii="Arial" w:hAnsi="Arial" w:cs="Arial"/>
          <w:noProof/>
          <w:sz w:val="24"/>
          <w:szCs w:val="24"/>
          <w:lang w:val="en-US"/>
        </w:rPr>
        <w:t xml:space="preserve"> Cochrane K</w:t>
      </w:r>
      <w:r w:rsidR="00FF4DA0">
        <w:rPr>
          <w:rFonts w:ascii="Arial" w:hAnsi="Arial" w:cs="Arial"/>
          <w:noProof/>
          <w:sz w:val="24"/>
          <w:szCs w:val="24"/>
          <w:lang w:val="en-US"/>
        </w:rPr>
        <w:t>.</w:t>
      </w:r>
      <w:r w:rsidRPr="00531C70">
        <w:rPr>
          <w:rFonts w:ascii="Arial" w:hAnsi="Arial" w:cs="Arial"/>
          <w:noProof/>
          <w:sz w:val="24"/>
          <w:szCs w:val="24"/>
          <w:lang w:val="en-US"/>
        </w:rPr>
        <w:t xml:space="preserve"> Griggs AD</w:t>
      </w:r>
      <w:r w:rsidR="00FF4DA0">
        <w:rPr>
          <w:rFonts w:ascii="Arial" w:hAnsi="Arial" w:cs="Arial"/>
          <w:noProof/>
          <w:sz w:val="24"/>
          <w:szCs w:val="24"/>
          <w:lang w:val="en-US"/>
        </w:rPr>
        <w:t>.</w:t>
      </w:r>
      <w:r w:rsidRPr="00531C70">
        <w:rPr>
          <w:rFonts w:ascii="Arial" w:hAnsi="Arial" w:cs="Arial"/>
          <w:noProof/>
          <w:sz w:val="24"/>
          <w:szCs w:val="24"/>
          <w:lang w:val="en-US"/>
        </w:rPr>
        <w:t xml:space="preserve"> Haas BJ</w:t>
      </w:r>
      <w:r w:rsidR="00FF4DA0">
        <w:rPr>
          <w:rFonts w:ascii="Arial" w:hAnsi="Arial" w:cs="Arial"/>
          <w:noProof/>
          <w:sz w:val="24"/>
          <w:szCs w:val="24"/>
          <w:lang w:val="en-US"/>
        </w:rPr>
        <w:t>.</w:t>
      </w:r>
      <w:r w:rsidRPr="00531C70">
        <w:rPr>
          <w:rFonts w:ascii="Arial" w:hAnsi="Arial" w:cs="Arial"/>
          <w:noProof/>
          <w:sz w:val="24"/>
          <w:szCs w:val="24"/>
          <w:lang w:val="en-US"/>
        </w:rPr>
        <w:t xml:space="preserve"> Abeel T</w:t>
      </w:r>
      <w:r w:rsidR="00FF4DA0">
        <w:rPr>
          <w:rFonts w:ascii="Arial" w:hAnsi="Arial" w:cs="Arial"/>
          <w:noProof/>
          <w:sz w:val="24"/>
          <w:szCs w:val="24"/>
          <w:lang w:val="en-US"/>
        </w:rPr>
        <w:t>.</w:t>
      </w:r>
      <w:r w:rsidRPr="00531C70">
        <w:rPr>
          <w:rFonts w:ascii="Arial" w:hAnsi="Arial" w:cs="Arial"/>
          <w:noProof/>
          <w:sz w:val="24"/>
          <w:szCs w:val="24"/>
          <w:lang w:val="en-US"/>
        </w:rPr>
        <w:t xml:space="preserve"> Zeng Q</w:t>
      </w:r>
      <w:r w:rsidR="00FF4DA0">
        <w:rPr>
          <w:rFonts w:ascii="Arial" w:hAnsi="Arial" w:cs="Arial"/>
          <w:noProof/>
          <w:sz w:val="24"/>
          <w:szCs w:val="24"/>
          <w:lang w:val="en-US"/>
        </w:rPr>
        <w:t>.</w:t>
      </w:r>
      <w:r w:rsidRPr="00531C70">
        <w:rPr>
          <w:rFonts w:ascii="Arial" w:hAnsi="Arial" w:cs="Arial"/>
          <w:noProof/>
          <w:sz w:val="24"/>
          <w:szCs w:val="24"/>
          <w:lang w:val="en-US"/>
        </w:rPr>
        <w:t xml:space="preserve"> Nice JB</w:t>
      </w:r>
      <w:r w:rsidR="00FF4DA0">
        <w:rPr>
          <w:rFonts w:ascii="Arial" w:hAnsi="Arial" w:cs="Arial"/>
          <w:noProof/>
          <w:sz w:val="24"/>
          <w:szCs w:val="24"/>
          <w:lang w:val="en-US"/>
        </w:rPr>
        <w:t>.</w:t>
      </w:r>
      <w:r w:rsidRPr="00531C70">
        <w:rPr>
          <w:rFonts w:ascii="Arial" w:hAnsi="Arial" w:cs="Arial"/>
          <w:noProof/>
          <w:sz w:val="24"/>
          <w:szCs w:val="24"/>
          <w:lang w:val="en-US"/>
        </w:rPr>
        <w:t xml:space="preserve"> Macdonald H</w:t>
      </w:r>
      <w:r w:rsidR="00FF4DA0">
        <w:rPr>
          <w:rFonts w:ascii="Arial" w:hAnsi="Arial" w:cs="Arial"/>
          <w:noProof/>
          <w:sz w:val="24"/>
          <w:szCs w:val="24"/>
          <w:lang w:val="en-US"/>
        </w:rPr>
        <w:t>.</w:t>
      </w:r>
      <w:r w:rsidRPr="00531C70">
        <w:rPr>
          <w:rFonts w:ascii="Arial" w:hAnsi="Arial" w:cs="Arial"/>
          <w:noProof/>
          <w:sz w:val="24"/>
          <w:szCs w:val="24"/>
          <w:lang w:val="en-US"/>
        </w:rPr>
        <w:t xml:space="preserve"> Birren BW</w:t>
      </w:r>
      <w:r w:rsidR="00FF4DA0">
        <w:rPr>
          <w:rFonts w:ascii="Arial" w:hAnsi="Arial" w:cs="Arial"/>
          <w:noProof/>
          <w:sz w:val="24"/>
          <w:szCs w:val="24"/>
          <w:lang w:val="en-US"/>
        </w:rPr>
        <w:t>.</w:t>
      </w:r>
      <w:r w:rsidRPr="00531C70">
        <w:rPr>
          <w:rFonts w:ascii="Arial" w:hAnsi="Arial" w:cs="Arial"/>
          <w:noProof/>
          <w:sz w:val="24"/>
          <w:szCs w:val="24"/>
          <w:lang w:val="en-US"/>
        </w:rPr>
        <w:t xml:space="preserve"> Berger BW</w:t>
      </w:r>
      <w:r w:rsidR="00FF4DA0">
        <w:rPr>
          <w:rFonts w:ascii="Arial" w:hAnsi="Arial" w:cs="Arial"/>
          <w:noProof/>
          <w:sz w:val="24"/>
          <w:szCs w:val="24"/>
          <w:lang w:val="en-US"/>
        </w:rPr>
        <w:t>.</w:t>
      </w:r>
      <w:r w:rsidRPr="00531C70">
        <w:rPr>
          <w:rFonts w:ascii="Arial" w:hAnsi="Arial" w:cs="Arial"/>
          <w:noProof/>
          <w:sz w:val="24"/>
          <w:szCs w:val="24"/>
          <w:lang w:val="en-US"/>
        </w:rPr>
        <w:t xml:space="preserve"> Allen-Vercoe E</w:t>
      </w:r>
      <w:r w:rsidR="00FF4DA0">
        <w:rPr>
          <w:rFonts w:ascii="Arial" w:hAnsi="Arial" w:cs="Arial"/>
          <w:noProof/>
          <w:sz w:val="24"/>
          <w:szCs w:val="24"/>
          <w:lang w:val="en-US"/>
        </w:rPr>
        <w:t>.</w:t>
      </w:r>
      <w:r w:rsidRPr="00531C70">
        <w:rPr>
          <w:rFonts w:ascii="Arial" w:hAnsi="Arial" w:cs="Arial"/>
          <w:noProof/>
          <w:sz w:val="24"/>
          <w:szCs w:val="24"/>
          <w:lang w:val="en-US"/>
        </w:rPr>
        <w:t xml:space="preserve"> Earl AM</w:t>
      </w:r>
      <w:r w:rsidR="00FF4DA0">
        <w:rPr>
          <w:rFonts w:ascii="Arial" w:hAnsi="Arial" w:cs="Arial"/>
          <w:noProof/>
          <w:sz w:val="24"/>
          <w:szCs w:val="24"/>
          <w:lang w:val="en-US"/>
        </w:rPr>
        <w:t>.</w:t>
      </w:r>
      <w:r w:rsidRPr="00531C70">
        <w:rPr>
          <w:rFonts w:ascii="Arial" w:hAnsi="Arial" w:cs="Arial"/>
          <w:noProof/>
          <w:sz w:val="24"/>
          <w:szCs w:val="24"/>
          <w:lang w:val="en-US"/>
        </w:rPr>
        <w:t xml:space="preserve"> 2014</w:t>
      </w:r>
      <w:r w:rsidR="00FF4DA0">
        <w:rPr>
          <w:rFonts w:ascii="Arial" w:hAnsi="Arial" w:cs="Arial"/>
          <w:noProof/>
          <w:sz w:val="24"/>
          <w:szCs w:val="24"/>
          <w:lang w:val="en-US"/>
        </w:rPr>
        <w:t>.</w:t>
      </w:r>
      <w:r w:rsidRPr="00531C70">
        <w:rPr>
          <w:rFonts w:ascii="Arial" w:hAnsi="Arial" w:cs="Arial"/>
          <w:noProof/>
          <w:sz w:val="24"/>
          <w:szCs w:val="24"/>
          <w:lang w:val="en-US"/>
        </w:rPr>
        <w:t xml:space="preserve"> Evolution of invasion in a diverse set of Fusobacterium species</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2C11FF">
        <w:rPr>
          <w:rFonts w:ascii="Arial" w:hAnsi="Arial" w:cs="Arial"/>
          <w:noProof/>
          <w:sz w:val="24"/>
          <w:szCs w:val="24"/>
        </w:rPr>
        <w:t>MBio 5:e01864-14</w:t>
      </w:r>
      <w:r w:rsidR="00FF4DA0" w:rsidRPr="002C11FF">
        <w:rPr>
          <w:rFonts w:ascii="Arial" w:hAnsi="Arial" w:cs="Arial"/>
          <w:noProof/>
          <w:sz w:val="24"/>
          <w:szCs w:val="24"/>
        </w:rPr>
        <w:t>.</w:t>
      </w:r>
    </w:p>
    <w:p w14:paraId="11B46109" w14:textId="7F1395D0"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2C11FF">
        <w:rPr>
          <w:rFonts w:ascii="Arial" w:hAnsi="Arial" w:cs="Arial"/>
          <w:noProof/>
          <w:sz w:val="24"/>
          <w:szCs w:val="24"/>
        </w:rPr>
        <w:t>9</w:t>
      </w:r>
      <w:r w:rsidR="00FF4DA0" w:rsidRPr="002C11FF">
        <w:rPr>
          <w:rFonts w:ascii="Arial" w:hAnsi="Arial" w:cs="Arial"/>
          <w:noProof/>
          <w:sz w:val="24"/>
          <w:szCs w:val="24"/>
        </w:rPr>
        <w:t>.</w:t>
      </w:r>
      <w:r w:rsidRPr="002C11FF">
        <w:rPr>
          <w:rFonts w:ascii="Arial" w:hAnsi="Arial" w:cs="Arial"/>
          <w:noProof/>
          <w:sz w:val="24"/>
          <w:szCs w:val="24"/>
        </w:rPr>
        <w:t xml:space="preserve"> </w:t>
      </w:r>
      <w:r w:rsidRPr="002C11FF">
        <w:rPr>
          <w:rFonts w:ascii="Arial" w:hAnsi="Arial" w:cs="Arial"/>
          <w:noProof/>
          <w:sz w:val="24"/>
          <w:szCs w:val="24"/>
        </w:rPr>
        <w:tab/>
        <w:t>Duncan SH</w:t>
      </w:r>
      <w:r w:rsidR="00FF4DA0" w:rsidRPr="002C11FF">
        <w:rPr>
          <w:rFonts w:ascii="Arial" w:hAnsi="Arial" w:cs="Arial"/>
          <w:noProof/>
          <w:sz w:val="24"/>
          <w:szCs w:val="24"/>
        </w:rPr>
        <w:t>.</w:t>
      </w:r>
      <w:r w:rsidRPr="002C11FF">
        <w:rPr>
          <w:rFonts w:ascii="Arial" w:hAnsi="Arial" w:cs="Arial"/>
          <w:noProof/>
          <w:sz w:val="24"/>
          <w:szCs w:val="24"/>
        </w:rPr>
        <w:t xml:space="preserve"> Barcenilla A</w:t>
      </w:r>
      <w:r w:rsidR="00FF4DA0" w:rsidRPr="002C11FF">
        <w:rPr>
          <w:rFonts w:ascii="Arial" w:hAnsi="Arial" w:cs="Arial"/>
          <w:noProof/>
          <w:sz w:val="24"/>
          <w:szCs w:val="24"/>
        </w:rPr>
        <w:t>.</w:t>
      </w:r>
      <w:r w:rsidRPr="002C11FF">
        <w:rPr>
          <w:rFonts w:ascii="Arial" w:hAnsi="Arial" w:cs="Arial"/>
          <w:noProof/>
          <w:sz w:val="24"/>
          <w:szCs w:val="24"/>
        </w:rPr>
        <w:t xml:space="preserve"> Stewart CS</w:t>
      </w:r>
      <w:r w:rsidR="00FF4DA0" w:rsidRPr="002C11FF">
        <w:rPr>
          <w:rFonts w:ascii="Arial" w:hAnsi="Arial" w:cs="Arial"/>
          <w:noProof/>
          <w:sz w:val="24"/>
          <w:szCs w:val="24"/>
        </w:rPr>
        <w:t>.</w:t>
      </w:r>
      <w:r w:rsidRPr="002C11FF">
        <w:rPr>
          <w:rFonts w:ascii="Arial" w:hAnsi="Arial" w:cs="Arial"/>
          <w:noProof/>
          <w:sz w:val="24"/>
          <w:szCs w:val="24"/>
        </w:rPr>
        <w:t xml:space="preserve"> Pryde SE</w:t>
      </w:r>
      <w:r w:rsidR="00FF4DA0" w:rsidRPr="002C11FF">
        <w:rPr>
          <w:rFonts w:ascii="Arial" w:hAnsi="Arial" w:cs="Arial"/>
          <w:noProof/>
          <w:sz w:val="24"/>
          <w:szCs w:val="24"/>
        </w:rPr>
        <w:t>.</w:t>
      </w:r>
      <w:r w:rsidRPr="002C11FF">
        <w:rPr>
          <w:rFonts w:ascii="Arial" w:hAnsi="Arial" w:cs="Arial"/>
          <w:noProof/>
          <w:sz w:val="24"/>
          <w:szCs w:val="24"/>
        </w:rPr>
        <w:t xml:space="preserve"> </w:t>
      </w:r>
      <w:r w:rsidRPr="00531C70">
        <w:rPr>
          <w:rFonts w:ascii="Arial" w:hAnsi="Arial" w:cs="Arial"/>
          <w:noProof/>
          <w:sz w:val="24"/>
          <w:szCs w:val="24"/>
          <w:lang w:val="en-US"/>
        </w:rPr>
        <w:t>Flint HJ</w:t>
      </w:r>
      <w:r w:rsidR="00FF4DA0">
        <w:rPr>
          <w:rFonts w:ascii="Arial" w:hAnsi="Arial" w:cs="Arial"/>
          <w:noProof/>
          <w:sz w:val="24"/>
          <w:szCs w:val="24"/>
          <w:lang w:val="en-US"/>
        </w:rPr>
        <w:t>.</w:t>
      </w:r>
      <w:r w:rsidRPr="00531C70">
        <w:rPr>
          <w:rFonts w:ascii="Arial" w:hAnsi="Arial" w:cs="Arial"/>
          <w:noProof/>
          <w:sz w:val="24"/>
          <w:szCs w:val="24"/>
          <w:lang w:val="en-US"/>
        </w:rPr>
        <w:t xml:space="preserve"> 2002</w:t>
      </w:r>
      <w:r w:rsidR="00FF4DA0">
        <w:rPr>
          <w:rFonts w:ascii="Arial" w:hAnsi="Arial" w:cs="Arial"/>
          <w:noProof/>
          <w:sz w:val="24"/>
          <w:szCs w:val="24"/>
          <w:lang w:val="en-US"/>
        </w:rPr>
        <w:t>.</w:t>
      </w:r>
      <w:r w:rsidRPr="00531C70">
        <w:rPr>
          <w:rFonts w:ascii="Arial" w:hAnsi="Arial" w:cs="Arial"/>
          <w:noProof/>
          <w:sz w:val="24"/>
          <w:szCs w:val="24"/>
          <w:lang w:val="en-US"/>
        </w:rPr>
        <w:t xml:space="preserve"> Acetate utilization and butyryl coenzyme A (CoA): Acetate-CoA transferase in butyrate-producing bacteria from the human large intestine</w:t>
      </w:r>
      <w:r w:rsidR="00FF4DA0">
        <w:rPr>
          <w:rFonts w:ascii="Arial" w:hAnsi="Arial" w:cs="Arial"/>
          <w:noProof/>
          <w:sz w:val="24"/>
          <w:szCs w:val="24"/>
          <w:lang w:val="en-US"/>
        </w:rPr>
        <w:t>.</w:t>
      </w:r>
      <w:r w:rsidRPr="00531C70">
        <w:rPr>
          <w:rFonts w:ascii="Arial" w:hAnsi="Arial" w:cs="Arial"/>
          <w:noProof/>
          <w:sz w:val="24"/>
          <w:szCs w:val="24"/>
          <w:lang w:val="en-US"/>
        </w:rPr>
        <w:t xml:space="preserve"> Appl Environ Microbiol 68:5186–5190</w:t>
      </w:r>
      <w:r w:rsidR="00FF4DA0">
        <w:rPr>
          <w:rFonts w:ascii="Arial" w:hAnsi="Arial" w:cs="Arial"/>
          <w:noProof/>
          <w:sz w:val="24"/>
          <w:szCs w:val="24"/>
          <w:lang w:val="en-US"/>
        </w:rPr>
        <w:t>.</w:t>
      </w:r>
    </w:p>
    <w:p w14:paraId="4FFB3F8E" w14:textId="099B90AB"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10</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r>
      <w:r w:rsidRPr="002C11FF">
        <w:rPr>
          <w:rFonts w:ascii="Arial" w:hAnsi="Arial" w:cs="Arial"/>
          <w:noProof/>
          <w:sz w:val="24"/>
          <w:szCs w:val="24"/>
          <w:lang w:val="en-US"/>
        </w:rPr>
        <w:t>Tamanai-Shacoori Z</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Smida I</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Bousarghin L</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Loreal O</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Meuric V</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Fong SB</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w:t>
      </w:r>
      <w:r w:rsidRPr="00531C70">
        <w:rPr>
          <w:rFonts w:ascii="Arial" w:hAnsi="Arial" w:cs="Arial"/>
          <w:noProof/>
          <w:sz w:val="24"/>
          <w:szCs w:val="24"/>
          <w:lang w:val="en-US"/>
        </w:rPr>
        <w:t>Bonnaure-Mallet M</w:t>
      </w:r>
      <w:r w:rsidR="00FF4DA0">
        <w:rPr>
          <w:rFonts w:ascii="Arial" w:hAnsi="Arial" w:cs="Arial"/>
          <w:noProof/>
          <w:sz w:val="24"/>
          <w:szCs w:val="24"/>
          <w:lang w:val="en-US"/>
        </w:rPr>
        <w:t>.</w:t>
      </w:r>
      <w:r w:rsidRPr="00531C70">
        <w:rPr>
          <w:rFonts w:ascii="Arial" w:hAnsi="Arial" w:cs="Arial"/>
          <w:noProof/>
          <w:sz w:val="24"/>
          <w:szCs w:val="24"/>
          <w:lang w:val="en-US"/>
        </w:rPr>
        <w:t xml:space="preserve"> Jolivet-Gougeon A</w:t>
      </w:r>
      <w:r w:rsidR="00FF4DA0">
        <w:rPr>
          <w:rFonts w:ascii="Arial" w:hAnsi="Arial" w:cs="Arial"/>
          <w:noProof/>
          <w:sz w:val="24"/>
          <w:szCs w:val="24"/>
          <w:lang w:val="en-US"/>
        </w:rPr>
        <w:t>.</w:t>
      </w:r>
      <w:r w:rsidRPr="00531C70">
        <w:rPr>
          <w:rFonts w:ascii="Arial" w:hAnsi="Arial" w:cs="Arial"/>
          <w:noProof/>
          <w:sz w:val="24"/>
          <w:szCs w:val="24"/>
          <w:lang w:val="en-US"/>
        </w:rPr>
        <w:t xml:space="preserve"> 2017</w:t>
      </w:r>
      <w:r w:rsidR="00FF4DA0">
        <w:rPr>
          <w:rFonts w:ascii="Arial" w:hAnsi="Arial" w:cs="Arial"/>
          <w:noProof/>
          <w:sz w:val="24"/>
          <w:szCs w:val="24"/>
          <w:lang w:val="en-US"/>
        </w:rPr>
        <w:t>.</w:t>
      </w:r>
      <w:r w:rsidRPr="00531C70">
        <w:rPr>
          <w:rFonts w:ascii="Arial" w:hAnsi="Arial" w:cs="Arial"/>
          <w:noProof/>
          <w:sz w:val="24"/>
          <w:szCs w:val="24"/>
          <w:lang w:val="en-US"/>
        </w:rPr>
        <w:t xml:space="preserve"> Roseburia spp</w:t>
      </w:r>
      <w:r w:rsidR="00FF4DA0">
        <w:rPr>
          <w:rFonts w:ascii="Arial" w:hAnsi="Arial" w:cs="Arial"/>
          <w:noProof/>
          <w:sz w:val="24"/>
          <w:szCs w:val="24"/>
          <w:lang w:val="en-US"/>
        </w:rPr>
        <w:t>.</w:t>
      </w:r>
      <w:r w:rsidRPr="00531C70">
        <w:rPr>
          <w:rFonts w:ascii="Arial" w:hAnsi="Arial" w:cs="Arial"/>
          <w:noProof/>
          <w:sz w:val="24"/>
          <w:szCs w:val="24"/>
          <w:lang w:val="en-US"/>
        </w:rPr>
        <w:t>: A marker of health? Future Microbiol 12:157–170</w:t>
      </w:r>
      <w:r w:rsidR="00FF4DA0">
        <w:rPr>
          <w:rFonts w:ascii="Arial" w:hAnsi="Arial" w:cs="Arial"/>
          <w:noProof/>
          <w:sz w:val="24"/>
          <w:szCs w:val="24"/>
          <w:lang w:val="en-US"/>
        </w:rPr>
        <w:t>.</w:t>
      </w:r>
    </w:p>
    <w:p w14:paraId="74C207A5" w14:textId="2A378AE1" w:rsidR="00D77F5F" w:rsidRPr="002C11FF"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531C70">
        <w:rPr>
          <w:rFonts w:ascii="Arial" w:hAnsi="Arial" w:cs="Arial"/>
          <w:noProof/>
          <w:sz w:val="24"/>
          <w:szCs w:val="24"/>
          <w:lang w:val="en-US"/>
        </w:rPr>
        <w:t>11</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Tremaroli V</w:t>
      </w:r>
      <w:r w:rsidR="00FF4DA0">
        <w:rPr>
          <w:rFonts w:ascii="Arial" w:hAnsi="Arial" w:cs="Arial"/>
          <w:noProof/>
          <w:sz w:val="24"/>
          <w:szCs w:val="24"/>
          <w:lang w:val="en-US"/>
        </w:rPr>
        <w:t>.</w:t>
      </w:r>
      <w:r w:rsidRPr="00531C70">
        <w:rPr>
          <w:rFonts w:ascii="Arial" w:hAnsi="Arial" w:cs="Arial"/>
          <w:noProof/>
          <w:sz w:val="24"/>
          <w:szCs w:val="24"/>
          <w:lang w:val="en-US"/>
        </w:rPr>
        <w:t xml:space="preserve"> Bäckhed F</w:t>
      </w:r>
      <w:r w:rsidR="00FF4DA0">
        <w:rPr>
          <w:rFonts w:ascii="Arial" w:hAnsi="Arial" w:cs="Arial"/>
          <w:noProof/>
          <w:sz w:val="24"/>
          <w:szCs w:val="24"/>
          <w:lang w:val="en-US"/>
        </w:rPr>
        <w:t>.</w:t>
      </w:r>
      <w:r w:rsidRPr="00531C70">
        <w:rPr>
          <w:rFonts w:ascii="Arial" w:hAnsi="Arial" w:cs="Arial"/>
          <w:noProof/>
          <w:sz w:val="24"/>
          <w:szCs w:val="24"/>
          <w:lang w:val="en-US"/>
        </w:rPr>
        <w:t xml:space="preserve"> 2012</w:t>
      </w:r>
      <w:r w:rsidR="00FF4DA0">
        <w:rPr>
          <w:rFonts w:ascii="Arial" w:hAnsi="Arial" w:cs="Arial"/>
          <w:noProof/>
          <w:sz w:val="24"/>
          <w:szCs w:val="24"/>
          <w:lang w:val="en-US"/>
        </w:rPr>
        <w:t>.</w:t>
      </w:r>
      <w:r w:rsidRPr="00531C70">
        <w:rPr>
          <w:rFonts w:ascii="Arial" w:hAnsi="Arial" w:cs="Arial"/>
          <w:noProof/>
          <w:sz w:val="24"/>
          <w:szCs w:val="24"/>
          <w:lang w:val="en-US"/>
        </w:rPr>
        <w:t xml:space="preserve"> Functional interactions between the gut microbiota and host metabolism</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2C11FF">
        <w:rPr>
          <w:rFonts w:ascii="Arial" w:hAnsi="Arial" w:cs="Arial"/>
          <w:noProof/>
          <w:sz w:val="24"/>
          <w:szCs w:val="24"/>
        </w:rPr>
        <w:t>Nature 489:242–249</w:t>
      </w:r>
      <w:r w:rsidR="00FF4DA0" w:rsidRPr="002C11FF">
        <w:rPr>
          <w:rFonts w:ascii="Arial" w:hAnsi="Arial" w:cs="Arial"/>
          <w:noProof/>
          <w:sz w:val="24"/>
          <w:szCs w:val="24"/>
        </w:rPr>
        <w:t>.</w:t>
      </w:r>
    </w:p>
    <w:p w14:paraId="52AC35B5" w14:textId="0A8C02BC"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2C11FF">
        <w:rPr>
          <w:rFonts w:ascii="Arial" w:hAnsi="Arial" w:cs="Arial"/>
          <w:noProof/>
          <w:sz w:val="24"/>
          <w:szCs w:val="24"/>
        </w:rPr>
        <w:t>12</w:t>
      </w:r>
      <w:r w:rsidR="00FF4DA0" w:rsidRPr="002C11FF">
        <w:rPr>
          <w:rFonts w:ascii="Arial" w:hAnsi="Arial" w:cs="Arial"/>
          <w:noProof/>
          <w:sz w:val="24"/>
          <w:szCs w:val="24"/>
        </w:rPr>
        <w:t>.</w:t>
      </w:r>
      <w:r w:rsidRPr="002C11FF">
        <w:rPr>
          <w:rFonts w:ascii="Arial" w:hAnsi="Arial" w:cs="Arial"/>
          <w:noProof/>
          <w:sz w:val="24"/>
          <w:szCs w:val="24"/>
        </w:rPr>
        <w:t xml:space="preserve"> </w:t>
      </w:r>
      <w:r w:rsidRPr="002C11FF">
        <w:rPr>
          <w:rFonts w:ascii="Arial" w:hAnsi="Arial" w:cs="Arial"/>
          <w:noProof/>
          <w:sz w:val="24"/>
          <w:szCs w:val="24"/>
        </w:rPr>
        <w:tab/>
        <w:t>Lopez-Siles M</w:t>
      </w:r>
      <w:r w:rsidR="00FF4DA0" w:rsidRPr="002C11FF">
        <w:rPr>
          <w:rFonts w:ascii="Arial" w:hAnsi="Arial" w:cs="Arial"/>
          <w:noProof/>
          <w:sz w:val="24"/>
          <w:szCs w:val="24"/>
        </w:rPr>
        <w:t>.</w:t>
      </w:r>
      <w:r w:rsidRPr="002C11FF">
        <w:rPr>
          <w:rFonts w:ascii="Arial" w:hAnsi="Arial" w:cs="Arial"/>
          <w:noProof/>
          <w:sz w:val="24"/>
          <w:szCs w:val="24"/>
        </w:rPr>
        <w:t xml:space="preserve"> Duncan SH</w:t>
      </w:r>
      <w:r w:rsidR="00FF4DA0" w:rsidRPr="002C11FF">
        <w:rPr>
          <w:rFonts w:ascii="Arial" w:hAnsi="Arial" w:cs="Arial"/>
          <w:noProof/>
          <w:sz w:val="24"/>
          <w:szCs w:val="24"/>
        </w:rPr>
        <w:t>.</w:t>
      </w:r>
      <w:r w:rsidRPr="002C11FF">
        <w:rPr>
          <w:rFonts w:ascii="Arial" w:hAnsi="Arial" w:cs="Arial"/>
          <w:noProof/>
          <w:sz w:val="24"/>
          <w:szCs w:val="24"/>
        </w:rPr>
        <w:t xml:space="preserve"> Garcia-Gil LJ</w:t>
      </w:r>
      <w:r w:rsidR="00FF4DA0" w:rsidRPr="002C11FF">
        <w:rPr>
          <w:rFonts w:ascii="Arial" w:hAnsi="Arial" w:cs="Arial"/>
          <w:noProof/>
          <w:sz w:val="24"/>
          <w:szCs w:val="24"/>
        </w:rPr>
        <w:t>.</w:t>
      </w:r>
      <w:r w:rsidRPr="002C11FF">
        <w:rPr>
          <w:rFonts w:ascii="Arial" w:hAnsi="Arial" w:cs="Arial"/>
          <w:noProof/>
          <w:sz w:val="24"/>
          <w:szCs w:val="24"/>
        </w:rPr>
        <w:t xml:space="preserve"> Martinez-Medina M</w:t>
      </w:r>
      <w:r w:rsidR="00FF4DA0" w:rsidRPr="002C11FF">
        <w:rPr>
          <w:rFonts w:ascii="Arial" w:hAnsi="Arial" w:cs="Arial"/>
          <w:noProof/>
          <w:sz w:val="24"/>
          <w:szCs w:val="24"/>
        </w:rPr>
        <w:t>.</w:t>
      </w:r>
      <w:r w:rsidRPr="002C11FF">
        <w:rPr>
          <w:rFonts w:ascii="Arial" w:hAnsi="Arial" w:cs="Arial"/>
          <w:noProof/>
          <w:sz w:val="24"/>
          <w:szCs w:val="24"/>
        </w:rPr>
        <w:t xml:space="preserve"> 2017</w:t>
      </w:r>
      <w:r w:rsidR="00FF4DA0" w:rsidRPr="002C11FF">
        <w:rPr>
          <w:rFonts w:ascii="Arial" w:hAnsi="Arial" w:cs="Arial"/>
          <w:noProof/>
          <w:sz w:val="24"/>
          <w:szCs w:val="24"/>
        </w:rPr>
        <w:t>.</w:t>
      </w:r>
      <w:r w:rsidRPr="002C11FF">
        <w:rPr>
          <w:rFonts w:ascii="Arial" w:hAnsi="Arial" w:cs="Arial"/>
          <w:noProof/>
          <w:sz w:val="24"/>
          <w:szCs w:val="24"/>
        </w:rPr>
        <w:t xml:space="preserve"> </w:t>
      </w:r>
      <w:r w:rsidRPr="00531C70">
        <w:rPr>
          <w:rFonts w:ascii="Arial" w:hAnsi="Arial" w:cs="Arial"/>
          <w:noProof/>
          <w:sz w:val="24"/>
          <w:szCs w:val="24"/>
          <w:lang w:val="en-US"/>
        </w:rPr>
        <w:t>Faecalibacterium prausnitzii: From microbiology to diagnostics and prognostics</w:t>
      </w:r>
      <w:r w:rsidR="00FF4DA0">
        <w:rPr>
          <w:rFonts w:ascii="Arial" w:hAnsi="Arial" w:cs="Arial"/>
          <w:noProof/>
          <w:sz w:val="24"/>
          <w:szCs w:val="24"/>
          <w:lang w:val="en-US"/>
        </w:rPr>
        <w:t>.</w:t>
      </w:r>
      <w:r w:rsidRPr="00531C70">
        <w:rPr>
          <w:rFonts w:ascii="Arial" w:hAnsi="Arial" w:cs="Arial"/>
          <w:noProof/>
          <w:sz w:val="24"/>
          <w:szCs w:val="24"/>
          <w:lang w:val="en-US"/>
        </w:rPr>
        <w:t xml:space="preserve"> ISME J 11:841–852</w:t>
      </w:r>
      <w:r w:rsidR="00FF4DA0">
        <w:rPr>
          <w:rFonts w:ascii="Arial" w:hAnsi="Arial" w:cs="Arial"/>
          <w:noProof/>
          <w:sz w:val="24"/>
          <w:szCs w:val="24"/>
          <w:lang w:val="en-US"/>
        </w:rPr>
        <w:t>.</w:t>
      </w:r>
    </w:p>
    <w:p w14:paraId="339548D5" w14:textId="29F2CBFB"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13</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Bradfield MFA</w:t>
      </w:r>
      <w:r w:rsidR="00FF4DA0">
        <w:rPr>
          <w:rFonts w:ascii="Arial" w:hAnsi="Arial" w:cs="Arial"/>
          <w:noProof/>
          <w:sz w:val="24"/>
          <w:szCs w:val="24"/>
          <w:lang w:val="en-US"/>
        </w:rPr>
        <w:t>.</w:t>
      </w:r>
      <w:r w:rsidRPr="00531C70">
        <w:rPr>
          <w:rFonts w:ascii="Arial" w:hAnsi="Arial" w:cs="Arial"/>
          <w:noProof/>
          <w:sz w:val="24"/>
          <w:szCs w:val="24"/>
          <w:lang w:val="en-US"/>
        </w:rPr>
        <w:t xml:space="preserve"> Mohagheghi A</w:t>
      </w:r>
      <w:r w:rsidR="00FF4DA0">
        <w:rPr>
          <w:rFonts w:ascii="Arial" w:hAnsi="Arial" w:cs="Arial"/>
          <w:noProof/>
          <w:sz w:val="24"/>
          <w:szCs w:val="24"/>
          <w:lang w:val="en-US"/>
        </w:rPr>
        <w:t>.</w:t>
      </w:r>
      <w:r w:rsidRPr="00531C70">
        <w:rPr>
          <w:rFonts w:ascii="Arial" w:hAnsi="Arial" w:cs="Arial"/>
          <w:noProof/>
          <w:sz w:val="24"/>
          <w:szCs w:val="24"/>
          <w:lang w:val="en-US"/>
        </w:rPr>
        <w:t xml:space="preserve"> Salvachúa D</w:t>
      </w:r>
      <w:r w:rsidR="00FF4DA0">
        <w:rPr>
          <w:rFonts w:ascii="Arial" w:hAnsi="Arial" w:cs="Arial"/>
          <w:noProof/>
          <w:sz w:val="24"/>
          <w:szCs w:val="24"/>
          <w:lang w:val="en-US"/>
        </w:rPr>
        <w:t>.</w:t>
      </w:r>
      <w:r w:rsidRPr="00531C70">
        <w:rPr>
          <w:rFonts w:ascii="Arial" w:hAnsi="Arial" w:cs="Arial"/>
          <w:noProof/>
          <w:sz w:val="24"/>
          <w:szCs w:val="24"/>
          <w:lang w:val="en-US"/>
        </w:rPr>
        <w:t xml:space="preserve"> Smith H</w:t>
      </w:r>
      <w:r w:rsidR="00FF4DA0">
        <w:rPr>
          <w:rFonts w:ascii="Arial" w:hAnsi="Arial" w:cs="Arial"/>
          <w:noProof/>
          <w:sz w:val="24"/>
          <w:szCs w:val="24"/>
          <w:lang w:val="en-US"/>
        </w:rPr>
        <w:t>.</w:t>
      </w:r>
      <w:r w:rsidRPr="00531C70">
        <w:rPr>
          <w:rFonts w:ascii="Arial" w:hAnsi="Arial" w:cs="Arial"/>
          <w:noProof/>
          <w:sz w:val="24"/>
          <w:szCs w:val="24"/>
          <w:lang w:val="en-US"/>
        </w:rPr>
        <w:t xml:space="preserve"> Black BA</w:t>
      </w:r>
      <w:r w:rsidR="00FF4DA0">
        <w:rPr>
          <w:rFonts w:ascii="Arial" w:hAnsi="Arial" w:cs="Arial"/>
          <w:noProof/>
          <w:sz w:val="24"/>
          <w:szCs w:val="24"/>
          <w:lang w:val="en-US"/>
        </w:rPr>
        <w:t>.</w:t>
      </w:r>
      <w:r w:rsidRPr="00531C70">
        <w:rPr>
          <w:rFonts w:ascii="Arial" w:hAnsi="Arial" w:cs="Arial"/>
          <w:noProof/>
          <w:sz w:val="24"/>
          <w:szCs w:val="24"/>
          <w:lang w:val="en-US"/>
        </w:rPr>
        <w:t xml:space="preserve"> Dowe N</w:t>
      </w:r>
      <w:r w:rsidR="00FF4DA0">
        <w:rPr>
          <w:rFonts w:ascii="Arial" w:hAnsi="Arial" w:cs="Arial"/>
          <w:noProof/>
          <w:sz w:val="24"/>
          <w:szCs w:val="24"/>
          <w:lang w:val="en-US"/>
        </w:rPr>
        <w:t>.</w:t>
      </w:r>
      <w:r w:rsidRPr="00531C70">
        <w:rPr>
          <w:rFonts w:ascii="Arial" w:hAnsi="Arial" w:cs="Arial"/>
          <w:noProof/>
          <w:sz w:val="24"/>
          <w:szCs w:val="24"/>
          <w:lang w:val="en-US"/>
        </w:rPr>
        <w:t xml:space="preserve"> Beckham GT</w:t>
      </w:r>
      <w:r w:rsidR="00FF4DA0">
        <w:rPr>
          <w:rFonts w:ascii="Arial" w:hAnsi="Arial" w:cs="Arial"/>
          <w:noProof/>
          <w:sz w:val="24"/>
          <w:szCs w:val="24"/>
          <w:lang w:val="en-US"/>
        </w:rPr>
        <w:t>.</w:t>
      </w:r>
      <w:r w:rsidRPr="00531C70">
        <w:rPr>
          <w:rFonts w:ascii="Arial" w:hAnsi="Arial" w:cs="Arial"/>
          <w:noProof/>
          <w:sz w:val="24"/>
          <w:szCs w:val="24"/>
          <w:lang w:val="en-US"/>
        </w:rPr>
        <w:t xml:space="preserve"> Nicol W</w:t>
      </w:r>
      <w:r w:rsidR="00FF4DA0">
        <w:rPr>
          <w:rFonts w:ascii="Arial" w:hAnsi="Arial" w:cs="Arial"/>
          <w:noProof/>
          <w:sz w:val="24"/>
          <w:szCs w:val="24"/>
          <w:lang w:val="en-US"/>
        </w:rPr>
        <w:t>.</w:t>
      </w:r>
      <w:r w:rsidRPr="00531C70">
        <w:rPr>
          <w:rFonts w:ascii="Arial" w:hAnsi="Arial" w:cs="Arial"/>
          <w:noProof/>
          <w:sz w:val="24"/>
          <w:szCs w:val="24"/>
          <w:lang w:val="en-US"/>
        </w:rPr>
        <w:t xml:space="preserve"> 2015</w:t>
      </w:r>
      <w:r w:rsidR="00FF4DA0">
        <w:rPr>
          <w:rFonts w:ascii="Arial" w:hAnsi="Arial" w:cs="Arial"/>
          <w:noProof/>
          <w:sz w:val="24"/>
          <w:szCs w:val="24"/>
          <w:lang w:val="en-US"/>
        </w:rPr>
        <w:t>.</w:t>
      </w:r>
      <w:r w:rsidRPr="00531C70">
        <w:rPr>
          <w:rFonts w:ascii="Arial" w:hAnsi="Arial" w:cs="Arial"/>
          <w:noProof/>
          <w:sz w:val="24"/>
          <w:szCs w:val="24"/>
          <w:lang w:val="en-US"/>
        </w:rPr>
        <w:t xml:space="preserve"> Continuous succinic acid production by Actinobacillus succinogenes on xylose-enriched hydrolysate</w:t>
      </w:r>
      <w:r w:rsidR="00FF4DA0">
        <w:rPr>
          <w:rFonts w:ascii="Arial" w:hAnsi="Arial" w:cs="Arial"/>
          <w:noProof/>
          <w:sz w:val="24"/>
          <w:szCs w:val="24"/>
          <w:lang w:val="en-US"/>
        </w:rPr>
        <w:t>.</w:t>
      </w:r>
      <w:r w:rsidRPr="00531C70">
        <w:rPr>
          <w:rFonts w:ascii="Arial" w:hAnsi="Arial" w:cs="Arial"/>
          <w:noProof/>
          <w:sz w:val="24"/>
          <w:szCs w:val="24"/>
          <w:lang w:val="en-US"/>
        </w:rPr>
        <w:t xml:space="preserve"> Biotechnol Biofuels 8:181</w:t>
      </w:r>
      <w:r w:rsidR="00FF4DA0">
        <w:rPr>
          <w:rFonts w:ascii="Arial" w:hAnsi="Arial" w:cs="Arial"/>
          <w:noProof/>
          <w:sz w:val="24"/>
          <w:szCs w:val="24"/>
          <w:lang w:val="en-US"/>
        </w:rPr>
        <w:t>.</w:t>
      </w:r>
    </w:p>
    <w:p w14:paraId="0117D253" w14:textId="1E52C21B"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14</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Ke S</w:t>
      </w:r>
      <w:r w:rsidR="00FF4DA0">
        <w:rPr>
          <w:rFonts w:ascii="Arial" w:hAnsi="Arial" w:cs="Arial"/>
          <w:noProof/>
          <w:sz w:val="24"/>
          <w:szCs w:val="24"/>
          <w:lang w:val="en-US"/>
        </w:rPr>
        <w:t>.</w:t>
      </w:r>
      <w:r w:rsidRPr="00531C70">
        <w:rPr>
          <w:rFonts w:ascii="Arial" w:hAnsi="Arial" w:cs="Arial"/>
          <w:noProof/>
          <w:sz w:val="24"/>
          <w:szCs w:val="24"/>
          <w:lang w:val="en-US"/>
        </w:rPr>
        <w:t xml:space="preserve"> Fang S</w:t>
      </w:r>
      <w:r w:rsidR="00FF4DA0">
        <w:rPr>
          <w:rFonts w:ascii="Arial" w:hAnsi="Arial" w:cs="Arial"/>
          <w:noProof/>
          <w:sz w:val="24"/>
          <w:szCs w:val="24"/>
          <w:lang w:val="en-US"/>
        </w:rPr>
        <w:t>.</w:t>
      </w:r>
      <w:r w:rsidRPr="00531C70">
        <w:rPr>
          <w:rFonts w:ascii="Arial" w:hAnsi="Arial" w:cs="Arial"/>
          <w:noProof/>
          <w:sz w:val="24"/>
          <w:szCs w:val="24"/>
          <w:lang w:val="en-US"/>
        </w:rPr>
        <w:t xml:space="preserve"> He M</w:t>
      </w:r>
      <w:r w:rsidR="00FF4DA0">
        <w:rPr>
          <w:rFonts w:ascii="Arial" w:hAnsi="Arial" w:cs="Arial"/>
          <w:noProof/>
          <w:sz w:val="24"/>
          <w:szCs w:val="24"/>
          <w:lang w:val="en-US"/>
        </w:rPr>
        <w:t>.</w:t>
      </w:r>
      <w:r w:rsidRPr="00531C70">
        <w:rPr>
          <w:rFonts w:ascii="Arial" w:hAnsi="Arial" w:cs="Arial"/>
          <w:noProof/>
          <w:sz w:val="24"/>
          <w:szCs w:val="24"/>
          <w:lang w:val="en-US"/>
        </w:rPr>
        <w:t xml:space="preserve"> Huang X</w:t>
      </w:r>
      <w:r w:rsidR="00FF4DA0">
        <w:rPr>
          <w:rFonts w:ascii="Arial" w:hAnsi="Arial" w:cs="Arial"/>
          <w:noProof/>
          <w:sz w:val="24"/>
          <w:szCs w:val="24"/>
          <w:lang w:val="en-US"/>
        </w:rPr>
        <w:t>.</w:t>
      </w:r>
      <w:r w:rsidRPr="00531C70">
        <w:rPr>
          <w:rFonts w:ascii="Arial" w:hAnsi="Arial" w:cs="Arial"/>
          <w:noProof/>
          <w:sz w:val="24"/>
          <w:szCs w:val="24"/>
          <w:lang w:val="en-US"/>
        </w:rPr>
        <w:t xml:space="preserve"> Yang H</w:t>
      </w:r>
      <w:r w:rsidR="00FF4DA0">
        <w:rPr>
          <w:rFonts w:ascii="Arial" w:hAnsi="Arial" w:cs="Arial"/>
          <w:noProof/>
          <w:sz w:val="24"/>
          <w:szCs w:val="24"/>
          <w:lang w:val="en-US"/>
        </w:rPr>
        <w:t>.</w:t>
      </w:r>
      <w:r w:rsidRPr="00531C70">
        <w:rPr>
          <w:rFonts w:ascii="Arial" w:hAnsi="Arial" w:cs="Arial"/>
          <w:noProof/>
          <w:sz w:val="24"/>
          <w:szCs w:val="24"/>
          <w:lang w:val="en-US"/>
        </w:rPr>
        <w:t xml:space="preserve"> Yang B</w:t>
      </w:r>
      <w:r w:rsidR="00FF4DA0">
        <w:rPr>
          <w:rFonts w:ascii="Arial" w:hAnsi="Arial" w:cs="Arial"/>
          <w:noProof/>
          <w:sz w:val="24"/>
          <w:szCs w:val="24"/>
          <w:lang w:val="en-US"/>
        </w:rPr>
        <w:t>.</w:t>
      </w:r>
      <w:r w:rsidRPr="00531C70">
        <w:rPr>
          <w:rFonts w:ascii="Arial" w:hAnsi="Arial" w:cs="Arial"/>
          <w:noProof/>
          <w:sz w:val="24"/>
          <w:szCs w:val="24"/>
          <w:lang w:val="en-US"/>
        </w:rPr>
        <w:t xml:space="preserve"> Chen C</w:t>
      </w:r>
      <w:r w:rsidR="00FF4DA0">
        <w:rPr>
          <w:rFonts w:ascii="Arial" w:hAnsi="Arial" w:cs="Arial"/>
          <w:noProof/>
          <w:sz w:val="24"/>
          <w:szCs w:val="24"/>
          <w:lang w:val="en-US"/>
        </w:rPr>
        <w:t>.</w:t>
      </w:r>
      <w:r w:rsidRPr="00531C70">
        <w:rPr>
          <w:rFonts w:ascii="Arial" w:hAnsi="Arial" w:cs="Arial"/>
          <w:noProof/>
          <w:sz w:val="24"/>
          <w:szCs w:val="24"/>
          <w:lang w:val="en-US"/>
        </w:rPr>
        <w:t xml:space="preserve"> Huang L</w:t>
      </w:r>
      <w:r w:rsidR="00FF4DA0">
        <w:rPr>
          <w:rFonts w:ascii="Arial" w:hAnsi="Arial" w:cs="Arial"/>
          <w:noProof/>
          <w:sz w:val="24"/>
          <w:szCs w:val="24"/>
          <w:lang w:val="en-US"/>
        </w:rPr>
        <w:t>.</w:t>
      </w:r>
      <w:r w:rsidRPr="00531C70">
        <w:rPr>
          <w:rFonts w:ascii="Arial" w:hAnsi="Arial" w:cs="Arial"/>
          <w:noProof/>
          <w:sz w:val="24"/>
          <w:szCs w:val="24"/>
          <w:lang w:val="en-US"/>
        </w:rPr>
        <w:t xml:space="preserve"> 2019</w:t>
      </w:r>
      <w:r w:rsidR="00FF4DA0">
        <w:rPr>
          <w:rFonts w:ascii="Arial" w:hAnsi="Arial" w:cs="Arial"/>
          <w:noProof/>
          <w:sz w:val="24"/>
          <w:szCs w:val="24"/>
          <w:lang w:val="en-US"/>
        </w:rPr>
        <w:t>.</w:t>
      </w:r>
      <w:r w:rsidRPr="00531C70">
        <w:rPr>
          <w:rFonts w:ascii="Arial" w:hAnsi="Arial" w:cs="Arial"/>
          <w:noProof/>
          <w:sz w:val="24"/>
          <w:szCs w:val="24"/>
          <w:lang w:val="en-US"/>
        </w:rPr>
        <w:t xml:space="preserve"> Age-based dynamic changes of phylogenetic composition and interaction networks of health pig gut microbiome feeding in a uniformed condition</w:t>
      </w:r>
      <w:r w:rsidR="00FF4DA0">
        <w:rPr>
          <w:rFonts w:ascii="Arial" w:hAnsi="Arial" w:cs="Arial"/>
          <w:noProof/>
          <w:sz w:val="24"/>
          <w:szCs w:val="24"/>
          <w:lang w:val="en-US"/>
        </w:rPr>
        <w:t>.</w:t>
      </w:r>
      <w:r w:rsidRPr="00531C70">
        <w:rPr>
          <w:rFonts w:ascii="Arial" w:hAnsi="Arial" w:cs="Arial"/>
          <w:noProof/>
          <w:sz w:val="24"/>
          <w:szCs w:val="24"/>
          <w:lang w:val="en-US"/>
        </w:rPr>
        <w:t xml:space="preserve"> BMC Vet Res 15:172</w:t>
      </w:r>
      <w:r w:rsidR="00FF4DA0">
        <w:rPr>
          <w:rFonts w:ascii="Arial" w:hAnsi="Arial" w:cs="Arial"/>
          <w:noProof/>
          <w:sz w:val="24"/>
          <w:szCs w:val="24"/>
          <w:lang w:val="en-US"/>
        </w:rPr>
        <w:t>.</w:t>
      </w:r>
    </w:p>
    <w:p w14:paraId="09EC5D72" w14:textId="575AE708" w:rsidR="00D77F5F" w:rsidRPr="00FF4DA0"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531C70">
        <w:rPr>
          <w:rFonts w:ascii="Arial" w:hAnsi="Arial" w:cs="Arial"/>
          <w:noProof/>
          <w:sz w:val="24"/>
          <w:szCs w:val="24"/>
          <w:lang w:val="en-US"/>
        </w:rPr>
        <w:t>15</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Downes J</w:t>
      </w:r>
      <w:r w:rsidR="00FF4DA0">
        <w:rPr>
          <w:rFonts w:ascii="Arial" w:hAnsi="Arial" w:cs="Arial"/>
          <w:noProof/>
          <w:sz w:val="24"/>
          <w:szCs w:val="24"/>
          <w:lang w:val="en-US"/>
        </w:rPr>
        <w:t>.</w:t>
      </w:r>
      <w:r w:rsidRPr="00531C70">
        <w:rPr>
          <w:rFonts w:ascii="Arial" w:hAnsi="Arial" w:cs="Arial"/>
          <w:noProof/>
          <w:sz w:val="24"/>
          <w:szCs w:val="24"/>
          <w:lang w:val="en-US"/>
        </w:rPr>
        <w:t xml:space="preserve"> Dewhirst FE</w:t>
      </w:r>
      <w:r w:rsidR="00FF4DA0">
        <w:rPr>
          <w:rFonts w:ascii="Arial" w:hAnsi="Arial" w:cs="Arial"/>
          <w:noProof/>
          <w:sz w:val="24"/>
          <w:szCs w:val="24"/>
          <w:lang w:val="en-US"/>
        </w:rPr>
        <w:t>.</w:t>
      </w:r>
      <w:r w:rsidRPr="00531C70">
        <w:rPr>
          <w:rFonts w:ascii="Arial" w:hAnsi="Arial" w:cs="Arial"/>
          <w:noProof/>
          <w:sz w:val="24"/>
          <w:szCs w:val="24"/>
          <w:lang w:val="en-US"/>
        </w:rPr>
        <w:t xml:space="preserve"> Tanner ACR</w:t>
      </w:r>
      <w:r w:rsidR="00FF4DA0">
        <w:rPr>
          <w:rFonts w:ascii="Arial" w:hAnsi="Arial" w:cs="Arial"/>
          <w:noProof/>
          <w:sz w:val="24"/>
          <w:szCs w:val="24"/>
          <w:lang w:val="en-US"/>
        </w:rPr>
        <w:t>.</w:t>
      </w:r>
      <w:r w:rsidRPr="00531C70">
        <w:rPr>
          <w:rFonts w:ascii="Arial" w:hAnsi="Arial" w:cs="Arial"/>
          <w:noProof/>
          <w:sz w:val="24"/>
          <w:szCs w:val="24"/>
          <w:lang w:val="en-US"/>
        </w:rPr>
        <w:t xml:space="preserve"> Wade WG</w:t>
      </w:r>
      <w:r w:rsidR="00FF4DA0">
        <w:rPr>
          <w:rFonts w:ascii="Arial" w:hAnsi="Arial" w:cs="Arial"/>
          <w:noProof/>
          <w:sz w:val="24"/>
          <w:szCs w:val="24"/>
          <w:lang w:val="en-US"/>
        </w:rPr>
        <w:t>.</w:t>
      </w:r>
      <w:r w:rsidRPr="00531C70">
        <w:rPr>
          <w:rFonts w:ascii="Arial" w:hAnsi="Arial" w:cs="Arial"/>
          <w:noProof/>
          <w:sz w:val="24"/>
          <w:szCs w:val="24"/>
          <w:lang w:val="en-US"/>
        </w:rPr>
        <w:t xml:space="preserve"> 2013</w:t>
      </w:r>
      <w:r w:rsidR="00FF4DA0">
        <w:rPr>
          <w:rFonts w:ascii="Arial" w:hAnsi="Arial" w:cs="Arial"/>
          <w:noProof/>
          <w:sz w:val="24"/>
          <w:szCs w:val="24"/>
          <w:lang w:val="en-US"/>
        </w:rPr>
        <w:t>.</w:t>
      </w:r>
      <w:r w:rsidRPr="00531C70">
        <w:rPr>
          <w:rFonts w:ascii="Arial" w:hAnsi="Arial" w:cs="Arial"/>
          <w:noProof/>
          <w:sz w:val="24"/>
          <w:szCs w:val="24"/>
          <w:lang w:val="en-US"/>
        </w:rPr>
        <w:t xml:space="preserve"> Description of Alloprevotella rava gen</w:t>
      </w:r>
      <w:r w:rsidR="00FF4DA0">
        <w:rPr>
          <w:rFonts w:ascii="Arial" w:hAnsi="Arial" w:cs="Arial"/>
          <w:noProof/>
          <w:sz w:val="24"/>
          <w:szCs w:val="24"/>
          <w:lang w:val="en-US"/>
        </w:rPr>
        <w:t>.</w:t>
      </w:r>
      <w:r w:rsidRPr="00531C70">
        <w:rPr>
          <w:rFonts w:ascii="Arial" w:hAnsi="Arial" w:cs="Arial"/>
          <w:noProof/>
          <w:sz w:val="24"/>
          <w:szCs w:val="24"/>
          <w:lang w:val="en-US"/>
        </w:rPr>
        <w:t xml:space="preserve"> nov</w:t>
      </w:r>
      <w:r w:rsidR="00FF4DA0">
        <w:rPr>
          <w:rFonts w:ascii="Arial" w:hAnsi="Arial" w:cs="Arial"/>
          <w:noProof/>
          <w:sz w:val="24"/>
          <w:szCs w:val="24"/>
          <w:lang w:val="en-US"/>
        </w:rPr>
        <w:t>..</w:t>
      </w:r>
      <w:r w:rsidRPr="00531C70">
        <w:rPr>
          <w:rFonts w:ascii="Arial" w:hAnsi="Arial" w:cs="Arial"/>
          <w:noProof/>
          <w:sz w:val="24"/>
          <w:szCs w:val="24"/>
          <w:lang w:val="en-US"/>
        </w:rPr>
        <w:t xml:space="preserve"> sp</w:t>
      </w:r>
      <w:r w:rsidR="00FF4DA0">
        <w:rPr>
          <w:rFonts w:ascii="Arial" w:hAnsi="Arial" w:cs="Arial"/>
          <w:noProof/>
          <w:sz w:val="24"/>
          <w:szCs w:val="24"/>
          <w:lang w:val="en-US"/>
        </w:rPr>
        <w:t>.</w:t>
      </w:r>
      <w:r w:rsidRPr="00531C70">
        <w:rPr>
          <w:rFonts w:ascii="Arial" w:hAnsi="Arial" w:cs="Arial"/>
          <w:noProof/>
          <w:sz w:val="24"/>
          <w:szCs w:val="24"/>
          <w:lang w:val="en-US"/>
        </w:rPr>
        <w:t xml:space="preserve"> nov</w:t>
      </w:r>
      <w:r w:rsidR="00FF4DA0">
        <w:rPr>
          <w:rFonts w:ascii="Arial" w:hAnsi="Arial" w:cs="Arial"/>
          <w:noProof/>
          <w:sz w:val="24"/>
          <w:szCs w:val="24"/>
          <w:lang w:val="en-US"/>
        </w:rPr>
        <w:t>..</w:t>
      </w:r>
      <w:r w:rsidRPr="00531C70">
        <w:rPr>
          <w:rFonts w:ascii="Arial" w:hAnsi="Arial" w:cs="Arial"/>
          <w:noProof/>
          <w:sz w:val="24"/>
          <w:szCs w:val="24"/>
          <w:lang w:val="en-US"/>
        </w:rPr>
        <w:t xml:space="preserve"> isolated from the human oral cavity</w:t>
      </w:r>
      <w:r w:rsidR="00FF4DA0">
        <w:rPr>
          <w:rFonts w:ascii="Arial" w:hAnsi="Arial" w:cs="Arial"/>
          <w:noProof/>
          <w:sz w:val="24"/>
          <w:szCs w:val="24"/>
          <w:lang w:val="en-US"/>
        </w:rPr>
        <w:t>.</w:t>
      </w:r>
      <w:r w:rsidRPr="00531C70">
        <w:rPr>
          <w:rFonts w:ascii="Arial" w:hAnsi="Arial" w:cs="Arial"/>
          <w:noProof/>
          <w:sz w:val="24"/>
          <w:szCs w:val="24"/>
          <w:lang w:val="en-US"/>
        </w:rPr>
        <w:t xml:space="preserve"> and reclassification of Prevotella tannerae Moore et al</w:t>
      </w:r>
      <w:r w:rsidR="00FF4DA0">
        <w:rPr>
          <w:rFonts w:ascii="Arial" w:hAnsi="Arial" w:cs="Arial"/>
          <w:noProof/>
          <w:sz w:val="24"/>
          <w:szCs w:val="24"/>
          <w:lang w:val="en-US"/>
        </w:rPr>
        <w:t>.</w:t>
      </w:r>
      <w:r w:rsidRPr="00531C70">
        <w:rPr>
          <w:rFonts w:ascii="Arial" w:hAnsi="Arial" w:cs="Arial"/>
          <w:noProof/>
          <w:sz w:val="24"/>
          <w:szCs w:val="24"/>
          <w:lang w:val="en-US"/>
        </w:rPr>
        <w:t xml:space="preserve"> 1994 as Alloprevotella tannerae gen</w:t>
      </w:r>
      <w:r w:rsidR="00FF4DA0">
        <w:rPr>
          <w:rFonts w:ascii="Arial" w:hAnsi="Arial" w:cs="Arial"/>
          <w:noProof/>
          <w:sz w:val="24"/>
          <w:szCs w:val="24"/>
          <w:lang w:val="en-US"/>
        </w:rPr>
        <w:t>.</w:t>
      </w:r>
      <w:r w:rsidRPr="00531C70">
        <w:rPr>
          <w:rFonts w:ascii="Arial" w:hAnsi="Arial" w:cs="Arial"/>
          <w:noProof/>
          <w:sz w:val="24"/>
          <w:szCs w:val="24"/>
          <w:lang w:val="en-US"/>
        </w:rPr>
        <w:t xml:space="preserve"> nov</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FF4DA0">
        <w:rPr>
          <w:rFonts w:ascii="Arial" w:hAnsi="Arial" w:cs="Arial"/>
          <w:noProof/>
          <w:sz w:val="24"/>
          <w:szCs w:val="24"/>
        </w:rPr>
        <w:t>comb</w:t>
      </w:r>
      <w:r w:rsidR="00FF4DA0" w:rsidRPr="00FF4DA0">
        <w:rPr>
          <w:rFonts w:ascii="Arial" w:hAnsi="Arial" w:cs="Arial"/>
          <w:noProof/>
          <w:sz w:val="24"/>
          <w:szCs w:val="24"/>
        </w:rPr>
        <w:t>.</w:t>
      </w:r>
      <w:r w:rsidRPr="00FF4DA0">
        <w:rPr>
          <w:rFonts w:ascii="Arial" w:hAnsi="Arial" w:cs="Arial"/>
          <w:noProof/>
          <w:sz w:val="24"/>
          <w:szCs w:val="24"/>
        </w:rPr>
        <w:t xml:space="preserve"> nov</w:t>
      </w:r>
      <w:r w:rsidR="00FF4DA0" w:rsidRPr="00FF4DA0">
        <w:rPr>
          <w:rFonts w:ascii="Arial" w:hAnsi="Arial" w:cs="Arial"/>
          <w:noProof/>
          <w:sz w:val="24"/>
          <w:szCs w:val="24"/>
        </w:rPr>
        <w:t>.</w:t>
      </w:r>
      <w:r w:rsidRPr="00FF4DA0">
        <w:rPr>
          <w:rFonts w:ascii="Arial" w:hAnsi="Arial" w:cs="Arial"/>
          <w:noProof/>
          <w:sz w:val="24"/>
          <w:szCs w:val="24"/>
        </w:rPr>
        <w:t xml:space="preserve"> Int J Syst Evol Microbiol 63:1214–1218</w:t>
      </w:r>
      <w:r w:rsidR="00FF4DA0" w:rsidRPr="00FF4DA0">
        <w:rPr>
          <w:rFonts w:ascii="Arial" w:hAnsi="Arial" w:cs="Arial"/>
          <w:noProof/>
          <w:sz w:val="24"/>
          <w:szCs w:val="24"/>
        </w:rPr>
        <w:t>.</w:t>
      </w:r>
    </w:p>
    <w:p w14:paraId="4BC9A718" w14:textId="4A8F3482"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FF4DA0">
        <w:rPr>
          <w:rFonts w:ascii="Arial" w:hAnsi="Arial" w:cs="Arial"/>
          <w:noProof/>
          <w:sz w:val="24"/>
          <w:szCs w:val="24"/>
        </w:rPr>
        <w:t>16</w:t>
      </w:r>
      <w:r w:rsidR="00FF4DA0" w:rsidRPr="00FF4DA0">
        <w:rPr>
          <w:rFonts w:ascii="Arial" w:hAnsi="Arial" w:cs="Arial"/>
          <w:noProof/>
          <w:sz w:val="24"/>
          <w:szCs w:val="24"/>
        </w:rPr>
        <w:t>.</w:t>
      </w:r>
      <w:r w:rsidRPr="00FF4DA0">
        <w:rPr>
          <w:rFonts w:ascii="Arial" w:hAnsi="Arial" w:cs="Arial"/>
          <w:noProof/>
          <w:sz w:val="24"/>
          <w:szCs w:val="24"/>
        </w:rPr>
        <w:t xml:space="preserve"> </w:t>
      </w:r>
      <w:r w:rsidRPr="00FF4DA0">
        <w:rPr>
          <w:rFonts w:ascii="Arial" w:hAnsi="Arial" w:cs="Arial"/>
          <w:noProof/>
          <w:sz w:val="24"/>
          <w:szCs w:val="24"/>
        </w:rPr>
        <w:tab/>
        <w:t>Ríos-Covián D</w:t>
      </w:r>
      <w:r w:rsidR="00FF4DA0" w:rsidRPr="00FF4DA0">
        <w:rPr>
          <w:rFonts w:ascii="Arial" w:hAnsi="Arial" w:cs="Arial"/>
          <w:noProof/>
          <w:sz w:val="24"/>
          <w:szCs w:val="24"/>
        </w:rPr>
        <w:t>.</w:t>
      </w:r>
      <w:r w:rsidRPr="00FF4DA0">
        <w:rPr>
          <w:rFonts w:ascii="Arial" w:hAnsi="Arial" w:cs="Arial"/>
          <w:noProof/>
          <w:sz w:val="24"/>
          <w:szCs w:val="24"/>
        </w:rPr>
        <w:t xml:space="preserve"> Ruas-Madiedo P</w:t>
      </w:r>
      <w:r w:rsidR="00FF4DA0" w:rsidRPr="00FF4DA0">
        <w:rPr>
          <w:rFonts w:ascii="Arial" w:hAnsi="Arial" w:cs="Arial"/>
          <w:noProof/>
          <w:sz w:val="24"/>
          <w:szCs w:val="24"/>
        </w:rPr>
        <w:t>.</w:t>
      </w:r>
      <w:r w:rsidRPr="00FF4DA0">
        <w:rPr>
          <w:rFonts w:ascii="Arial" w:hAnsi="Arial" w:cs="Arial"/>
          <w:noProof/>
          <w:sz w:val="24"/>
          <w:szCs w:val="24"/>
        </w:rPr>
        <w:t xml:space="preserve"> Margolles A</w:t>
      </w:r>
      <w:r w:rsidR="00FF4DA0" w:rsidRPr="00FF4DA0">
        <w:rPr>
          <w:rFonts w:ascii="Arial" w:hAnsi="Arial" w:cs="Arial"/>
          <w:noProof/>
          <w:sz w:val="24"/>
          <w:szCs w:val="24"/>
        </w:rPr>
        <w:t>.</w:t>
      </w:r>
      <w:r w:rsidRPr="00FF4DA0">
        <w:rPr>
          <w:rFonts w:ascii="Arial" w:hAnsi="Arial" w:cs="Arial"/>
          <w:noProof/>
          <w:sz w:val="24"/>
          <w:szCs w:val="24"/>
        </w:rPr>
        <w:t xml:space="preserve"> Gueimonde M</w:t>
      </w:r>
      <w:r w:rsidR="00FF4DA0" w:rsidRPr="00FF4DA0">
        <w:rPr>
          <w:rFonts w:ascii="Arial" w:hAnsi="Arial" w:cs="Arial"/>
          <w:noProof/>
          <w:sz w:val="24"/>
          <w:szCs w:val="24"/>
        </w:rPr>
        <w:t>.</w:t>
      </w:r>
      <w:r w:rsidRPr="00FF4DA0">
        <w:rPr>
          <w:rFonts w:ascii="Arial" w:hAnsi="Arial" w:cs="Arial"/>
          <w:noProof/>
          <w:sz w:val="24"/>
          <w:szCs w:val="24"/>
        </w:rPr>
        <w:t xml:space="preserve"> De los Reyes-Gavilán CG</w:t>
      </w:r>
      <w:r w:rsidR="00FF4DA0" w:rsidRPr="00FF4DA0">
        <w:rPr>
          <w:rFonts w:ascii="Arial" w:hAnsi="Arial" w:cs="Arial"/>
          <w:noProof/>
          <w:sz w:val="24"/>
          <w:szCs w:val="24"/>
        </w:rPr>
        <w:t>.</w:t>
      </w:r>
      <w:r w:rsidRPr="00FF4DA0">
        <w:rPr>
          <w:rFonts w:ascii="Arial" w:hAnsi="Arial" w:cs="Arial"/>
          <w:noProof/>
          <w:sz w:val="24"/>
          <w:szCs w:val="24"/>
        </w:rPr>
        <w:t xml:space="preserve"> </w:t>
      </w:r>
      <w:r w:rsidRPr="00FF4DA0">
        <w:rPr>
          <w:rFonts w:ascii="Arial" w:hAnsi="Arial" w:cs="Arial"/>
          <w:noProof/>
          <w:sz w:val="24"/>
          <w:szCs w:val="24"/>
          <w:lang w:val="en-US"/>
        </w:rPr>
        <w:t>Salazar N</w:t>
      </w:r>
      <w:r w:rsidR="00FF4DA0">
        <w:rPr>
          <w:rFonts w:ascii="Arial" w:hAnsi="Arial" w:cs="Arial"/>
          <w:noProof/>
          <w:sz w:val="24"/>
          <w:szCs w:val="24"/>
          <w:lang w:val="en-US"/>
        </w:rPr>
        <w:t>.</w:t>
      </w:r>
      <w:r w:rsidRPr="00FF4DA0">
        <w:rPr>
          <w:rFonts w:ascii="Arial" w:hAnsi="Arial" w:cs="Arial"/>
          <w:noProof/>
          <w:sz w:val="24"/>
          <w:szCs w:val="24"/>
          <w:lang w:val="en-US"/>
        </w:rPr>
        <w:t xml:space="preserve"> 2016</w:t>
      </w:r>
      <w:r w:rsidR="00FF4DA0">
        <w:rPr>
          <w:rFonts w:ascii="Arial" w:hAnsi="Arial" w:cs="Arial"/>
          <w:noProof/>
          <w:sz w:val="24"/>
          <w:szCs w:val="24"/>
          <w:lang w:val="en-US"/>
        </w:rPr>
        <w:t>.</w:t>
      </w:r>
      <w:r w:rsidRPr="00FF4DA0">
        <w:rPr>
          <w:rFonts w:ascii="Arial" w:hAnsi="Arial" w:cs="Arial"/>
          <w:noProof/>
          <w:sz w:val="24"/>
          <w:szCs w:val="24"/>
          <w:lang w:val="en-US"/>
        </w:rPr>
        <w:t xml:space="preserve"> </w:t>
      </w:r>
      <w:r w:rsidRPr="00531C70">
        <w:rPr>
          <w:rFonts w:ascii="Arial" w:hAnsi="Arial" w:cs="Arial"/>
          <w:noProof/>
          <w:sz w:val="24"/>
          <w:szCs w:val="24"/>
          <w:lang w:val="en-US"/>
        </w:rPr>
        <w:t>Intestinal short chain fatty acids and their link with diet and human health</w:t>
      </w:r>
      <w:r w:rsidR="00FF4DA0">
        <w:rPr>
          <w:rFonts w:ascii="Arial" w:hAnsi="Arial" w:cs="Arial"/>
          <w:noProof/>
          <w:sz w:val="24"/>
          <w:szCs w:val="24"/>
          <w:lang w:val="en-US"/>
        </w:rPr>
        <w:t>.</w:t>
      </w:r>
      <w:r w:rsidRPr="00531C70">
        <w:rPr>
          <w:rFonts w:ascii="Arial" w:hAnsi="Arial" w:cs="Arial"/>
          <w:noProof/>
          <w:sz w:val="24"/>
          <w:szCs w:val="24"/>
          <w:lang w:val="en-US"/>
        </w:rPr>
        <w:t xml:space="preserve"> Front Microbiol 7:185</w:t>
      </w:r>
      <w:r w:rsidR="00FF4DA0">
        <w:rPr>
          <w:rFonts w:ascii="Arial" w:hAnsi="Arial" w:cs="Arial"/>
          <w:noProof/>
          <w:sz w:val="24"/>
          <w:szCs w:val="24"/>
          <w:lang w:val="en-US"/>
        </w:rPr>
        <w:t>.</w:t>
      </w:r>
    </w:p>
    <w:p w14:paraId="121C3068" w14:textId="30F4CE60"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17</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Epps S</w:t>
      </w:r>
      <w:r w:rsidR="00FF4DA0">
        <w:rPr>
          <w:rFonts w:ascii="Arial" w:hAnsi="Arial" w:cs="Arial"/>
          <w:noProof/>
          <w:sz w:val="24"/>
          <w:szCs w:val="24"/>
          <w:lang w:val="en-US"/>
        </w:rPr>
        <w:t>.</w:t>
      </w:r>
      <w:r w:rsidRPr="00531C70">
        <w:rPr>
          <w:rFonts w:ascii="Arial" w:hAnsi="Arial" w:cs="Arial"/>
          <w:noProof/>
          <w:sz w:val="24"/>
          <w:szCs w:val="24"/>
          <w:lang w:val="en-US"/>
        </w:rPr>
        <w:t xml:space="preserve"> Harvey R</w:t>
      </w:r>
      <w:r w:rsidR="00FF4DA0">
        <w:rPr>
          <w:rFonts w:ascii="Arial" w:hAnsi="Arial" w:cs="Arial"/>
          <w:noProof/>
          <w:sz w:val="24"/>
          <w:szCs w:val="24"/>
          <w:lang w:val="en-US"/>
        </w:rPr>
        <w:t>.</w:t>
      </w:r>
      <w:r w:rsidRPr="00531C70">
        <w:rPr>
          <w:rFonts w:ascii="Arial" w:hAnsi="Arial" w:cs="Arial"/>
          <w:noProof/>
          <w:sz w:val="24"/>
          <w:szCs w:val="24"/>
          <w:lang w:val="en-US"/>
        </w:rPr>
        <w:t xml:space="preserve"> Hume M</w:t>
      </w:r>
      <w:r w:rsidR="00FF4DA0">
        <w:rPr>
          <w:rFonts w:ascii="Arial" w:hAnsi="Arial" w:cs="Arial"/>
          <w:noProof/>
          <w:sz w:val="24"/>
          <w:szCs w:val="24"/>
          <w:lang w:val="en-US"/>
        </w:rPr>
        <w:t>.</w:t>
      </w:r>
      <w:r w:rsidRPr="00531C70">
        <w:rPr>
          <w:rFonts w:ascii="Arial" w:hAnsi="Arial" w:cs="Arial"/>
          <w:noProof/>
          <w:sz w:val="24"/>
          <w:szCs w:val="24"/>
          <w:lang w:val="en-US"/>
        </w:rPr>
        <w:t xml:space="preserve"> Phillips T</w:t>
      </w:r>
      <w:r w:rsidR="00FF4DA0">
        <w:rPr>
          <w:rFonts w:ascii="Arial" w:hAnsi="Arial" w:cs="Arial"/>
          <w:noProof/>
          <w:sz w:val="24"/>
          <w:szCs w:val="24"/>
          <w:lang w:val="en-US"/>
        </w:rPr>
        <w:t>.</w:t>
      </w:r>
      <w:r w:rsidRPr="00531C70">
        <w:rPr>
          <w:rFonts w:ascii="Arial" w:hAnsi="Arial" w:cs="Arial"/>
          <w:noProof/>
          <w:sz w:val="24"/>
          <w:szCs w:val="24"/>
          <w:lang w:val="en-US"/>
        </w:rPr>
        <w:t xml:space="preserve"> Anderson R</w:t>
      </w:r>
      <w:r w:rsidR="00FF4DA0">
        <w:rPr>
          <w:rFonts w:ascii="Arial" w:hAnsi="Arial" w:cs="Arial"/>
          <w:noProof/>
          <w:sz w:val="24"/>
          <w:szCs w:val="24"/>
          <w:lang w:val="en-US"/>
        </w:rPr>
        <w:t>.</w:t>
      </w:r>
      <w:r w:rsidRPr="00531C70">
        <w:rPr>
          <w:rFonts w:ascii="Arial" w:hAnsi="Arial" w:cs="Arial"/>
          <w:noProof/>
          <w:sz w:val="24"/>
          <w:szCs w:val="24"/>
          <w:lang w:val="en-US"/>
        </w:rPr>
        <w:t xml:space="preserve"> Nisbet D</w:t>
      </w:r>
      <w:r w:rsidR="00FF4DA0">
        <w:rPr>
          <w:rFonts w:ascii="Arial" w:hAnsi="Arial" w:cs="Arial"/>
          <w:noProof/>
          <w:sz w:val="24"/>
          <w:szCs w:val="24"/>
          <w:lang w:val="en-US"/>
        </w:rPr>
        <w:t>.</w:t>
      </w:r>
      <w:r w:rsidRPr="00531C70">
        <w:rPr>
          <w:rFonts w:ascii="Arial" w:hAnsi="Arial" w:cs="Arial"/>
          <w:noProof/>
          <w:sz w:val="24"/>
          <w:szCs w:val="24"/>
          <w:lang w:val="en-US"/>
        </w:rPr>
        <w:t xml:space="preserve"> 2013</w:t>
      </w:r>
      <w:r w:rsidR="00FF4DA0">
        <w:rPr>
          <w:rFonts w:ascii="Arial" w:hAnsi="Arial" w:cs="Arial"/>
          <w:noProof/>
          <w:sz w:val="24"/>
          <w:szCs w:val="24"/>
          <w:lang w:val="en-US"/>
        </w:rPr>
        <w:t>.</w:t>
      </w:r>
      <w:r w:rsidRPr="00531C70">
        <w:rPr>
          <w:rFonts w:ascii="Arial" w:hAnsi="Arial" w:cs="Arial"/>
          <w:noProof/>
          <w:sz w:val="24"/>
          <w:szCs w:val="24"/>
          <w:lang w:val="en-US"/>
        </w:rPr>
        <w:t xml:space="preserve"> Foodborne Campylobacter: Infections</w:t>
      </w:r>
      <w:r w:rsidR="00FF4DA0">
        <w:rPr>
          <w:rFonts w:ascii="Arial" w:hAnsi="Arial" w:cs="Arial"/>
          <w:noProof/>
          <w:sz w:val="24"/>
          <w:szCs w:val="24"/>
          <w:lang w:val="en-US"/>
        </w:rPr>
        <w:t>.</w:t>
      </w:r>
      <w:r w:rsidRPr="00531C70">
        <w:rPr>
          <w:rFonts w:ascii="Arial" w:hAnsi="Arial" w:cs="Arial"/>
          <w:noProof/>
          <w:sz w:val="24"/>
          <w:szCs w:val="24"/>
          <w:lang w:val="en-US"/>
        </w:rPr>
        <w:t xml:space="preserve"> Metabolism</w:t>
      </w:r>
      <w:r w:rsidR="00FF4DA0">
        <w:rPr>
          <w:rFonts w:ascii="Arial" w:hAnsi="Arial" w:cs="Arial"/>
          <w:noProof/>
          <w:sz w:val="24"/>
          <w:szCs w:val="24"/>
          <w:lang w:val="en-US"/>
        </w:rPr>
        <w:t>.</w:t>
      </w:r>
      <w:r w:rsidRPr="00531C70">
        <w:rPr>
          <w:rFonts w:ascii="Arial" w:hAnsi="Arial" w:cs="Arial"/>
          <w:noProof/>
          <w:sz w:val="24"/>
          <w:szCs w:val="24"/>
          <w:lang w:val="en-US"/>
        </w:rPr>
        <w:t xml:space="preserve"> Pathogenesis and Reservoirs</w:t>
      </w:r>
      <w:r w:rsidR="00FF4DA0">
        <w:rPr>
          <w:rFonts w:ascii="Arial" w:hAnsi="Arial" w:cs="Arial"/>
          <w:noProof/>
          <w:sz w:val="24"/>
          <w:szCs w:val="24"/>
          <w:lang w:val="en-US"/>
        </w:rPr>
        <w:t>.</w:t>
      </w:r>
      <w:r w:rsidRPr="00531C70">
        <w:rPr>
          <w:rFonts w:ascii="Arial" w:hAnsi="Arial" w:cs="Arial"/>
          <w:noProof/>
          <w:sz w:val="24"/>
          <w:szCs w:val="24"/>
          <w:lang w:val="en-US"/>
        </w:rPr>
        <w:t xml:space="preserve"> Int J Environ Res Public Health 10:6292–6304</w:t>
      </w:r>
      <w:r w:rsidR="00FF4DA0">
        <w:rPr>
          <w:rFonts w:ascii="Arial" w:hAnsi="Arial" w:cs="Arial"/>
          <w:noProof/>
          <w:sz w:val="24"/>
          <w:szCs w:val="24"/>
          <w:lang w:val="en-US"/>
        </w:rPr>
        <w:t>.</w:t>
      </w:r>
    </w:p>
    <w:p w14:paraId="5E79B822" w14:textId="0DEF007C"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FF4DA0">
        <w:rPr>
          <w:rFonts w:ascii="Arial" w:hAnsi="Arial" w:cs="Arial"/>
          <w:noProof/>
          <w:sz w:val="24"/>
          <w:szCs w:val="24"/>
          <w:lang w:val="en-US"/>
        </w:rPr>
        <w:t>18</w:t>
      </w:r>
      <w:r w:rsidR="00FF4DA0">
        <w:rPr>
          <w:rFonts w:ascii="Arial" w:hAnsi="Arial" w:cs="Arial"/>
          <w:noProof/>
          <w:sz w:val="24"/>
          <w:szCs w:val="24"/>
          <w:lang w:val="en-US"/>
        </w:rPr>
        <w:t>.</w:t>
      </w:r>
      <w:r w:rsidRPr="00FF4DA0">
        <w:rPr>
          <w:rFonts w:ascii="Arial" w:hAnsi="Arial" w:cs="Arial"/>
          <w:noProof/>
          <w:sz w:val="24"/>
          <w:szCs w:val="24"/>
          <w:lang w:val="en-US"/>
        </w:rPr>
        <w:t xml:space="preserve"> </w:t>
      </w:r>
      <w:r w:rsidRPr="00FF4DA0">
        <w:rPr>
          <w:rFonts w:ascii="Arial" w:hAnsi="Arial" w:cs="Arial"/>
          <w:noProof/>
          <w:sz w:val="24"/>
          <w:szCs w:val="24"/>
          <w:lang w:val="en-US"/>
        </w:rPr>
        <w:tab/>
        <w:t>Kim B</w:t>
      </w:r>
      <w:r w:rsidR="00FF4DA0">
        <w:rPr>
          <w:rFonts w:ascii="Arial" w:hAnsi="Arial" w:cs="Arial"/>
          <w:noProof/>
          <w:sz w:val="24"/>
          <w:szCs w:val="24"/>
          <w:lang w:val="en-US"/>
        </w:rPr>
        <w:t>.</w:t>
      </w:r>
      <w:r w:rsidRPr="00FF4DA0">
        <w:rPr>
          <w:rFonts w:ascii="Arial" w:hAnsi="Arial" w:cs="Arial"/>
          <w:noProof/>
          <w:sz w:val="24"/>
          <w:szCs w:val="24"/>
          <w:lang w:val="en-US"/>
        </w:rPr>
        <w:t xml:space="preserve"> Park H</w:t>
      </w:r>
      <w:r w:rsidR="00FF4DA0">
        <w:rPr>
          <w:rFonts w:ascii="Arial" w:hAnsi="Arial" w:cs="Arial"/>
          <w:noProof/>
          <w:sz w:val="24"/>
          <w:szCs w:val="24"/>
          <w:lang w:val="en-US"/>
        </w:rPr>
        <w:t>.</w:t>
      </w:r>
      <w:r w:rsidRPr="00FF4DA0">
        <w:rPr>
          <w:rFonts w:ascii="Arial" w:hAnsi="Arial" w:cs="Arial"/>
          <w:noProof/>
          <w:sz w:val="24"/>
          <w:szCs w:val="24"/>
          <w:lang w:val="en-US"/>
        </w:rPr>
        <w:t xml:space="preserve"> Na D</w:t>
      </w:r>
      <w:r w:rsidR="00FF4DA0">
        <w:rPr>
          <w:rFonts w:ascii="Arial" w:hAnsi="Arial" w:cs="Arial"/>
          <w:noProof/>
          <w:sz w:val="24"/>
          <w:szCs w:val="24"/>
          <w:lang w:val="en-US"/>
        </w:rPr>
        <w:t>.</w:t>
      </w:r>
      <w:r w:rsidRPr="00FF4DA0">
        <w:rPr>
          <w:rFonts w:ascii="Arial" w:hAnsi="Arial" w:cs="Arial"/>
          <w:noProof/>
          <w:sz w:val="24"/>
          <w:szCs w:val="24"/>
          <w:lang w:val="en-US"/>
        </w:rPr>
        <w:t xml:space="preserve"> Lee SY</w:t>
      </w:r>
      <w:r w:rsidR="00FF4DA0">
        <w:rPr>
          <w:rFonts w:ascii="Arial" w:hAnsi="Arial" w:cs="Arial"/>
          <w:noProof/>
          <w:sz w:val="24"/>
          <w:szCs w:val="24"/>
          <w:lang w:val="en-US"/>
        </w:rPr>
        <w:t>.</w:t>
      </w:r>
      <w:r w:rsidRPr="00FF4DA0">
        <w:rPr>
          <w:rFonts w:ascii="Arial" w:hAnsi="Arial" w:cs="Arial"/>
          <w:noProof/>
          <w:sz w:val="24"/>
          <w:szCs w:val="24"/>
          <w:lang w:val="en-US"/>
        </w:rPr>
        <w:t xml:space="preserve"> 2014</w:t>
      </w:r>
      <w:r w:rsidR="00FF4DA0">
        <w:rPr>
          <w:rFonts w:ascii="Arial" w:hAnsi="Arial" w:cs="Arial"/>
          <w:noProof/>
          <w:sz w:val="24"/>
          <w:szCs w:val="24"/>
          <w:lang w:val="en-US"/>
        </w:rPr>
        <w:t>.</w:t>
      </w:r>
      <w:r w:rsidRPr="00FF4DA0">
        <w:rPr>
          <w:rFonts w:ascii="Arial" w:hAnsi="Arial" w:cs="Arial"/>
          <w:noProof/>
          <w:sz w:val="24"/>
          <w:szCs w:val="24"/>
          <w:lang w:val="en-US"/>
        </w:rPr>
        <w:t xml:space="preserve"> </w:t>
      </w:r>
      <w:r w:rsidRPr="00531C70">
        <w:rPr>
          <w:rFonts w:ascii="Arial" w:hAnsi="Arial" w:cs="Arial"/>
          <w:noProof/>
          <w:sz w:val="24"/>
          <w:szCs w:val="24"/>
          <w:lang w:val="en-US"/>
        </w:rPr>
        <w:t>Metabolic engineering of Escherichia coli for the production of phenol from glucose</w:t>
      </w:r>
      <w:r w:rsidR="00FF4DA0">
        <w:rPr>
          <w:rFonts w:ascii="Arial" w:hAnsi="Arial" w:cs="Arial"/>
          <w:noProof/>
          <w:sz w:val="24"/>
          <w:szCs w:val="24"/>
          <w:lang w:val="en-US"/>
        </w:rPr>
        <w:t>.</w:t>
      </w:r>
      <w:r w:rsidRPr="00531C70">
        <w:rPr>
          <w:rFonts w:ascii="Arial" w:hAnsi="Arial" w:cs="Arial"/>
          <w:noProof/>
          <w:sz w:val="24"/>
          <w:szCs w:val="24"/>
          <w:lang w:val="en-US"/>
        </w:rPr>
        <w:t xml:space="preserve"> Biotechnol J 9:621–629</w:t>
      </w:r>
      <w:r w:rsidR="00FF4DA0">
        <w:rPr>
          <w:rFonts w:ascii="Arial" w:hAnsi="Arial" w:cs="Arial"/>
          <w:noProof/>
          <w:sz w:val="24"/>
          <w:szCs w:val="24"/>
          <w:lang w:val="en-US"/>
        </w:rPr>
        <w:t>.</w:t>
      </w:r>
    </w:p>
    <w:p w14:paraId="7E99CC96" w14:textId="5DD4D01C"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19</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Khalil IA</w:t>
      </w:r>
      <w:r w:rsidR="00FF4DA0">
        <w:rPr>
          <w:rFonts w:ascii="Arial" w:hAnsi="Arial" w:cs="Arial"/>
          <w:noProof/>
          <w:sz w:val="24"/>
          <w:szCs w:val="24"/>
          <w:lang w:val="en-US"/>
        </w:rPr>
        <w:t>.</w:t>
      </w:r>
      <w:r w:rsidRPr="00531C70">
        <w:rPr>
          <w:rFonts w:ascii="Arial" w:hAnsi="Arial" w:cs="Arial"/>
          <w:noProof/>
          <w:sz w:val="24"/>
          <w:szCs w:val="24"/>
          <w:lang w:val="en-US"/>
        </w:rPr>
        <w:t xml:space="preserve"> Troeger C</w:t>
      </w:r>
      <w:r w:rsidR="00FF4DA0">
        <w:rPr>
          <w:rFonts w:ascii="Arial" w:hAnsi="Arial" w:cs="Arial"/>
          <w:noProof/>
          <w:sz w:val="24"/>
          <w:szCs w:val="24"/>
          <w:lang w:val="en-US"/>
        </w:rPr>
        <w:t>.</w:t>
      </w:r>
      <w:r w:rsidRPr="00531C70">
        <w:rPr>
          <w:rFonts w:ascii="Arial" w:hAnsi="Arial" w:cs="Arial"/>
          <w:noProof/>
          <w:sz w:val="24"/>
          <w:szCs w:val="24"/>
          <w:lang w:val="en-US"/>
        </w:rPr>
        <w:t xml:space="preserve"> Blacker BF</w:t>
      </w:r>
      <w:r w:rsidR="00FF4DA0">
        <w:rPr>
          <w:rFonts w:ascii="Arial" w:hAnsi="Arial" w:cs="Arial"/>
          <w:noProof/>
          <w:sz w:val="24"/>
          <w:szCs w:val="24"/>
          <w:lang w:val="en-US"/>
        </w:rPr>
        <w:t>.</w:t>
      </w:r>
      <w:r w:rsidRPr="00531C70">
        <w:rPr>
          <w:rFonts w:ascii="Arial" w:hAnsi="Arial" w:cs="Arial"/>
          <w:noProof/>
          <w:sz w:val="24"/>
          <w:szCs w:val="24"/>
          <w:lang w:val="en-US"/>
        </w:rPr>
        <w:t xml:space="preserve"> Rao PC</w:t>
      </w:r>
      <w:r w:rsidR="00FF4DA0">
        <w:rPr>
          <w:rFonts w:ascii="Arial" w:hAnsi="Arial" w:cs="Arial"/>
          <w:noProof/>
          <w:sz w:val="24"/>
          <w:szCs w:val="24"/>
          <w:lang w:val="en-US"/>
        </w:rPr>
        <w:t>.</w:t>
      </w:r>
      <w:r w:rsidRPr="00531C70">
        <w:rPr>
          <w:rFonts w:ascii="Arial" w:hAnsi="Arial" w:cs="Arial"/>
          <w:noProof/>
          <w:sz w:val="24"/>
          <w:szCs w:val="24"/>
          <w:lang w:val="en-US"/>
        </w:rPr>
        <w:t xml:space="preserve"> Brown A</w:t>
      </w:r>
      <w:r w:rsidR="00FF4DA0">
        <w:rPr>
          <w:rFonts w:ascii="Arial" w:hAnsi="Arial" w:cs="Arial"/>
          <w:noProof/>
          <w:sz w:val="24"/>
          <w:szCs w:val="24"/>
          <w:lang w:val="en-US"/>
        </w:rPr>
        <w:t>.</w:t>
      </w:r>
      <w:r w:rsidRPr="00531C70">
        <w:rPr>
          <w:rFonts w:ascii="Arial" w:hAnsi="Arial" w:cs="Arial"/>
          <w:noProof/>
          <w:sz w:val="24"/>
          <w:szCs w:val="24"/>
          <w:lang w:val="en-US"/>
        </w:rPr>
        <w:t xml:space="preserve"> Atherly DE</w:t>
      </w:r>
      <w:r w:rsidR="00FF4DA0">
        <w:rPr>
          <w:rFonts w:ascii="Arial" w:hAnsi="Arial" w:cs="Arial"/>
          <w:noProof/>
          <w:sz w:val="24"/>
          <w:szCs w:val="24"/>
          <w:lang w:val="en-US"/>
        </w:rPr>
        <w:t>.</w:t>
      </w:r>
      <w:r w:rsidRPr="00531C70">
        <w:rPr>
          <w:rFonts w:ascii="Arial" w:hAnsi="Arial" w:cs="Arial"/>
          <w:noProof/>
          <w:sz w:val="24"/>
          <w:szCs w:val="24"/>
          <w:lang w:val="en-US"/>
        </w:rPr>
        <w:t xml:space="preserve"> Brewer TG</w:t>
      </w:r>
      <w:r w:rsidR="00FF4DA0">
        <w:rPr>
          <w:rFonts w:ascii="Arial" w:hAnsi="Arial" w:cs="Arial"/>
          <w:noProof/>
          <w:sz w:val="24"/>
          <w:szCs w:val="24"/>
          <w:lang w:val="en-US"/>
        </w:rPr>
        <w:t>.</w:t>
      </w:r>
      <w:r w:rsidRPr="00531C70">
        <w:rPr>
          <w:rFonts w:ascii="Arial" w:hAnsi="Arial" w:cs="Arial"/>
          <w:noProof/>
          <w:sz w:val="24"/>
          <w:szCs w:val="24"/>
          <w:lang w:val="en-US"/>
        </w:rPr>
        <w:t xml:space="preserve"> Engmann CM</w:t>
      </w:r>
      <w:r w:rsidR="00FF4DA0">
        <w:rPr>
          <w:rFonts w:ascii="Arial" w:hAnsi="Arial" w:cs="Arial"/>
          <w:noProof/>
          <w:sz w:val="24"/>
          <w:szCs w:val="24"/>
          <w:lang w:val="en-US"/>
        </w:rPr>
        <w:t>.</w:t>
      </w:r>
      <w:r w:rsidRPr="00531C70">
        <w:rPr>
          <w:rFonts w:ascii="Arial" w:hAnsi="Arial" w:cs="Arial"/>
          <w:noProof/>
          <w:sz w:val="24"/>
          <w:szCs w:val="24"/>
          <w:lang w:val="en-US"/>
        </w:rPr>
        <w:t xml:space="preserve"> Houpt ER</w:t>
      </w:r>
      <w:r w:rsidR="00FF4DA0">
        <w:rPr>
          <w:rFonts w:ascii="Arial" w:hAnsi="Arial" w:cs="Arial"/>
          <w:noProof/>
          <w:sz w:val="24"/>
          <w:szCs w:val="24"/>
          <w:lang w:val="en-US"/>
        </w:rPr>
        <w:t>.</w:t>
      </w:r>
      <w:r w:rsidRPr="00531C70">
        <w:rPr>
          <w:rFonts w:ascii="Arial" w:hAnsi="Arial" w:cs="Arial"/>
          <w:noProof/>
          <w:sz w:val="24"/>
          <w:szCs w:val="24"/>
          <w:lang w:val="en-US"/>
        </w:rPr>
        <w:t xml:space="preserve"> Kang G</w:t>
      </w:r>
      <w:r w:rsidR="00FF4DA0">
        <w:rPr>
          <w:rFonts w:ascii="Arial" w:hAnsi="Arial" w:cs="Arial"/>
          <w:noProof/>
          <w:sz w:val="24"/>
          <w:szCs w:val="24"/>
          <w:lang w:val="en-US"/>
        </w:rPr>
        <w:t>.</w:t>
      </w:r>
      <w:r w:rsidRPr="00531C70">
        <w:rPr>
          <w:rFonts w:ascii="Arial" w:hAnsi="Arial" w:cs="Arial"/>
          <w:noProof/>
          <w:sz w:val="24"/>
          <w:szCs w:val="24"/>
          <w:lang w:val="en-US"/>
        </w:rPr>
        <w:t xml:space="preserve"> Kotloff KL</w:t>
      </w:r>
      <w:r w:rsidR="00FF4DA0">
        <w:rPr>
          <w:rFonts w:ascii="Arial" w:hAnsi="Arial" w:cs="Arial"/>
          <w:noProof/>
          <w:sz w:val="24"/>
          <w:szCs w:val="24"/>
          <w:lang w:val="en-US"/>
        </w:rPr>
        <w:t>.</w:t>
      </w:r>
      <w:r w:rsidRPr="00531C70">
        <w:rPr>
          <w:rFonts w:ascii="Arial" w:hAnsi="Arial" w:cs="Arial"/>
          <w:noProof/>
          <w:sz w:val="24"/>
          <w:szCs w:val="24"/>
          <w:lang w:val="en-US"/>
        </w:rPr>
        <w:t xml:space="preserve"> Levine MM</w:t>
      </w:r>
      <w:r w:rsidR="00FF4DA0">
        <w:rPr>
          <w:rFonts w:ascii="Arial" w:hAnsi="Arial" w:cs="Arial"/>
          <w:noProof/>
          <w:sz w:val="24"/>
          <w:szCs w:val="24"/>
          <w:lang w:val="en-US"/>
        </w:rPr>
        <w:t>.</w:t>
      </w:r>
      <w:r w:rsidRPr="00531C70">
        <w:rPr>
          <w:rFonts w:ascii="Arial" w:hAnsi="Arial" w:cs="Arial"/>
          <w:noProof/>
          <w:sz w:val="24"/>
          <w:szCs w:val="24"/>
          <w:lang w:val="en-US"/>
        </w:rPr>
        <w:t xml:space="preserve"> Luby SP</w:t>
      </w:r>
      <w:r w:rsidR="00FF4DA0">
        <w:rPr>
          <w:rFonts w:ascii="Arial" w:hAnsi="Arial" w:cs="Arial"/>
          <w:noProof/>
          <w:sz w:val="24"/>
          <w:szCs w:val="24"/>
          <w:lang w:val="en-US"/>
        </w:rPr>
        <w:t>.</w:t>
      </w:r>
      <w:r w:rsidRPr="00531C70">
        <w:rPr>
          <w:rFonts w:ascii="Arial" w:hAnsi="Arial" w:cs="Arial"/>
          <w:noProof/>
          <w:sz w:val="24"/>
          <w:szCs w:val="24"/>
          <w:lang w:val="en-US"/>
        </w:rPr>
        <w:t xml:space="preserve"> MacLennan CA</w:t>
      </w:r>
      <w:r w:rsidR="00FF4DA0">
        <w:rPr>
          <w:rFonts w:ascii="Arial" w:hAnsi="Arial" w:cs="Arial"/>
          <w:noProof/>
          <w:sz w:val="24"/>
          <w:szCs w:val="24"/>
          <w:lang w:val="en-US"/>
        </w:rPr>
        <w:t>.</w:t>
      </w:r>
      <w:r w:rsidRPr="00531C70">
        <w:rPr>
          <w:rFonts w:ascii="Arial" w:hAnsi="Arial" w:cs="Arial"/>
          <w:noProof/>
          <w:sz w:val="24"/>
          <w:szCs w:val="24"/>
          <w:lang w:val="en-US"/>
        </w:rPr>
        <w:t xml:space="preserve"> Pan WK</w:t>
      </w:r>
      <w:r w:rsidR="00FF4DA0">
        <w:rPr>
          <w:rFonts w:ascii="Arial" w:hAnsi="Arial" w:cs="Arial"/>
          <w:noProof/>
          <w:sz w:val="24"/>
          <w:szCs w:val="24"/>
          <w:lang w:val="en-US"/>
        </w:rPr>
        <w:t>.</w:t>
      </w:r>
      <w:r w:rsidRPr="00531C70">
        <w:rPr>
          <w:rFonts w:ascii="Arial" w:hAnsi="Arial" w:cs="Arial"/>
          <w:noProof/>
          <w:sz w:val="24"/>
          <w:szCs w:val="24"/>
          <w:lang w:val="en-US"/>
        </w:rPr>
        <w:t xml:space="preserve"> Pavlinac PB</w:t>
      </w:r>
      <w:r w:rsidR="00FF4DA0">
        <w:rPr>
          <w:rFonts w:ascii="Arial" w:hAnsi="Arial" w:cs="Arial"/>
          <w:noProof/>
          <w:sz w:val="24"/>
          <w:szCs w:val="24"/>
          <w:lang w:val="en-US"/>
        </w:rPr>
        <w:t>.</w:t>
      </w:r>
      <w:r w:rsidRPr="00531C70">
        <w:rPr>
          <w:rFonts w:ascii="Arial" w:hAnsi="Arial" w:cs="Arial"/>
          <w:noProof/>
          <w:sz w:val="24"/>
          <w:szCs w:val="24"/>
          <w:lang w:val="en-US"/>
        </w:rPr>
        <w:t xml:space="preserve"> Platts-Mills JA</w:t>
      </w:r>
      <w:r w:rsidR="00FF4DA0">
        <w:rPr>
          <w:rFonts w:ascii="Arial" w:hAnsi="Arial" w:cs="Arial"/>
          <w:noProof/>
          <w:sz w:val="24"/>
          <w:szCs w:val="24"/>
          <w:lang w:val="en-US"/>
        </w:rPr>
        <w:t>.</w:t>
      </w:r>
      <w:r w:rsidRPr="00531C70">
        <w:rPr>
          <w:rFonts w:ascii="Arial" w:hAnsi="Arial" w:cs="Arial"/>
          <w:noProof/>
          <w:sz w:val="24"/>
          <w:szCs w:val="24"/>
          <w:lang w:val="en-US"/>
        </w:rPr>
        <w:t xml:space="preserve"> Qadri F</w:t>
      </w:r>
      <w:r w:rsidR="00FF4DA0">
        <w:rPr>
          <w:rFonts w:ascii="Arial" w:hAnsi="Arial" w:cs="Arial"/>
          <w:noProof/>
          <w:sz w:val="24"/>
          <w:szCs w:val="24"/>
          <w:lang w:val="en-US"/>
        </w:rPr>
        <w:t>.</w:t>
      </w:r>
      <w:r w:rsidRPr="00531C70">
        <w:rPr>
          <w:rFonts w:ascii="Arial" w:hAnsi="Arial" w:cs="Arial"/>
          <w:noProof/>
          <w:sz w:val="24"/>
          <w:szCs w:val="24"/>
          <w:lang w:val="en-US"/>
        </w:rPr>
        <w:t xml:space="preserve"> Riddle MS</w:t>
      </w:r>
      <w:r w:rsidR="00FF4DA0">
        <w:rPr>
          <w:rFonts w:ascii="Arial" w:hAnsi="Arial" w:cs="Arial"/>
          <w:noProof/>
          <w:sz w:val="24"/>
          <w:szCs w:val="24"/>
          <w:lang w:val="en-US"/>
        </w:rPr>
        <w:t>.</w:t>
      </w:r>
      <w:r w:rsidRPr="00531C70">
        <w:rPr>
          <w:rFonts w:ascii="Arial" w:hAnsi="Arial" w:cs="Arial"/>
          <w:noProof/>
          <w:sz w:val="24"/>
          <w:szCs w:val="24"/>
          <w:lang w:val="en-US"/>
        </w:rPr>
        <w:t xml:space="preserve"> Ryan ET</w:t>
      </w:r>
      <w:r w:rsidR="00FF4DA0">
        <w:rPr>
          <w:rFonts w:ascii="Arial" w:hAnsi="Arial" w:cs="Arial"/>
          <w:noProof/>
          <w:sz w:val="24"/>
          <w:szCs w:val="24"/>
          <w:lang w:val="en-US"/>
        </w:rPr>
        <w:t>.</w:t>
      </w:r>
      <w:r w:rsidRPr="00531C70">
        <w:rPr>
          <w:rFonts w:ascii="Arial" w:hAnsi="Arial" w:cs="Arial"/>
          <w:noProof/>
          <w:sz w:val="24"/>
          <w:szCs w:val="24"/>
          <w:lang w:val="en-US"/>
        </w:rPr>
        <w:t xml:space="preserve"> Shoultz DA</w:t>
      </w:r>
      <w:r w:rsidR="00FF4DA0">
        <w:rPr>
          <w:rFonts w:ascii="Arial" w:hAnsi="Arial" w:cs="Arial"/>
          <w:noProof/>
          <w:sz w:val="24"/>
          <w:szCs w:val="24"/>
          <w:lang w:val="en-US"/>
        </w:rPr>
        <w:t>.</w:t>
      </w:r>
      <w:r w:rsidRPr="00531C70">
        <w:rPr>
          <w:rFonts w:ascii="Arial" w:hAnsi="Arial" w:cs="Arial"/>
          <w:noProof/>
          <w:sz w:val="24"/>
          <w:szCs w:val="24"/>
          <w:lang w:val="en-US"/>
        </w:rPr>
        <w:t xml:space="preserve"> Steele AD</w:t>
      </w:r>
      <w:r w:rsidR="00FF4DA0">
        <w:rPr>
          <w:rFonts w:ascii="Arial" w:hAnsi="Arial" w:cs="Arial"/>
          <w:noProof/>
          <w:sz w:val="24"/>
          <w:szCs w:val="24"/>
          <w:lang w:val="en-US"/>
        </w:rPr>
        <w:t>.</w:t>
      </w:r>
      <w:r w:rsidRPr="00531C70">
        <w:rPr>
          <w:rFonts w:ascii="Arial" w:hAnsi="Arial" w:cs="Arial"/>
          <w:noProof/>
          <w:sz w:val="24"/>
          <w:szCs w:val="24"/>
          <w:lang w:val="en-US"/>
        </w:rPr>
        <w:t xml:space="preserve"> Walson JL</w:t>
      </w:r>
      <w:r w:rsidR="00FF4DA0">
        <w:rPr>
          <w:rFonts w:ascii="Arial" w:hAnsi="Arial" w:cs="Arial"/>
          <w:noProof/>
          <w:sz w:val="24"/>
          <w:szCs w:val="24"/>
          <w:lang w:val="en-US"/>
        </w:rPr>
        <w:t>.</w:t>
      </w:r>
      <w:r w:rsidRPr="00531C70">
        <w:rPr>
          <w:rFonts w:ascii="Arial" w:hAnsi="Arial" w:cs="Arial"/>
          <w:noProof/>
          <w:sz w:val="24"/>
          <w:szCs w:val="24"/>
          <w:lang w:val="en-US"/>
        </w:rPr>
        <w:t xml:space="preserve"> Sanders JW</w:t>
      </w:r>
      <w:r w:rsidR="00FF4DA0">
        <w:rPr>
          <w:rFonts w:ascii="Arial" w:hAnsi="Arial" w:cs="Arial"/>
          <w:noProof/>
          <w:sz w:val="24"/>
          <w:szCs w:val="24"/>
          <w:lang w:val="en-US"/>
        </w:rPr>
        <w:t>.</w:t>
      </w:r>
      <w:r w:rsidRPr="00531C70">
        <w:rPr>
          <w:rFonts w:ascii="Arial" w:hAnsi="Arial" w:cs="Arial"/>
          <w:noProof/>
          <w:sz w:val="24"/>
          <w:szCs w:val="24"/>
          <w:lang w:val="en-US"/>
        </w:rPr>
        <w:t xml:space="preserve"> Mokdad AH</w:t>
      </w:r>
      <w:r w:rsidR="00FF4DA0">
        <w:rPr>
          <w:rFonts w:ascii="Arial" w:hAnsi="Arial" w:cs="Arial"/>
          <w:noProof/>
          <w:sz w:val="24"/>
          <w:szCs w:val="24"/>
          <w:lang w:val="en-US"/>
        </w:rPr>
        <w:t>.</w:t>
      </w:r>
      <w:r w:rsidRPr="00531C70">
        <w:rPr>
          <w:rFonts w:ascii="Arial" w:hAnsi="Arial" w:cs="Arial"/>
          <w:noProof/>
          <w:sz w:val="24"/>
          <w:szCs w:val="24"/>
          <w:lang w:val="en-US"/>
        </w:rPr>
        <w:t xml:space="preserve"> Murray CJL</w:t>
      </w:r>
      <w:r w:rsidR="00FF4DA0">
        <w:rPr>
          <w:rFonts w:ascii="Arial" w:hAnsi="Arial" w:cs="Arial"/>
          <w:noProof/>
          <w:sz w:val="24"/>
          <w:szCs w:val="24"/>
          <w:lang w:val="en-US"/>
        </w:rPr>
        <w:t>.</w:t>
      </w:r>
      <w:r w:rsidRPr="00531C70">
        <w:rPr>
          <w:rFonts w:ascii="Arial" w:hAnsi="Arial" w:cs="Arial"/>
          <w:noProof/>
          <w:sz w:val="24"/>
          <w:szCs w:val="24"/>
          <w:lang w:val="en-US"/>
        </w:rPr>
        <w:t xml:space="preserve"> Hay SI</w:t>
      </w:r>
      <w:r w:rsidR="00FF4DA0">
        <w:rPr>
          <w:rFonts w:ascii="Arial" w:hAnsi="Arial" w:cs="Arial"/>
          <w:noProof/>
          <w:sz w:val="24"/>
          <w:szCs w:val="24"/>
          <w:lang w:val="en-US"/>
        </w:rPr>
        <w:t>.</w:t>
      </w:r>
      <w:r w:rsidRPr="00531C70">
        <w:rPr>
          <w:rFonts w:ascii="Arial" w:hAnsi="Arial" w:cs="Arial"/>
          <w:noProof/>
          <w:sz w:val="24"/>
          <w:szCs w:val="24"/>
          <w:lang w:val="en-US"/>
        </w:rPr>
        <w:t xml:space="preserve"> Reiner RC</w:t>
      </w:r>
      <w:r w:rsidR="00FF4DA0">
        <w:rPr>
          <w:rFonts w:ascii="Arial" w:hAnsi="Arial" w:cs="Arial"/>
          <w:noProof/>
          <w:sz w:val="24"/>
          <w:szCs w:val="24"/>
          <w:lang w:val="en-US"/>
        </w:rPr>
        <w:t>.</w:t>
      </w:r>
      <w:r w:rsidRPr="00531C70">
        <w:rPr>
          <w:rFonts w:ascii="Arial" w:hAnsi="Arial" w:cs="Arial"/>
          <w:noProof/>
          <w:sz w:val="24"/>
          <w:szCs w:val="24"/>
          <w:lang w:val="en-US"/>
        </w:rPr>
        <w:t xml:space="preserve"> 2018</w:t>
      </w:r>
      <w:r w:rsidR="00FF4DA0">
        <w:rPr>
          <w:rFonts w:ascii="Arial" w:hAnsi="Arial" w:cs="Arial"/>
          <w:noProof/>
          <w:sz w:val="24"/>
          <w:szCs w:val="24"/>
          <w:lang w:val="en-US"/>
        </w:rPr>
        <w:t>.</w:t>
      </w:r>
      <w:r w:rsidRPr="00531C70">
        <w:rPr>
          <w:rFonts w:ascii="Arial" w:hAnsi="Arial" w:cs="Arial"/>
          <w:noProof/>
          <w:sz w:val="24"/>
          <w:szCs w:val="24"/>
          <w:lang w:val="en-US"/>
        </w:rPr>
        <w:t xml:space="preserve"> Morbidity and mortality due to shigella and enterotoxigenic Escherichia coli diarrhoea: the Global Burden of Disease Study 1990–2016</w:t>
      </w:r>
      <w:r w:rsidR="00FF4DA0">
        <w:rPr>
          <w:rFonts w:ascii="Arial" w:hAnsi="Arial" w:cs="Arial"/>
          <w:noProof/>
          <w:sz w:val="24"/>
          <w:szCs w:val="24"/>
          <w:lang w:val="en-US"/>
        </w:rPr>
        <w:t>.</w:t>
      </w:r>
      <w:r w:rsidRPr="00531C70">
        <w:rPr>
          <w:rFonts w:ascii="Arial" w:hAnsi="Arial" w:cs="Arial"/>
          <w:noProof/>
          <w:sz w:val="24"/>
          <w:szCs w:val="24"/>
          <w:lang w:val="en-US"/>
        </w:rPr>
        <w:t xml:space="preserve"> Lancet Infect Dis 18:1229–1240</w:t>
      </w:r>
      <w:r w:rsidR="00FF4DA0">
        <w:rPr>
          <w:rFonts w:ascii="Arial" w:hAnsi="Arial" w:cs="Arial"/>
          <w:noProof/>
          <w:sz w:val="24"/>
          <w:szCs w:val="24"/>
          <w:lang w:val="en-US"/>
        </w:rPr>
        <w:t>.</w:t>
      </w:r>
    </w:p>
    <w:p w14:paraId="6D4A8755" w14:textId="4BE56559" w:rsidR="00D77F5F" w:rsidRPr="002C11FF"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531C70">
        <w:rPr>
          <w:rFonts w:ascii="Arial" w:hAnsi="Arial" w:cs="Arial"/>
          <w:noProof/>
          <w:sz w:val="24"/>
          <w:szCs w:val="24"/>
          <w:lang w:val="en-US"/>
        </w:rPr>
        <w:t>20</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Dos Reis RS</w:t>
      </w:r>
      <w:r w:rsidR="00FF4DA0">
        <w:rPr>
          <w:rFonts w:ascii="Arial" w:hAnsi="Arial" w:cs="Arial"/>
          <w:noProof/>
          <w:sz w:val="24"/>
          <w:szCs w:val="24"/>
          <w:lang w:val="en-US"/>
        </w:rPr>
        <w:t>.</w:t>
      </w:r>
      <w:r w:rsidRPr="00531C70">
        <w:rPr>
          <w:rFonts w:ascii="Arial" w:hAnsi="Arial" w:cs="Arial"/>
          <w:noProof/>
          <w:sz w:val="24"/>
          <w:szCs w:val="24"/>
          <w:lang w:val="en-US"/>
        </w:rPr>
        <w:t xml:space="preserve"> Horn F</w:t>
      </w:r>
      <w:r w:rsidR="00FF4DA0">
        <w:rPr>
          <w:rFonts w:ascii="Arial" w:hAnsi="Arial" w:cs="Arial"/>
          <w:noProof/>
          <w:sz w:val="24"/>
          <w:szCs w:val="24"/>
          <w:lang w:val="en-US"/>
        </w:rPr>
        <w:t>.</w:t>
      </w:r>
      <w:r w:rsidRPr="00531C70">
        <w:rPr>
          <w:rFonts w:ascii="Arial" w:hAnsi="Arial" w:cs="Arial"/>
          <w:noProof/>
          <w:sz w:val="24"/>
          <w:szCs w:val="24"/>
          <w:lang w:val="en-US"/>
        </w:rPr>
        <w:t xml:space="preserve"> 2014</w:t>
      </w:r>
      <w:r w:rsidR="00FF4DA0">
        <w:rPr>
          <w:rFonts w:ascii="Arial" w:hAnsi="Arial" w:cs="Arial"/>
          <w:noProof/>
          <w:sz w:val="24"/>
          <w:szCs w:val="24"/>
          <w:lang w:val="en-US"/>
        </w:rPr>
        <w:t>.</w:t>
      </w:r>
      <w:r w:rsidRPr="00531C70">
        <w:rPr>
          <w:rFonts w:ascii="Arial" w:hAnsi="Arial" w:cs="Arial"/>
          <w:noProof/>
          <w:sz w:val="24"/>
          <w:szCs w:val="24"/>
          <w:lang w:val="en-US"/>
        </w:rPr>
        <w:t xml:space="preserve"> Enteropathogenic Escherichia coli</w:t>
      </w:r>
      <w:r w:rsidR="00FF4DA0">
        <w:rPr>
          <w:rFonts w:ascii="Arial" w:hAnsi="Arial" w:cs="Arial"/>
          <w:noProof/>
          <w:sz w:val="24"/>
          <w:szCs w:val="24"/>
          <w:lang w:val="en-US"/>
        </w:rPr>
        <w:t>.</w:t>
      </w:r>
      <w:r w:rsidRPr="00531C70">
        <w:rPr>
          <w:rFonts w:ascii="Arial" w:hAnsi="Arial" w:cs="Arial"/>
          <w:noProof/>
          <w:sz w:val="24"/>
          <w:szCs w:val="24"/>
          <w:lang w:val="en-US"/>
        </w:rPr>
        <w:t xml:space="preserve"> Samonella</w:t>
      </w:r>
      <w:r w:rsidR="00FF4DA0">
        <w:rPr>
          <w:rFonts w:ascii="Arial" w:hAnsi="Arial" w:cs="Arial"/>
          <w:noProof/>
          <w:sz w:val="24"/>
          <w:szCs w:val="24"/>
          <w:lang w:val="en-US"/>
        </w:rPr>
        <w:t>.</w:t>
      </w:r>
      <w:r w:rsidRPr="00531C70">
        <w:rPr>
          <w:rFonts w:ascii="Arial" w:hAnsi="Arial" w:cs="Arial"/>
          <w:noProof/>
          <w:sz w:val="24"/>
          <w:szCs w:val="24"/>
          <w:lang w:val="en-US"/>
        </w:rPr>
        <w:t xml:space="preserve"> Shigella and Yersinia: Cellular aspects of host-bacteria interactions in enteric diseases</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2C11FF">
        <w:rPr>
          <w:rFonts w:ascii="Arial" w:hAnsi="Arial" w:cs="Arial"/>
          <w:noProof/>
          <w:sz w:val="24"/>
          <w:szCs w:val="24"/>
        </w:rPr>
        <w:t>Gut Pathog 2:8</w:t>
      </w:r>
      <w:r w:rsidR="00FF4DA0" w:rsidRPr="002C11FF">
        <w:rPr>
          <w:rFonts w:ascii="Arial" w:hAnsi="Arial" w:cs="Arial"/>
          <w:noProof/>
          <w:sz w:val="24"/>
          <w:szCs w:val="24"/>
        </w:rPr>
        <w:t>.</w:t>
      </w:r>
    </w:p>
    <w:p w14:paraId="5F36B6FF" w14:textId="292EA88D"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2C11FF">
        <w:rPr>
          <w:rFonts w:ascii="Arial" w:hAnsi="Arial" w:cs="Arial"/>
          <w:noProof/>
          <w:sz w:val="24"/>
          <w:szCs w:val="24"/>
        </w:rPr>
        <w:t>21</w:t>
      </w:r>
      <w:r w:rsidR="00FF4DA0" w:rsidRPr="002C11FF">
        <w:rPr>
          <w:rFonts w:ascii="Arial" w:hAnsi="Arial" w:cs="Arial"/>
          <w:noProof/>
          <w:sz w:val="24"/>
          <w:szCs w:val="24"/>
        </w:rPr>
        <w:t>.</w:t>
      </w:r>
      <w:r w:rsidRPr="002C11FF">
        <w:rPr>
          <w:rFonts w:ascii="Arial" w:hAnsi="Arial" w:cs="Arial"/>
          <w:noProof/>
          <w:sz w:val="24"/>
          <w:szCs w:val="24"/>
        </w:rPr>
        <w:t xml:space="preserve"> </w:t>
      </w:r>
      <w:r w:rsidRPr="002C11FF">
        <w:rPr>
          <w:rFonts w:ascii="Arial" w:hAnsi="Arial" w:cs="Arial"/>
          <w:noProof/>
          <w:sz w:val="24"/>
          <w:szCs w:val="24"/>
        </w:rPr>
        <w:tab/>
        <w:t>Rogosa M</w:t>
      </w:r>
      <w:r w:rsidR="00FF4DA0" w:rsidRPr="002C11FF">
        <w:rPr>
          <w:rFonts w:ascii="Arial" w:hAnsi="Arial" w:cs="Arial"/>
          <w:noProof/>
          <w:sz w:val="24"/>
          <w:szCs w:val="24"/>
        </w:rPr>
        <w:t>.</w:t>
      </w:r>
      <w:r w:rsidRPr="002C11FF">
        <w:rPr>
          <w:rFonts w:ascii="Arial" w:hAnsi="Arial" w:cs="Arial"/>
          <w:noProof/>
          <w:sz w:val="24"/>
          <w:szCs w:val="24"/>
        </w:rPr>
        <w:t xml:space="preserve"> 1969</w:t>
      </w:r>
      <w:r w:rsidR="00FF4DA0" w:rsidRPr="002C11FF">
        <w:rPr>
          <w:rFonts w:ascii="Arial" w:hAnsi="Arial" w:cs="Arial"/>
          <w:noProof/>
          <w:sz w:val="24"/>
          <w:szCs w:val="24"/>
        </w:rPr>
        <w:t>.</w:t>
      </w:r>
      <w:r w:rsidRPr="002C11FF">
        <w:rPr>
          <w:rFonts w:ascii="Arial" w:hAnsi="Arial" w:cs="Arial"/>
          <w:noProof/>
          <w:sz w:val="24"/>
          <w:szCs w:val="24"/>
        </w:rPr>
        <w:t xml:space="preserve"> </w:t>
      </w:r>
      <w:r w:rsidRPr="00FF4DA0">
        <w:rPr>
          <w:rFonts w:ascii="Arial" w:hAnsi="Arial" w:cs="Arial"/>
          <w:noProof/>
          <w:sz w:val="24"/>
          <w:szCs w:val="24"/>
        </w:rPr>
        <w:t>Acidaminococcus gen</w:t>
      </w:r>
      <w:r w:rsidR="00FF4DA0" w:rsidRPr="00FF4DA0">
        <w:rPr>
          <w:rFonts w:ascii="Arial" w:hAnsi="Arial" w:cs="Arial"/>
          <w:noProof/>
          <w:sz w:val="24"/>
          <w:szCs w:val="24"/>
        </w:rPr>
        <w:t>.</w:t>
      </w:r>
      <w:r w:rsidRPr="00FF4DA0">
        <w:rPr>
          <w:rFonts w:ascii="Arial" w:hAnsi="Arial" w:cs="Arial"/>
          <w:noProof/>
          <w:sz w:val="24"/>
          <w:szCs w:val="24"/>
        </w:rPr>
        <w:t xml:space="preserve"> n</w:t>
      </w:r>
      <w:r w:rsidR="00FF4DA0" w:rsidRPr="00FF4DA0">
        <w:rPr>
          <w:rFonts w:ascii="Arial" w:hAnsi="Arial" w:cs="Arial"/>
          <w:noProof/>
          <w:sz w:val="24"/>
          <w:szCs w:val="24"/>
        </w:rPr>
        <w:t>..</w:t>
      </w:r>
      <w:r w:rsidRPr="00FF4DA0">
        <w:rPr>
          <w:rFonts w:ascii="Arial" w:hAnsi="Arial" w:cs="Arial"/>
          <w:noProof/>
          <w:sz w:val="24"/>
          <w:szCs w:val="24"/>
        </w:rPr>
        <w:t xml:space="preserve"> Acidaminococcus fermentans sp</w:t>
      </w:r>
      <w:r w:rsidR="00FF4DA0" w:rsidRPr="00FF4DA0">
        <w:rPr>
          <w:rFonts w:ascii="Arial" w:hAnsi="Arial" w:cs="Arial"/>
          <w:noProof/>
          <w:sz w:val="24"/>
          <w:szCs w:val="24"/>
        </w:rPr>
        <w:t>.</w:t>
      </w:r>
      <w:r w:rsidRPr="00FF4DA0">
        <w:rPr>
          <w:rFonts w:ascii="Arial" w:hAnsi="Arial" w:cs="Arial"/>
          <w:noProof/>
          <w:sz w:val="24"/>
          <w:szCs w:val="24"/>
        </w:rPr>
        <w:t xml:space="preserve"> n</w:t>
      </w:r>
      <w:r w:rsidR="00FF4DA0" w:rsidRPr="00FF4DA0">
        <w:rPr>
          <w:rFonts w:ascii="Arial" w:hAnsi="Arial" w:cs="Arial"/>
          <w:noProof/>
          <w:sz w:val="24"/>
          <w:szCs w:val="24"/>
        </w:rPr>
        <w:t>..</w:t>
      </w:r>
      <w:r w:rsidRPr="00FF4DA0">
        <w:rPr>
          <w:rFonts w:ascii="Arial" w:hAnsi="Arial" w:cs="Arial"/>
          <w:noProof/>
          <w:sz w:val="24"/>
          <w:szCs w:val="24"/>
        </w:rPr>
        <w:t xml:space="preserve"> </w:t>
      </w:r>
      <w:r w:rsidRPr="00531C70">
        <w:rPr>
          <w:rFonts w:ascii="Arial" w:hAnsi="Arial" w:cs="Arial"/>
          <w:noProof/>
          <w:sz w:val="24"/>
          <w:szCs w:val="24"/>
          <w:lang w:val="en-US"/>
        </w:rPr>
        <w:t>anaerobic gram-negative diplococci using amino acids as the sole energy source for growth</w:t>
      </w:r>
      <w:r w:rsidR="00FF4DA0">
        <w:rPr>
          <w:rFonts w:ascii="Arial" w:hAnsi="Arial" w:cs="Arial"/>
          <w:noProof/>
          <w:sz w:val="24"/>
          <w:szCs w:val="24"/>
          <w:lang w:val="en-US"/>
        </w:rPr>
        <w:t>.</w:t>
      </w:r>
      <w:r w:rsidRPr="00531C70">
        <w:rPr>
          <w:rFonts w:ascii="Arial" w:hAnsi="Arial" w:cs="Arial"/>
          <w:noProof/>
          <w:sz w:val="24"/>
          <w:szCs w:val="24"/>
          <w:lang w:val="en-US"/>
        </w:rPr>
        <w:t xml:space="preserve"> J Bacteriol 98:756–766</w:t>
      </w:r>
      <w:r w:rsidR="00FF4DA0">
        <w:rPr>
          <w:rFonts w:ascii="Arial" w:hAnsi="Arial" w:cs="Arial"/>
          <w:noProof/>
          <w:sz w:val="24"/>
          <w:szCs w:val="24"/>
          <w:lang w:val="en-US"/>
        </w:rPr>
        <w:t>.</w:t>
      </w:r>
    </w:p>
    <w:p w14:paraId="51173CDC" w14:textId="73F8F1F3"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22</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Marchandin H</w:t>
      </w:r>
      <w:r w:rsidR="00FF4DA0">
        <w:rPr>
          <w:rFonts w:ascii="Arial" w:hAnsi="Arial" w:cs="Arial"/>
          <w:noProof/>
          <w:sz w:val="24"/>
          <w:szCs w:val="24"/>
          <w:lang w:val="en-US"/>
        </w:rPr>
        <w:t>.</w:t>
      </w:r>
      <w:r w:rsidRPr="00531C70">
        <w:rPr>
          <w:rFonts w:ascii="Arial" w:hAnsi="Arial" w:cs="Arial"/>
          <w:noProof/>
          <w:sz w:val="24"/>
          <w:szCs w:val="24"/>
          <w:lang w:val="en-US"/>
        </w:rPr>
        <w:t xml:space="preserve"> Juvonen R</w:t>
      </w:r>
      <w:r w:rsidR="00FF4DA0">
        <w:rPr>
          <w:rFonts w:ascii="Arial" w:hAnsi="Arial" w:cs="Arial"/>
          <w:noProof/>
          <w:sz w:val="24"/>
          <w:szCs w:val="24"/>
          <w:lang w:val="en-US"/>
        </w:rPr>
        <w:t>.</w:t>
      </w:r>
      <w:r w:rsidRPr="00531C70">
        <w:rPr>
          <w:rFonts w:ascii="Arial" w:hAnsi="Arial" w:cs="Arial"/>
          <w:noProof/>
          <w:sz w:val="24"/>
          <w:szCs w:val="24"/>
          <w:lang w:val="en-US"/>
        </w:rPr>
        <w:t xml:space="preserve"> Haikara A</w:t>
      </w:r>
      <w:r w:rsidR="00FF4DA0">
        <w:rPr>
          <w:rFonts w:ascii="Arial" w:hAnsi="Arial" w:cs="Arial"/>
          <w:noProof/>
          <w:sz w:val="24"/>
          <w:szCs w:val="24"/>
          <w:lang w:val="en-US"/>
        </w:rPr>
        <w:t>.</w:t>
      </w:r>
      <w:r w:rsidRPr="00531C70">
        <w:rPr>
          <w:rFonts w:ascii="Arial" w:hAnsi="Arial" w:cs="Arial"/>
          <w:noProof/>
          <w:sz w:val="24"/>
          <w:szCs w:val="24"/>
          <w:lang w:val="en-US"/>
        </w:rPr>
        <w:t xml:space="preserve"> 2015</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i/>
          <w:iCs/>
          <w:noProof/>
          <w:sz w:val="24"/>
          <w:szCs w:val="24"/>
          <w:lang w:val="en-US"/>
        </w:rPr>
        <w:t>Megasphaera</w:t>
      </w:r>
      <w:r w:rsidR="00FF4DA0">
        <w:rPr>
          <w:rFonts w:ascii="Arial" w:hAnsi="Arial" w:cs="Arial"/>
          <w:noProof/>
          <w:sz w:val="24"/>
          <w:szCs w:val="24"/>
          <w:lang w:val="en-US"/>
        </w:rPr>
        <w:t>.</w:t>
      </w:r>
      <w:r w:rsidRPr="00531C70">
        <w:rPr>
          <w:rFonts w:ascii="Arial" w:hAnsi="Arial" w:cs="Arial"/>
          <w:noProof/>
          <w:sz w:val="24"/>
          <w:szCs w:val="24"/>
          <w:lang w:val="en-US"/>
        </w:rPr>
        <w:t xml:space="preserve"> p</w:t>
      </w:r>
      <w:r w:rsidR="00FF4DA0">
        <w:rPr>
          <w:rFonts w:ascii="Arial" w:hAnsi="Arial" w:cs="Arial"/>
          <w:noProof/>
          <w:sz w:val="24"/>
          <w:szCs w:val="24"/>
          <w:lang w:val="en-US"/>
        </w:rPr>
        <w:t>.</w:t>
      </w:r>
      <w:r w:rsidRPr="00531C70">
        <w:rPr>
          <w:rFonts w:ascii="Arial" w:hAnsi="Arial" w:cs="Arial"/>
          <w:noProof/>
          <w:sz w:val="24"/>
          <w:szCs w:val="24"/>
          <w:lang w:val="en-US"/>
        </w:rPr>
        <w:t xml:space="preserve"> 1–16</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i/>
          <w:iCs/>
          <w:noProof/>
          <w:sz w:val="24"/>
          <w:szCs w:val="24"/>
          <w:lang w:val="en-US"/>
        </w:rPr>
        <w:t>In</w:t>
      </w:r>
      <w:r w:rsidRPr="00531C70">
        <w:rPr>
          <w:rFonts w:ascii="Arial" w:hAnsi="Arial" w:cs="Arial"/>
          <w:noProof/>
          <w:sz w:val="24"/>
          <w:szCs w:val="24"/>
          <w:lang w:val="en-US"/>
        </w:rPr>
        <w:t xml:space="preserve"> Bergey’s Manual of Systematics of Archaea and Bacteria</w:t>
      </w:r>
      <w:r w:rsidR="00FF4DA0">
        <w:rPr>
          <w:rFonts w:ascii="Arial" w:hAnsi="Arial" w:cs="Arial"/>
          <w:noProof/>
          <w:sz w:val="24"/>
          <w:szCs w:val="24"/>
          <w:lang w:val="en-US"/>
        </w:rPr>
        <w:t>.</w:t>
      </w:r>
      <w:r w:rsidRPr="00531C70">
        <w:rPr>
          <w:rFonts w:ascii="Arial" w:hAnsi="Arial" w:cs="Arial"/>
          <w:noProof/>
          <w:sz w:val="24"/>
          <w:szCs w:val="24"/>
          <w:lang w:val="en-US"/>
        </w:rPr>
        <w:t xml:space="preserve"> John Wiley &amp; Sons</w:t>
      </w:r>
      <w:r w:rsidR="00FF4DA0">
        <w:rPr>
          <w:rFonts w:ascii="Arial" w:hAnsi="Arial" w:cs="Arial"/>
          <w:noProof/>
          <w:sz w:val="24"/>
          <w:szCs w:val="24"/>
          <w:lang w:val="en-US"/>
        </w:rPr>
        <w:t>.</w:t>
      </w:r>
      <w:r w:rsidRPr="00531C70">
        <w:rPr>
          <w:rFonts w:ascii="Arial" w:hAnsi="Arial" w:cs="Arial"/>
          <w:noProof/>
          <w:sz w:val="24"/>
          <w:szCs w:val="24"/>
          <w:lang w:val="en-US"/>
        </w:rPr>
        <w:t xml:space="preserve"> Ltd</w:t>
      </w:r>
      <w:r w:rsidR="00FF4DA0">
        <w:rPr>
          <w:rFonts w:ascii="Arial" w:hAnsi="Arial" w:cs="Arial"/>
          <w:noProof/>
          <w:sz w:val="24"/>
          <w:szCs w:val="24"/>
          <w:lang w:val="en-US"/>
        </w:rPr>
        <w:t>.</w:t>
      </w:r>
      <w:r w:rsidRPr="00531C70">
        <w:rPr>
          <w:rFonts w:ascii="Arial" w:hAnsi="Arial" w:cs="Arial"/>
          <w:noProof/>
          <w:sz w:val="24"/>
          <w:szCs w:val="24"/>
          <w:lang w:val="en-US"/>
        </w:rPr>
        <w:t xml:space="preserve"> Chichester</w:t>
      </w:r>
      <w:r w:rsidR="00FF4DA0">
        <w:rPr>
          <w:rFonts w:ascii="Arial" w:hAnsi="Arial" w:cs="Arial"/>
          <w:noProof/>
          <w:sz w:val="24"/>
          <w:szCs w:val="24"/>
          <w:lang w:val="en-US"/>
        </w:rPr>
        <w:t>.</w:t>
      </w:r>
      <w:r w:rsidRPr="00531C70">
        <w:rPr>
          <w:rFonts w:ascii="Arial" w:hAnsi="Arial" w:cs="Arial"/>
          <w:noProof/>
          <w:sz w:val="24"/>
          <w:szCs w:val="24"/>
          <w:lang w:val="en-US"/>
        </w:rPr>
        <w:t xml:space="preserve"> UK</w:t>
      </w:r>
      <w:r w:rsidR="00FF4DA0">
        <w:rPr>
          <w:rFonts w:ascii="Arial" w:hAnsi="Arial" w:cs="Arial"/>
          <w:noProof/>
          <w:sz w:val="24"/>
          <w:szCs w:val="24"/>
          <w:lang w:val="en-US"/>
        </w:rPr>
        <w:t>.</w:t>
      </w:r>
    </w:p>
    <w:p w14:paraId="0386B72A" w14:textId="5376E1EC"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531C70">
        <w:rPr>
          <w:rFonts w:ascii="Arial" w:hAnsi="Arial" w:cs="Arial"/>
          <w:noProof/>
          <w:sz w:val="24"/>
          <w:szCs w:val="24"/>
          <w:lang w:val="en-US"/>
        </w:rPr>
        <w:t>23</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Shetty SA</w:t>
      </w:r>
      <w:r w:rsidR="00FF4DA0">
        <w:rPr>
          <w:rFonts w:ascii="Arial" w:hAnsi="Arial" w:cs="Arial"/>
          <w:noProof/>
          <w:sz w:val="24"/>
          <w:szCs w:val="24"/>
          <w:lang w:val="en-US"/>
        </w:rPr>
        <w:t>.</w:t>
      </w:r>
      <w:r w:rsidRPr="00531C70">
        <w:rPr>
          <w:rFonts w:ascii="Arial" w:hAnsi="Arial" w:cs="Arial"/>
          <w:noProof/>
          <w:sz w:val="24"/>
          <w:szCs w:val="24"/>
          <w:lang w:val="en-US"/>
        </w:rPr>
        <w:t xml:space="preserve"> Marathe NP</w:t>
      </w:r>
      <w:r w:rsidR="00FF4DA0">
        <w:rPr>
          <w:rFonts w:ascii="Arial" w:hAnsi="Arial" w:cs="Arial"/>
          <w:noProof/>
          <w:sz w:val="24"/>
          <w:szCs w:val="24"/>
          <w:lang w:val="en-US"/>
        </w:rPr>
        <w:t>.</w:t>
      </w:r>
      <w:r w:rsidRPr="00531C70">
        <w:rPr>
          <w:rFonts w:ascii="Arial" w:hAnsi="Arial" w:cs="Arial"/>
          <w:noProof/>
          <w:sz w:val="24"/>
          <w:szCs w:val="24"/>
          <w:lang w:val="en-US"/>
        </w:rPr>
        <w:t xml:space="preserve"> Lanjekar V</w:t>
      </w:r>
      <w:r w:rsidR="00FF4DA0">
        <w:rPr>
          <w:rFonts w:ascii="Arial" w:hAnsi="Arial" w:cs="Arial"/>
          <w:noProof/>
          <w:sz w:val="24"/>
          <w:szCs w:val="24"/>
          <w:lang w:val="en-US"/>
        </w:rPr>
        <w:t>.</w:t>
      </w:r>
      <w:r w:rsidRPr="00531C70">
        <w:rPr>
          <w:rFonts w:ascii="Arial" w:hAnsi="Arial" w:cs="Arial"/>
          <w:noProof/>
          <w:sz w:val="24"/>
          <w:szCs w:val="24"/>
          <w:lang w:val="en-US"/>
        </w:rPr>
        <w:t xml:space="preserve"> Ranade D</w:t>
      </w:r>
      <w:r w:rsidR="00FF4DA0">
        <w:rPr>
          <w:rFonts w:ascii="Arial" w:hAnsi="Arial" w:cs="Arial"/>
          <w:noProof/>
          <w:sz w:val="24"/>
          <w:szCs w:val="24"/>
          <w:lang w:val="en-US"/>
        </w:rPr>
        <w:t>.</w:t>
      </w:r>
      <w:r w:rsidRPr="00531C70">
        <w:rPr>
          <w:rFonts w:ascii="Arial" w:hAnsi="Arial" w:cs="Arial"/>
          <w:noProof/>
          <w:sz w:val="24"/>
          <w:szCs w:val="24"/>
          <w:lang w:val="en-US"/>
        </w:rPr>
        <w:t xml:space="preserve"> Shouche YS</w:t>
      </w:r>
      <w:r w:rsidR="00FF4DA0">
        <w:rPr>
          <w:rFonts w:ascii="Arial" w:hAnsi="Arial" w:cs="Arial"/>
          <w:noProof/>
          <w:sz w:val="24"/>
          <w:szCs w:val="24"/>
          <w:lang w:val="en-US"/>
        </w:rPr>
        <w:t>.</w:t>
      </w:r>
      <w:r w:rsidRPr="00531C70">
        <w:rPr>
          <w:rFonts w:ascii="Arial" w:hAnsi="Arial" w:cs="Arial"/>
          <w:noProof/>
          <w:sz w:val="24"/>
          <w:szCs w:val="24"/>
          <w:lang w:val="en-US"/>
        </w:rPr>
        <w:t xml:space="preserve"> 2013</w:t>
      </w:r>
      <w:r w:rsidR="00FF4DA0">
        <w:rPr>
          <w:rFonts w:ascii="Arial" w:hAnsi="Arial" w:cs="Arial"/>
          <w:noProof/>
          <w:sz w:val="24"/>
          <w:szCs w:val="24"/>
          <w:lang w:val="en-US"/>
        </w:rPr>
        <w:t>.</w:t>
      </w:r>
      <w:r w:rsidRPr="00531C70">
        <w:rPr>
          <w:rFonts w:ascii="Arial" w:hAnsi="Arial" w:cs="Arial"/>
          <w:noProof/>
          <w:sz w:val="24"/>
          <w:szCs w:val="24"/>
          <w:lang w:val="en-US"/>
        </w:rPr>
        <w:t xml:space="preserve"> Comparative Genome Analysis of Megasphaera sp</w:t>
      </w:r>
      <w:r w:rsidR="00FF4DA0">
        <w:rPr>
          <w:rFonts w:ascii="Arial" w:hAnsi="Arial" w:cs="Arial"/>
          <w:noProof/>
          <w:sz w:val="24"/>
          <w:szCs w:val="24"/>
          <w:lang w:val="en-US"/>
        </w:rPr>
        <w:t>.</w:t>
      </w:r>
      <w:r w:rsidRPr="00531C70">
        <w:rPr>
          <w:rFonts w:ascii="Arial" w:hAnsi="Arial" w:cs="Arial"/>
          <w:noProof/>
          <w:sz w:val="24"/>
          <w:szCs w:val="24"/>
          <w:lang w:val="en-US"/>
        </w:rPr>
        <w:t xml:space="preserve"> Reveals Niche Specialization and Its Potential Role in the Human Gut</w:t>
      </w:r>
      <w:r w:rsidR="00FF4DA0">
        <w:rPr>
          <w:rFonts w:ascii="Arial" w:hAnsi="Arial" w:cs="Arial"/>
          <w:noProof/>
          <w:sz w:val="24"/>
          <w:szCs w:val="24"/>
          <w:lang w:val="en-US"/>
        </w:rPr>
        <w:t>.</w:t>
      </w:r>
      <w:r w:rsidRPr="00531C70">
        <w:rPr>
          <w:rFonts w:ascii="Arial" w:hAnsi="Arial" w:cs="Arial"/>
          <w:noProof/>
          <w:sz w:val="24"/>
          <w:szCs w:val="24"/>
          <w:lang w:val="en-US"/>
        </w:rPr>
        <w:t xml:space="preserve"> PLoS One 8:e79353</w:t>
      </w:r>
      <w:r w:rsidR="00FF4DA0">
        <w:rPr>
          <w:rFonts w:ascii="Arial" w:hAnsi="Arial" w:cs="Arial"/>
          <w:noProof/>
          <w:sz w:val="24"/>
          <w:szCs w:val="24"/>
          <w:lang w:val="en-US"/>
        </w:rPr>
        <w:t>.</w:t>
      </w:r>
    </w:p>
    <w:p w14:paraId="622D87AB" w14:textId="7A01760A" w:rsidR="00D77F5F" w:rsidRPr="00FF4DA0"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531C70">
        <w:rPr>
          <w:rFonts w:ascii="Arial" w:hAnsi="Arial" w:cs="Arial"/>
          <w:noProof/>
          <w:sz w:val="24"/>
          <w:szCs w:val="24"/>
          <w:lang w:val="en-US"/>
        </w:rPr>
        <w:t>24</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Schwalm ND</w:t>
      </w:r>
      <w:r w:rsidR="00FF4DA0">
        <w:rPr>
          <w:rFonts w:ascii="Arial" w:hAnsi="Arial" w:cs="Arial"/>
          <w:noProof/>
          <w:sz w:val="24"/>
          <w:szCs w:val="24"/>
          <w:lang w:val="en-US"/>
        </w:rPr>
        <w:t>.</w:t>
      </w:r>
      <w:r w:rsidRPr="00531C70">
        <w:rPr>
          <w:rFonts w:ascii="Arial" w:hAnsi="Arial" w:cs="Arial"/>
          <w:noProof/>
          <w:sz w:val="24"/>
          <w:szCs w:val="24"/>
          <w:lang w:val="en-US"/>
        </w:rPr>
        <w:t xml:space="preserve"> Groisman EA</w:t>
      </w:r>
      <w:r w:rsidR="00FF4DA0">
        <w:rPr>
          <w:rFonts w:ascii="Arial" w:hAnsi="Arial" w:cs="Arial"/>
          <w:noProof/>
          <w:sz w:val="24"/>
          <w:szCs w:val="24"/>
          <w:lang w:val="en-US"/>
        </w:rPr>
        <w:t>.</w:t>
      </w:r>
      <w:r w:rsidRPr="00531C70">
        <w:rPr>
          <w:rFonts w:ascii="Arial" w:hAnsi="Arial" w:cs="Arial"/>
          <w:noProof/>
          <w:sz w:val="24"/>
          <w:szCs w:val="24"/>
          <w:lang w:val="en-US"/>
        </w:rPr>
        <w:t xml:space="preserve"> 2017</w:t>
      </w:r>
      <w:r w:rsidR="00FF4DA0">
        <w:rPr>
          <w:rFonts w:ascii="Arial" w:hAnsi="Arial" w:cs="Arial"/>
          <w:noProof/>
          <w:sz w:val="24"/>
          <w:szCs w:val="24"/>
          <w:lang w:val="en-US"/>
        </w:rPr>
        <w:t>.</w:t>
      </w:r>
      <w:r w:rsidRPr="00531C70">
        <w:rPr>
          <w:rFonts w:ascii="Arial" w:hAnsi="Arial" w:cs="Arial"/>
          <w:noProof/>
          <w:sz w:val="24"/>
          <w:szCs w:val="24"/>
          <w:lang w:val="en-US"/>
        </w:rPr>
        <w:t xml:space="preserve"> Navigating the Gut Buffet: Control of Polysaccharide Utilization in Bacteroides spp</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FF4DA0">
        <w:rPr>
          <w:rFonts w:ascii="Arial" w:hAnsi="Arial" w:cs="Arial"/>
          <w:noProof/>
          <w:sz w:val="24"/>
          <w:szCs w:val="24"/>
        </w:rPr>
        <w:t>Trends Microbiol 25:1005–1015</w:t>
      </w:r>
      <w:r w:rsidR="00FF4DA0" w:rsidRPr="00FF4DA0">
        <w:rPr>
          <w:rFonts w:ascii="Arial" w:hAnsi="Arial" w:cs="Arial"/>
          <w:noProof/>
          <w:sz w:val="24"/>
          <w:szCs w:val="24"/>
        </w:rPr>
        <w:t>.</w:t>
      </w:r>
    </w:p>
    <w:p w14:paraId="07BA9AEB" w14:textId="69B5BED2" w:rsidR="00D77F5F" w:rsidRPr="002C11FF"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FF4DA0">
        <w:rPr>
          <w:rFonts w:ascii="Arial" w:hAnsi="Arial" w:cs="Arial"/>
          <w:noProof/>
          <w:sz w:val="24"/>
          <w:szCs w:val="24"/>
        </w:rPr>
        <w:t>25</w:t>
      </w:r>
      <w:r w:rsidR="00FF4DA0" w:rsidRPr="00FF4DA0">
        <w:rPr>
          <w:rFonts w:ascii="Arial" w:hAnsi="Arial" w:cs="Arial"/>
          <w:noProof/>
          <w:sz w:val="24"/>
          <w:szCs w:val="24"/>
        </w:rPr>
        <w:t>.</w:t>
      </w:r>
      <w:r w:rsidRPr="00FF4DA0">
        <w:rPr>
          <w:rFonts w:ascii="Arial" w:hAnsi="Arial" w:cs="Arial"/>
          <w:noProof/>
          <w:sz w:val="24"/>
          <w:szCs w:val="24"/>
        </w:rPr>
        <w:t xml:space="preserve"> </w:t>
      </w:r>
      <w:r w:rsidRPr="00FF4DA0">
        <w:rPr>
          <w:rFonts w:ascii="Arial" w:hAnsi="Arial" w:cs="Arial"/>
          <w:noProof/>
          <w:sz w:val="24"/>
          <w:szCs w:val="24"/>
        </w:rPr>
        <w:tab/>
        <w:t>Nakano V</w:t>
      </w:r>
      <w:r w:rsidR="00FF4DA0" w:rsidRPr="00FF4DA0">
        <w:rPr>
          <w:rFonts w:ascii="Arial" w:hAnsi="Arial" w:cs="Arial"/>
          <w:noProof/>
          <w:sz w:val="24"/>
          <w:szCs w:val="24"/>
        </w:rPr>
        <w:t>.</w:t>
      </w:r>
      <w:r w:rsidRPr="00FF4DA0">
        <w:rPr>
          <w:rFonts w:ascii="Arial" w:hAnsi="Arial" w:cs="Arial"/>
          <w:noProof/>
          <w:sz w:val="24"/>
          <w:szCs w:val="24"/>
        </w:rPr>
        <w:t xml:space="preserve"> Ignacio A</w:t>
      </w:r>
      <w:r w:rsidR="00FF4DA0" w:rsidRPr="00FF4DA0">
        <w:rPr>
          <w:rFonts w:ascii="Arial" w:hAnsi="Arial" w:cs="Arial"/>
          <w:noProof/>
          <w:sz w:val="24"/>
          <w:szCs w:val="24"/>
        </w:rPr>
        <w:t>.</w:t>
      </w:r>
      <w:r w:rsidRPr="00FF4DA0">
        <w:rPr>
          <w:rFonts w:ascii="Arial" w:hAnsi="Arial" w:cs="Arial"/>
          <w:noProof/>
          <w:sz w:val="24"/>
          <w:szCs w:val="24"/>
        </w:rPr>
        <w:t xml:space="preserve"> Fernandes MR</w:t>
      </w:r>
      <w:r w:rsidR="00FF4DA0" w:rsidRPr="00FF4DA0">
        <w:rPr>
          <w:rFonts w:ascii="Arial" w:hAnsi="Arial" w:cs="Arial"/>
          <w:noProof/>
          <w:sz w:val="24"/>
          <w:szCs w:val="24"/>
        </w:rPr>
        <w:t>.</w:t>
      </w:r>
      <w:r w:rsidRPr="00FF4DA0">
        <w:rPr>
          <w:rFonts w:ascii="Arial" w:hAnsi="Arial" w:cs="Arial"/>
          <w:noProof/>
          <w:sz w:val="24"/>
          <w:szCs w:val="24"/>
        </w:rPr>
        <w:t xml:space="preserve"> Fukugaiti MH</w:t>
      </w:r>
      <w:r w:rsidR="00FF4DA0" w:rsidRPr="00FF4DA0">
        <w:rPr>
          <w:rFonts w:ascii="Arial" w:hAnsi="Arial" w:cs="Arial"/>
          <w:noProof/>
          <w:sz w:val="24"/>
          <w:szCs w:val="24"/>
        </w:rPr>
        <w:t>.</w:t>
      </w:r>
      <w:r w:rsidRPr="00FF4DA0">
        <w:rPr>
          <w:rFonts w:ascii="Arial" w:hAnsi="Arial" w:cs="Arial"/>
          <w:noProof/>
          <w:sz w:val="24"/>
          <w:szCs w:val="24"/>
        </w:rPr>
        <w:t xml:space="preserve"> Avila-campos MJ</w:t>
      </w:r>
      <w:r w:rsidR="00FF4DA0" w:rsidRPr="00FF4DA0">
        <w:rPr>
          <w:rFonts w:ascii="Arial" w:hAnsi="Arial" w:cs="Arial"/>
          <w:noProof/>
          <w:sz w:val="24"/>
          <w:szCs w:val="24"/>
        </w:rPr>
        <w:t>.</w:t>
      </w:r>
      <w:r w:rsidRPr="00FF4DA0">
        <w:rPr>
          <w:rFonts w:ascii="Arial" w:hAnsi="Arial" w:cs="Arial"/>
          <w:noProof/>
          <w:sz w:val="24"/>
          <w:szCs w:val="24"/>
        </w:rPr>
        <w:t xml:space="preserve"> 2013</w:t>
      </w:r>
      <w:r w:rsidR="00FF4DA0" w:rsidRPr="00FF4DA0">
        <w:rPr>
          <w:rFonts w:ascii="Arial" w:hAnsi="Arial" w:cs="Arial"/>
          <w:noProof/>
          <w:sz w:val="24"/>
          <w:szCs w:val="24"/>
        </w:rPr>
        <w:t>.</w:t>
      </w:r>
      <w:r w:rsidRPr="00FF4DA0">
        <w:rPr>
          <w:rFonts w:ascii="Arial" w:hAnsi="Arial" w:cs="Arial"/>
          <w:noProof/>
          <w:sz w:val="24"/>
          <w:szCs w:val="24"/>
        </w:rPr>
        <w:t xml:space="preserve"> </w:t>
      </w:r>
      <w:r w:rsidRPr="002C11FF">
        <w:rPr>
          <w:rFonts w:ascii="Arial" w:hAnsi="Arial" w:cs="Arial"/>
          <w:noProof/>
          <w:sz w:val="24"/>
          <w:szCs w:val="24"/>
        </w:rPr>
        <w:t>Intestinal Bacteroides and Parabacteroides species producing antagonistic substances</w:t>
      </w:r>
      <w:r w:rsidR="00FF4DA0" w:rsidRPr="002C11FF">
        <w:rPr>
          <w:rFonts w:ascii="Arial" w:hAnsi="Arial" w:cs="Arial"/>
          <w:noProof/>
          <w:sz w:val="24"/>
          <w:szCs w:val="24"/>
        </w:rPr>
        <w:t>.</w:t>
      </w:r>
      <w:r w:rsidRPr="002C11FF">
        <w:rPr>
          <w:rFonts w:ascii="Arial" w:hAnsi="Arial" w:cs="Arial"/>
          <w:noProof/>
          <w:sz w:val="24"/>
          <w:szCs w:val="24"/>
        </w:rPr>
        <w:t xml:space="preserve"> Curr Trends Microbiol 1:1–4</w:t>
      </w:r>
      <w:r w:rsidR="00FF4DA0" w:rsidRPr="002C11FF">
        <w:rPr>
          <w:rFonts w:ascii="Arial" w:hAnsi="Arial" w:cs="Arial"/>
          <w:noProof/>
          <w:sz w:val="24"/>
          <w:szCs w:val="24"/>
        </w:rPr>
        <w:t>.</w:t>
      </w:r>
    </w:p>
    <w:p w14:paraId="1CD5DD26" w14:textId="7A7E1277" w:rsidR="00D77F5F" w:rsidRPr="00531C70" w:rsidRDefault="00D77F5F" w:rsidP="00D77F5F">
      <w:pPr>
        <w:widowControl w:val="0"/>
        <w:autoSpaceDE w:val="0"/>
        <w:autoSpaceDN w:val="0"/>
        <w:adjustRightInd w:val="0"/>
        <w:spacing w:line="360" w:lineRule="auto"/>
        <w:ind w:left="640" w:hanging="640"/>
        <w:rPr>
          <w:rFonts w:ascii="Arial" w:hAnsi="Arial" w:cs="Arial"/>
          <w:noProof/>
          <w:sz w:val="24"/>
          <w:szCs w:val="24"/>
          <w:lang w:val="en-US"/>
        </w:rPr>
      </w:pPr>
      <w:r w:rsidRPr="002C11FF">
        <w:rPr>
          <w:rFonts w:ascii="Arial" w:hAnsi="Arial" w:cs="Arial"/>
          <w:noProof/>
          <w:sz w:val="24"/>
          <w:szCs w:val="24"/>
        </w:rPr>
        <w:t>26</w:t>
      </w:r>
      <w:r w:rsidR="00FF4DA0" w:rsidRPr="002C11FF">
        <w:rPr>
          <w:rFonts w:ascii="Arial" w:hAnsi="Arial" w:cs="Arial"/>
          <w:noProof/>
          <w:sz w:val="24"/>
          <w:szCs w:val="24"/>
        </w:rPr>
        <w:t>.</w:t>
      </w:r>
      <w:r w:rsidRPr="002C11FF">
        <w:rPr>
          <w:rFonts w:ascii="Arial" w:hAnsi="Arial" w:cs="Arial"/>
          <w:noProof/>
          <w:sz w:val="24"/>
          <w:szCs w:val="24"/>
        </w:rPr>
        <w:t xml:space="preserve"> </w:t>
      </w:r>
      <w:r w:rsidRPr="002C11FF">
        <w:rPr>
          <w:rFonts w:ascii="Arial" w:hAnsi="Arial" w:cs="Arial"/>
          <w:noProof/>
          <w:sz w:val="24"/>
          <w:szCs w:val="24"/>
        </w:rPr>
        <w:tab/>
        <w:t>Wang K</w:t>
      </w:r>
      <w:r w:rsidR="00FF4DA0" w:rsidRPr="002C11FF">
        <w:rPr>
          <w:rFonts w:ascii="Arial" w:hAnsi="Arial" w:cs="Arial"/>
          <w:noProof/>
          <w:sz w:val="24"/>
          <w:szCs w:val="24"/>
        </w:rPr>
        <w:t>.</w:t>
      </w:r>
      <w:r w:rsidRPr="002C11FF">
        <w:rPr>
          <w:rFonts w:ascii="Arial" w:hAnsi="Arial" w:cs="Arial"/>
          <w:noProof/>
          <w:sz w:val="24"/>
          <w:szCs w:val="24"/>
        </w:rPr>
        <w:t xml:space="preserve"> Liao M</w:t>
      </w:r>
      <w:r w:rsidR="00FF4DA0" w:rsidRPr="002C11FF">
        <w:rPr>
          <w:rFonts w:ascii="Arial" w:hAnsi="Arial" w:cs="Arial"/>
          <w:noProof/>
          <w:sz w:val="24"/>
          <w:szCs w:val="24"/>
        </w:rPr>
        <w:t>.</w:t>
      </w:r>
      <w:r w:rsidRPr="002C11FF">
        <w:rPr>
          <w:rFonts w:ascii="Arial" w:hAnsi="Arial" w:cs="Arial"/>
          <w:noProof/>
          <w:sz w:val="24"/>
          <w:szCs w:val="24"/>
        </w:rPr>
        <w:t xml:space="preserve"> Zhou N</w:t>
      </w:r>
      <w:r w:rsidR="00FF4DA0" w:rsidRPr="002C11FF">
        <w:rPr>
          <w:rFonts w:ascii="Arial" w:hAnsi="Arial" w:cs="Arial"/>
          <w:noProof/>
          <w:sz w:val="24"/>
          <w:szCs w:val="24"/>
        </w:rPr>
        <w:t>.</w:t>
      </w:r>
      <w:r w:rsidRPr="002C11FF">
        <w:rPr>
          <w:rFonts w:ascii="Arial" w:hAnsi="Arial" w:cs="Arial"/>
          <w:noProof/>
          <w:sz w:val="24"/>
          <w:szCs w:val="24"/>
        </w:rPr>
        <w:t xml:space="preserve"> Bao L</w:t>
      </w:r>
      <w:r w:rsidR="00FF4DA0" w:rsidRPr="002C11FF">
        <w:rPr>
          <w:rFonts w:ascii="Arial" w:hAnsi="Arial" w:cs="Arial"/>
          <w:noProof/>
          <w:sz w:val="24"/>
          <w:szCs w:val="24"/>
        </w:rPr>
        <w:t>.</w:t>
      </w:r>
      <w:r w:rsidRPr="002C11FF">
        <w:rPr>
          <w:rFonts w:ascii="Arial" w:hAnsi="Arial" w:cs="Arial"/>
          <w:noProof/>
          <w:sz w:val="24"/>
          <w:szCs w:val="24"/>
        </w:rPr>
        <w:t xml:space="preserve"> Ma K</w:t>
      </w:r>
      <w:r w:rsidR="00FF4DA0" w:rsidRPr="002C11FF">
        <w:rPr>
          <w:rFonts w:ascii="Arial" w:hAnsi="Arial" w:cs="Arial"/>
          <w:noProof/>
          <w:sz w:val="24"/>
          <w:szCs w:val="24"/>
        </w:rPr>
        <w:t>.</w:t>
      </w:r>
      <w:r w:rsidRPr="002C11FF">
        <w:rPr>
          <w:rFonts w:ascii="Arial" w:hAnsi="Arial" w:cs="Arial"/>
          <w:noProof/>
          <w:sz w:val="24"/>
          <w:szCs w:val="24"/>
        </w:rPr>
        <w:t xml:space="preserve"> Zheng Z</w:t>
      </w:r>
      <w:r w:rsidR="00FF4DA0" w:rsidRPr="002C11FF">
        <w:rPr>
          <w:rFonts w:ascii="Arial" w:hAnsi="Arial" w:cs="Arial"/>
          <w:noProof/>
          <w:sz w:val="24"/>
          <w:szCs w:val="24"/>
        </w:rPr>
        <w:t>.</w:t>
      </w:r>
      <w:r w:rsidRPr="002C11FF">
        <w:rPr>
          <w:rFonts w:ascii="Arial" w:hAnsi="Arial" w:cs="Arial"/>
          <w:noProof/>
          <w:sz w:val="24"/>
          <w:szCs w:val="24"/>
        </w:rPr>
        <w:t xml:space="preserve"> Wang Y</w:t>
      </w:r>
      <w:r w:rsidR="00FF4DA0" w:rsidRPr="002C11FF">
        <w:rPr>
          <w:rFonts w:ascii="Arial" w:hAnsi="Arial" w:cs="Arial"/>
          <w:noProof/>
          <w:sz w:val="24"/>
          <w:szCs w:val="24"/>
        </w:rPr>
        <w:t>.</w:t>
      </w:r>
      <w:r w:rsidRPr="002C11FF">
        <w:rPr>
          <w:rFonts w:ascii="Arial" w:hAnsi="Arial" w:cs="Arial"/>
          <w:noProof/>
          <w:sz w:val="24"/>
          <w:szCs w:val="24"/>
        </w:rPr>
        <w:t xml:space="preserve"> Liu C</w:t>
      </w:r>
      <w:r w:rsidR="00FF4DA0" w:rsidRPr="002C11FF">
        <w:rPr>
          <w:rFonts w:ascii="Arial" w:hAnsi="Arial" w:cs="Arial"/>
          <w:noProof/>
          <w:sz w:val="24"/>
          <w:szCs w:val="24"/>
        </w:rPr>
        <w:t>.</w:t>
      </w:r>
      <w:r w:rsidRPr="002C11FF">
        <w:rPr>
          <w:rFonts w:ascii="Arial" w:hAnsi="Arial" w:cs="Arial"/>
          <w:noProof/>
          <w:sz w:val="24"/>
          <w:szCs w:val="24"/>
        </w:rPr>
        <w:t xml:space="preserve"> Wang W</w:t>
      </w:r>
      <w:r w:rsidR="00FF4DA0" w:rsidRPr="002C11FF">
        <w:rPr>
          <w:rFonts w:ascii="Arial" w:hAnsi="Arial" w:cs="Arial"/>
          <w:noProof/>
          <w:sz w:val="24"/>
          <w:szCs w:val="24"/>
        </w:rPr>
        <w:t>.</w:t>
      </w:r>
      <w:r w:rsidRPr="002C11FF">
        <w:rPr>
          <w:rFonts w:ascii="Arial" w:hAnsi="Arial" w:cs="Arial"/>
          <w:noProof/>
          <w:sz w:val="24"/>
          <w:szCs w:val="24"/>
        </w:rPr>
        <w:t xml:space="preserve"> Wang J</w:t>
      </w:r>
      <w:r w:rsidR="00FF4DA0" w:rsidRPr="002C11FF">
        <w:rPr>
          <w:rFonts w:ascii="Arial" w:hAnsi="Arial" w:cs="Arial"/>
          <w:noProof/>
          <w:sz w:val="24"/>
          <w:szCs w:val="24"/>
        </w:rPr>
        <w:t>.</w:t>
      </w:r>
      <w:r w:rsidRPr="002C11FF">
        <w:rPr>
          <w:rFonts w:ascii="Arial" w:hAnsi="Arial" w:cs="Arial"/>
          <w:noProof/>
          <w:sz w:val="24"/>
          <w:szCs w:val="24"/>
        </w:rPr>
        <w:t xml:space="preserve"> Liu SJ</w:t>
      </w:r>
      <w:r w:rsidR="00FF4DA0" w:rsidRPr="002C11FF">
        <w:rPr>
          <w:rFonts w:ascii="Arial" w:hAnsi="Arial" w:cs="Arial"/>
          <w:noProof/>
          <w:sz w:val="24"/>
          <w:szCs w:val="24"/>
        </w:rPr>
        <w:t>.</w:t>
      </w:r>
      <w:r w:rsidRPr="002C11FF">
        <w:rPr>
          <w:rFonts w:ascii="Arial" w:hAnsi="Arial" w:cs="Arial"/>
          <w:noProof/>
          <w:sz w:val="24"/>
          <w:szCs w:val="24"/>
        </w:rPr>
        <w:t xml:space="preserve"> </w:t>
      </w:r>
      <w:r w:rsidRPr="00531C70">
        <w:rPr>
          <w:rFonts w:ascii="Arial" w:hAnsi="Arial" w:cs="Arial"/>
          <w:noProof/>
          <w:sz w:val="24"/>
          <w:szCs w:val="24"/>
          <w:lang w:val="en-US"/>
        </w:rPr>
        <w:t>Liu H</w:t>
      </w:r>
      <w:r w:rsidR="00FF4DA0">
        <w:rPr>
          <w:rFonts w:ascii="Arial" w:hAnsi="Arial" w:cs="Arial"/>
          <w:noProof/>
          <w:sz w:val="24"/>
          <w:szCs w:val="24"/>
          <w:lang w:val="en-US"/>
        </w:rPr>
        <w:t>.</w:t>
      </w:r>
      <w:r w:rsidRPr="00531C70">
        <w:rPr>
          <w:rFonts w:ascii="Arial" w:hAnsi="Arial" w:cs="Arial"/>
          <w:noProof/>
          <w:sz w:val="24"/>
          <w:szCs w:val="24"/>
          <w:lang w:val="en-US"/>
        </w:rPr>
        <w:t xml:space="preserve"> 2019</w:t>
      </w:r>
      <w:r w:rsidR="00FF4DA0">
        <w:rPr>
          <w:rFonts w:ascii="Arial" w:hAnsi="Arial" w:cs="Arial"/>
          <w:noProof/>
          <w:sz w:val="24"/>
          <w:szCs w:val="24"/>
          <w:lang w:val="en-US"/>
        </w:rPr>
        <w:t>.</w:t>
      </w:r>
      <w:r w:rsidRPr="00531C70">
        <w:rPr>
          <w:rFonts w:ascii="Arial" w:hAnsi="Arial" w:cs="Arial"/>
          <w:noProof/>
          <w:sz w:val="24"/>
          <w:szCs w:val="24"/>
          <w:lang w:val="en-US"/>
        </w:rPr>
        <w:t xml:space="preserve"> Parabacteroides distasonis Alleviates Obesity and Metabolic Dysfunctions via Production of Succinate and Secondary Bile Acids</w:t>
      </w:r>
      <w:r w:rsidR="00FF4DA0">
        <w:rPr>
          <w:rFonts w:ascii="Arial" w:hAnsi="Arial" w:cs="Arial"/>
          <w:noProof/>
          <w:sz w:val="24"/>
          <w:szCs w:val="24"/>
          <w:lang w:val="en-US"/>
        </w:rPr>
        <w:t>.</w:t>
      </w:r>
      <w:r w:rsidRPr="00531C70">
        <w:rPr>
          <w:rFonts w:ascii="Arial" w:hAnsi="Arial" w:cs="Arial"/>
          <w:noProof/>
          <w:sz w:val="24"/>
          <w:szCs w:val="24"/>
          <w:lang w:val="en-US"/>
        </w:rPr>
        <w:t xml:space="preserve"> Cell Rep 26:222-235</w:t>
      </w:r>
      <w:r w:rsidR="00FF4DA0">
        <w:rPr>
          <w:rFonts w:ascii="Arial" w:hAnsi="Arial" w:cs="Arial"/>
          <w:noProof/>
          <w:sz w:val="24"/>
          <w:szCs w:val="24"/>
          <w:lang w:val="en-US"/>
        </w:rPr>
        <w:t>.</w:t>
      </w:r>
      <w:r w:rsidRPr="00531C70">
        <w:rPr>
          <w:rFonts w:ascii="Arial" w:hAnsi="Arial" w:cs="Arial"/>
          <w:noProof/>
          <w:sz w:val="24"/>
          <w:szCs w:val="24"/>
          <w:lang w:val="en-US"/>
        </w:rPr>
        <w:t>e5</w:t>
      </w:r>
      <w:r w:rsidR="00FF4DA0">
        <w:rPr>
          <w:rFonts w:ascii="Arial" w:hAnsi="Arial" w:cs="Arial"/>
          <w:noProof/>
          <w:sz w:val="24"/>
          <w:szCs w:val="24"/>
          <w:lang w:val="en-US"/>
        </w:rPr>
        <w:t>.</w:t>
      </w:r>
    </w:p>
    <w:p w14:paraId="5391C1FC" w14:textId="7FBE06EF" w:rsidR="00D77F5F" w:rsidRPr="002C11FF" w:rsidRDefault="00D77F5F" w:rsidP="00D77F5F">
      <w:pPr>
        <w:widowControl w:val="0"/>
        <w:autoSpaceDE w:val="0"/>
        <w:autoSpaceDN w:val="0"/>
        <w:adjustRightInd w:val="0"/>
        <w:spacing w:line="360" w:lineRule="auto"/>
        <w:ind w:left="640" w:hanging="640"/>
        <w:rPr>
          <w:rFonts w:ascii="Arial" w:hAnsi="Arial" w:cs="Arial"/>
          <w:noProof/>
          <w:sz w:val="24"/>
          <w:szCs w:val="24"/>
        </w:rPr>
      </w:pPr>
      <w:r w:rsidRPr="00531C70">
        <w:rPr>
          <w:rFonts w:ascii="Arial" w:hAnsi="Arial" w:cs="Arial"/>
          <w:noProof/>
          <w:sz w:val="24"/>
          <w:szCs w:val="24"/>
          <w:lang w:val="en-US"/>
        </w:rPr>
        <w:t>27</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531C70">
        <w:rPr>
          <w:rFonts w:ascii="Arial" w:hAnsi="Arial" w:cs="Arial"/>
          <w:noProof/>
          <w:sz w:val="24"/>
          <w:szCs w:val="24"/>
          <w:lang w:val="en-US"/>
        </w:rPr>
        <w:tab/>
        <w:t>Li J</w:t>
      </w:r>
      <w:r w:rsidR="00FF4DA0">
        <w:rPr>
          <w:rFonts w:ascii="Arial" w:hAnsi="Arial" w:cs="Arial"/>
          <w:noProof/>
          <w:sz w:val="24"/>
          <w:szCs w:val="24"/>
          <w:lang w:val="en-US"/>
        </w:rPr>
        <w:t>.</w:t>
      </w:r>
      <w:r w:rsidRPr="00531C70">
        <w:rPr>
          <w:rFonts w:ascii="Arial" w:hAnsi="Arial" w:cs="Arial"/>
          <w:noProof/>
          <w:sz w:val="24"/>
          <w:szCs w:val="24"/>
          <w:lang w:val="en-US"/>
        </w:rPr>
        <w:t xml:space="preserve"> Sung CYJ</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2C11FF">
        <w:rPr>
          <w:rFonts w:ascii="Arial" w:hAnsi="Arial" w:cs="Arial"/>
          <w:noProof/>
          <w:sz w:val="24"/>
          <w:szCs w:val="24"/>
          <w:lang w:val="en-US"/>
        </w:rPr>
        <w:t>Lee N</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Ni Y</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Pihlajamäki J</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Panagiotou G</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El-Nezami H</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2016</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w:t>
      </w:r>
      <w:r w:rsidRPr="00531C70">
        <w:rPr>
          <w:rFonts w:ascii="Arial" w:hAnsi="Arial" w:cs="Arial"/>
          <w:noProof/>
          <w:sz w:val="24"/>
          <w:szCs w:val="24"/>
          <w:lang w:val="en-US"/>
        </w:rPr>
        <w:t>Probiotics modulated gut microbiota suppresses hepatocellular carcinoma growth in mice</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2C11FF">
        <w:rPr>
          <w:rFonts w:ascii="Arial" w:hAnsi="Arial" w:cs="Arial"/>
          <w:noProof/>
          <w:sz w:val="24"/>
          <w:szCs w:val="24"/>
        </w:rPr>
        <w:t>Proc Natl Acad Sci U S A 113:E1306–E1315</w:t>
      </w:r>
      <w:r w:rsidR="00FF4DA0" w:rsidRPr="002C11FF">
        <w:rPr>
          <w:rFonts w:ascii="Arial" w:hAnsi="Arial" w:cs="Arial"/>
          <w:noProof/>
          <w:sz w:val="24"/>
          <w:szCs w:val="24"/>
        </w:rPr>
        <w:t>.</w:t>
      </w:r>
    </w:p>
    <w:p w14:paraId="19CBCFD1" w14:textId="644F86C8" w:rsidR="00D77F5F" w:rsidRPr="00FF4DA0" w:rsidRDefault="00D77F5F" w:rsidP="00D77F5F">
      <w:pPr>
        <w:widowControl w:val="0"/>
        <w:autoSpaceDE w:val="0"/>
        <w:autoSpaceDN w:val="0"/>
        <w:adjustRightInd w:val="0"/>
        <w:spacing w:line="360" w:lineRule="auto"/>
        <w:ind w:left="640" w:hanging="640"/>
        <w:rPr>
          <w:rFonts w:ascii="Arial" w:hAnsi="Arial" w:cs="Arial"/>
          <w:noProof/>
          <w:sz w:val="24"/>
          <w:lang w:val="en-US"/>
        </w:rPr>
      </w:pPr>
      <w:r w:rsidRPr="002C11FF">
        <w:rPr>
          <w:rFonts w:ascii="Arial" w:hAnsi="Arial" w:cs="Arial"/>
          <w:noProof/>
          <w:sz w:val="24"/>
          <w:szCs w:val="24"/>
        </w:rPr>
        <w:t>28</w:t>
      </w:r>
      <w:r w:rsidR="00FF4DA0" w:rsidRPr="002C11FF">
        <w:rPr>
          <w:rFonts w:ascii="Arial" w:hAnsi="Arial" w:cs="Arial"/>
          <w:noProof/>
          <w:sz w:val="24"/>
          <w:szCs w:val="24"/>
        </w:rPr>
        <w:t>.</w:t>
      </w:r>
      <w:r w:rsidRPr="002C11FF">
        <w:rPr>
          <w:rFonts w:ascii="Arial" w:hAnsi="Arial" w:cs="Arial"/>
          <w:noProof/>
          <w:sz w:val="24"/>
          <w:szCs w:val="24"/>
        </w:rPr>
        <w:t xml:space="preserve"> </w:t>
      </w:r>
      <w:r w:rsidRPr="002C11FF">
        <w:rPr>
          <w:rFonts w:ascii="Arial" w:hAnsi="Arial" w:cs="Arial"/>
          <w:noProof/>
          <w:sz w:val="24"/>
          <w:szCs w:val="24"/>
        </w:rPr>
        <w:tab/>
        <w:t xml:space="preserve">Chen Y </w:t>
      </w:r>
      <w:r w:rsidRPr="002C11FF">
        <w:rPr>
          <w:rFonts w:ascii="Cambria Math" w:hAnsi="Cambria Math" w:cs="Cambria Math"/>
          <w:noProof/>
          <w:sz w:val="24"/>
          <w:szCs w:val="24"/>
        </w:rPr>
        <w:t>‐</w:t>
      </w:r>
      <w:r w:rsidRPr="002C11FF">
        <w:rPr>
          <w:rFonts w:ascii="Arial" w:hAnsi="Arial" w:cs="Arial"/>
          <w:noProof/>
          <w:sz w:val="24"/>
          <w:szCs w:val="24"/>
        </w:rPr>
        <w:t>R</w:t>
      </w:r>
      <w:r w:rsidR="00FF4DA0" w:rsidRPr="002C11FF">
        <w:rPr>
          <w:rFonts w:ascii="Arial" w:hAnsi="Arial" w:cs="Arial"/>
          <w:noProof/>
          <w:sz w:val="24"/>
          <w:szCs w:val="24"/>
        </w:rPr>
        <w:t>..</w:t>
      </w:r>
      <w:r w:rsidRPr="002C11FF">
        <w:rPr>
          <w:rFonts w:ascii="Arial" w:hAnsi="Arial" w:cs="Arial"/>
          <w:noProof/>
          <w:sz w:val="24"/>
          <w:szCs w:val="24"/>
        </w:rPr>
        <w:t xml:space="preserve"> </w:t>
      </w:r>
      <w:r w:rsidRPr="00FF4DA0">
        <w:rPr>
          <w:rFonts w:ascii="Arial" w:hAnsi="Arial" w:cs="Arial"/>
          <w:noProof/>
          <w:sz w:val="24"/>
          <w:szCs w:val="24"/>
        </w:rPr>
        <w:t xml:space="preserve">Zhou L </w:t>
      </w:r>
      <w:r w:rsidRPr="00FF4DA0">
        <w:rPr>
          <w:rFonts w:ascii="Cambria Math" w:hAnsi="Cambria Math" w:cs="Cambria Math"/>
          <w:noProof/>
          <w:sz w:val="24"/>
          <w:szCs w:val="24"/>
        </w:rPr>
        <w:t>‐</w:t>
      </w:r>
      <w:r w:rsidRPr="00FF4DA0">
        <w:rPr>
          <w:rFonts w:ascii="Arial" w:hAnsi="Arial" w:cs="Arial"/>
          <w:noProof/>
          <w:sz w:val="24"/>
          <w:szCs w:val="24"/>
        </w:rPr>
        <w:t>Z</w:t>
      </w:r>
      <w:r w:rsidR="00FF4DA0" w:rsidRPr="00FF4DA0">
        <w:rPr>
          <w:rFonts w:ascii="Arial" w:hAnsi="Arial" w:cs="Arial"/>
          <w:noProof/>
          <w:sz w:val="24"/>
          <w:szCs w:val="24"/>
        </w:rPr>
        <w:t>..</w:t>
      </w:r>
      <w:r w:rsidRPr="00FF4DA0">
        <w:rPr>
          <w:rFonts w:ascii="Arial" w:hAnsi="Arial" w:cs="Arial"/>
          <w:noProof/>
          <w:sz w:val="24"/>
          <w:szCs w:val="24"/>
        </w:rPr>
        <w:t xml:space="preserve"> </w:t>
      </w:r>
      <w:r w:rsidRPr="002C11FF">
        <w:rPr>
          <w:rFonts w:ascii="Arial" w:hAnsi="Arial" w:cs="Arial"/>
          <w:noProof/>
          <w:sz w:val="24"/>
          <w:szCs w:val="24"/>
          <w:lang w:val="en-US"/>
        </w:rPr>
        <w:t xml:space="preserve">Fang S </w:t>
      </w:r>
      <w:r w:rsidRPr="002C11FF">
        <w:rPr>
          <w:rFonts w:ascii="Cambria Math" w:hAnsi="Cambria Math" w:cs="Cambria Math"/>
          <w:noProof/>
          <w:sz w:val="24"/>
          <w:szCs w:val="24"/>
          <w:lang w:val="en-US"/>
        </w:rPr>
        <w:t>‐</w:t>
      </w:r>
      <w:r w:rsidRPr="002C11FF">
        <w:rPr>
          <w:rFonts w:ascii="Arial" w:hAnsi="Arial" w:cs="Arial"/>
          <w:noProof/>
          <w:sz w:val="24"/>
          <w:szCs w:val="24"/>
          <w:lang w:val="en-US"/>
        </w:rPr>
        <w:t>T</w:t>
      </w:r>
      <w:r w:rsidR="00FF4DA0" w:rsidRPr="002C11FF">
        <w:rPr>
          <w:rFonts w:ascii="Arial" w:hAnsi="Arial" w:cs="Arial"/>
          <w:noProof/>
          <w:sz w:val="24"/>
          <w:szCs w:val="24"/>
          <w:lang w:val="en-US"/>
        </w:rPr>
        <w:t>..</w:t>
      </w:r>
      <w:r w:rsidRPr="002C11FF">
        <w:rPr>
          <w:rFonts w:ascii="Arial" w:hAnsi="Arial" w:cs="Arial"/>
          <w:noProof/>
          <w:sz w:val="24"/>
          <w:szCs w:val="24"/>
          <w:lang w:val="en-US"/>
        </w:rPr>
        <w:t xml:space="preserve"> </w:t>
      </w:r>
      <w:r w:rsidRPr="00531C70">
        <w:rPr>
          <w:rFonts w:ascii="Arial" w:hAnsi="Arial" w:cs="Arial"/>
          <w:noProof/>
          <w:sz w:val="24"/>
          <w:szCs w:val="24"/>
          <w:lang w:val="en-US"/>
        </w:rPr>
        <w:t xml:space="preserve">Long H </w:t>
      </w:r>
      <w:r w:rsidRPr="00531C70">
        <w:rPr>
          <w:rFonts w:ascii="Cambria Math" w:hAnsi="Cambria Math" w:cs="Cambria Math"/>
          <w:noProof/>
          <w:sz w:val="24"/>
          <w:szCs w:val="24"/>
          <w:lang w:val="en-US"/>
        </w:rPr>
        <w:t>‐</w:t>
      </w:r>
      <w:r w:rsidRPr="00531C70">
        <w:rPr>
          <w:rFonts w:ascii="Arial" w:hAnsi="Arial" w:cs="Arial"/>
          <w:noProof/>
          <w:sz w:val="24"/>
          <w:szCs w:val="24"/>
          <w:lang w:val="en-US"/>
        </w:rPr>
        <w:t>Y</w:t>
      </w:r>
      <w:r w:rsidR="00FF4DA0">
        <w:rPr>
          <w:rFonts w:ascii="Arial" w:hAnsi="Arial" w:cs="Arial"/>
          <w:noProof/>
          <w:sz w:val="24"/>
          <w:szCs w:val="24"/>
          <w:lang w:val="en-US"/>
        </w:rPr>
        <w:t>..</w:t>
      </w:r>
      <w:r w:rsidRPr="00531C70">
        <w:rPr>
          <w:rFonts w:ascii="Arial" w:hAnsi="Arial" w:cs="Arial"/>
          <w:noProof/>
          <w:sz w:val="24"/>
          <w:szCs w:val="24"/>
          <w:lang w:val="en-US"/>
        </w:rPr>
        <w:t xml:space="preserve"> Chen J </w:t>
      </w:r>
      <w:r w:rsidRPr="00531C70">
        <w:rPr>
          <w:rFonts w:ascii="Cambria Math" w:hAnsi="Cambria Math" w:cs="Cambria Math"/>
          <w:noProof/>
          <w:sz w:val="24"/>
          <w:szCs w:val="24"/>
          <w:lang w:val="en-US"/>
        </w:rPr>
        <w:t>‐</w:t>
      </w:r>
      <w:r w:rsidRPr="00531C70">
        <w:rPr>
          <w:rFonts w:ascii="Arial" w:hAnsi="Arial" w:cs="Arial"/>
          <w:noProof/>
          <w:sz w:val="24"/>
          <w:szCs w:val="24"/>
          <w:lang w:val="en-US"/>
        </w:rPr>
        <w:t>Y</w:t>
      </w:r>
      <w:r w:rsidR="00FF4DA0">
        <w:rPr>
          <w:rFonts w:ascii="Arial" w:hAnsi="Arial" w:cs="Arial"/>
          <w:noProof/>
          <w:sz w:val="24"/>
          <w:szCs w:val="24"/>
          <w:lang w:val="en-US"/>
        </w:rPr>
        <w:t>..</w:t>
      </w:r>
      <w:r w:rsidRPr="00531C70">
        <w:rPr>
          <w:rFonts w:ascii="Arial" w:hAnsi="Arial" w:cs="Arial"/>
          <w:noProof/>
          <w:sz w:val="24"/>
          <w:szCs w:val="24"/>
          <w:lang w:val="en-US"/>
        </w:rPr>
        <w:t xml:space="preserve"> Zhang G </w:t>
      </w:r>
      <w:r w:rsidRPr="00531C70">
        <w:rPr>
          <w:rFonts w:ascii="Cambria Math" w:hAnsi="Cambria Math" w:cs="Cambria Math"/>
          <w:noProof/>
          <w:sz w:val="24"/>
          <w:szCs w:val="24"/>
          <w:lang w:val="en-US"/>
        </w:rPr>
        <w:t>‐</w:t>
      </w:r>
      <w:r w:rsidRPr="00531C70">
        <w:rPr>
          <w:rFonts w:ascii="Arial" w:hAnsi="Arial" w:cs="Arial"/>
          <w:noProof/>
          <w:sz w:val="24"/>
          <w:szCs w:val="24"/>
          <w:lang w:val="en-US"/>
        </w:rPr>
        <w:t>X</w:t>
      </w:r>
      <w:r w:rsidR="00FF4DA0">
        <w:rPr>
          <w:rFonts w:ascii="Arial" w:hAnsi="Arial" w:cs="Arial"/>
          <w:noProof/>
          <w:sz w:val="24"/>
          <w:szCs w:val="24"/>
          <w:lang w:val="en-US"/>
        </w:rPr>
        <w:t>.</w:t>
      </w:r>
      <w:r w:rsidRPr="00531C70">
        <w:rPr>
          <w:rFonts w:ascii="Arial" w:hAnsi="Arial" w:cs="Arial"/>
          <w:noProof/>
          <w:sz w:val="24"/>
          <w:szCs w:val="24"/>
          <w:lang w:val="en-US"/>
        </w:rPr>
        <w:t xml:space="preserve"> 2019</w:t>
      </w:r>
      <w:r w:rsidR="00FF4DA0">
        <w:rPr>
          <w:rFonts w:ascii="Arial" w:hAnsi="Arial" w:cs="Arial"/>
          <w:noProof/>
          <w:sz w:val="24"/>
          <w:szCs w:val="24"/>
          <w:lang w:val="en-US"/>
        </w:rPr>
        <w:t>.</w:t>
      </w:r>
      <w:r w:rsidRPr="00531C70">
        <w:rPr>
          <w:rFonts w:ascii="Arial" w:hAnsi="Arial" w:cs="Arial"/>
          <w:noProof/>
          <w:sz w:val="24"/>
          <w:szCs w:val="24"/>
          <w:lang w:val="en-US"/>
        </w:rPr>
        <w:t xml:space="preserve"> Isolation of </w:t>
      </w:r>
      <w:r w:rsidRPr="00531C70">
        <w:rPr>
          <w:rFonts w:ascii="Arial" w:hAnsi="Arial" w:cs="Arial"/>
          <w:i/>
          <w:iCs/>
          <w:noProof/>
          <w:sz w:val="24"/>
          <w:szCs w:val="24"/>
          <w:lang w:val="en-US"/>
        </w:rPr>
        <w:t>Desulfovibrio</w:t>
      </w:r>
      <w:r w:rsidRPr="00531C70">
        <w:rPr>
          <w:rFonts w:ascii="Arial" w:hAnsi="Arial" w:cs="Arial"/>
          <w:noProof/>
          <w:sz w:val="24"/>
          <w:szCs w:val="24"/>
          <w:lang w:val="en-US"/>
        </w:rPr>
        <w:t xml:space="preserve"> spp</w:t>
      </w:r>
      <w:r w:rsidR="00FF4DA0">
        <w:rPr>
          <w:rFonts w:ascii="Arial" w:hAnsi="Arial" w:cs="Arial"/>
          <w:noProof/>
          <w:sz w:val="24"/>
          <w:szCs w:val="24"/>
          <w:lang w:val="en-US"/>
        </w:rPr>
        <w:t>.</w:t>
      </w:r>
      <w:r w:rsidRPr="00531C70">
        <w:rPr>
          <w:rFonts w:ascii="Arial" w:hAnsi="Arial" w:cs="Arial"/>
          <w:noProof/>
          <w:sz w:val="24"/>
          <w:szCs w:val="24"/>
          <w:lang w:val="en-US"/>
        </w:rPr>
        <w:t xml:space="preserve"> from human gut microbiota using a next</w:t>
      </w:r>
      <w:r w:rsidRPr="00531C70">
        <w:rPr>
          <w:rFonts w:ascii="Cambria Math" w:hAnsi="Cambria Math" w:cs="Cambria Math"/>
          <w:noProof/>
          <w:sz w:val="24"/>
          <w:szCs w:val="24"/>
          <w:lang w:val="en-US"/>
        </w:rPr>
        <w:t>‐</w:t>
      </w:r>
      <w:r w:rsidRPr="00531C70">
        <w:rPr>
          <w:rFonts w:ascii="Arial" w:hAnsi="Arial" w:cs="Arial"/>
          <w:noProof/>
          <w:sz w:val="24"/>
          <w:szCs w:val="24"/>
          <w:lang w:val="en-US"/>
        </w:rPr>
        <w:t>generation sequencing directed culture method</w:t>
      </w:r>
      <w:r w:rsidR="00FF4DA0">
        <w:rPr>
          <w:rFonts w:ascii="Arial" w:hAnsi="Arial" w:cs="Arial"/>
          <w:noProof/>
          <w:sz w:val="24"/>
          <w:szCs w:val="24"/>
          <w:lang w:val="en-US"/>
        </w:rPr>
        <w:t>.</w:t>
      </w:r>
      <w:r w:rsidRPr="00531C70">
        <w:rPr>
          <w:rFonts w:ascii="Arial" w:hAnsi="Arial" w:cs="Arial"/>
          <w:noProof/>
          <w:sz w:val="24"/>
          <w:szCs w:val="24"/>
          <w:lang w:val="en-US"/>
        </w:rPr>
        <w:t xml:space="preserve"> </w:t>
      </w:r>
      <w:r w:rsidRPr="00FF4DA0">
        <w:rPr>
          <w:rFonts w:ascii="Arial" w:hAnsi="Arial" w:cs="Arial"/>
          <w:noProof/>
          <w:sz w:val="24"/>
          <w:szCs w:val="24"/>
          <w:lang w:val="en-US"/>
        </w:rPr>
        <w:t>Lett Appl Microbiol 68:553–561</w:t>
      </w:r>
      <w:r w:rsidR="00FF4DA0">
        <w:rPr>
          <w:rFonts w:ascii="Arial" w:hAnsi="Arial" w:cs="Arial"/>
          <w:noProof/>
          <w:sz w:val="24"/>
          <w:szCs w:val="24"/>
          <w:lang w:val="en-US"/>
        </w:rPr>
        <w:t>.</w:t>
      </w:r>
    </w:p>
    <w:p w14:paraId="50904AC2" w14:textId="7923A012" w:rsidR="00436D07" w:rsidRPr="00D3013E" w:rsidRDefault="00436D07" w:rsidP="00D3013E">
      <w:pPr>
        <w:spacing w:line="360" w:lineRule="auto"/>
        <w:jc w:val="both"/>
        <w:rPr>
          <w:rFonts w:ascii="Arial" w:hAnsi="Arial" w:cs="Arial"/>
          <w:b/>
          <w:bCs/>
          <w:sz w:val="24"/>
          <w:szCs w:val="24"/>
          <w:lang w:val="en-US"/>
        </w:rPr>
      </w:pPr>
      <w:r>
        <w:rPr>
          <w:rFonts w:ascii="Arial" w:hAnsi="Arial" w:cs="Arial"/>
          <w:b/>
          <w:bCs/>
          <w:sz w:val="24"/>
          <w:szCs w:val="24"/>
          <w:lang w:val="en-US"/>
        </w:rPr>
        <w:fldChar w:fldCharType="end"/>
      </w:r>
      <w:bookmarkEnd w:id="6"/>
    </w:p>
    <w:sectPr w:rsidR="00436D07" w:rsidRPr="00D3013E" w:rsidSect="00436D07">
      <w:pgSz w:w="11906" w:h="16838"/>
      <w:pgMar w:top="1134" w:right="1701"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4682D" w14:textId="77777777" w:rsidR="005A3615" w:rsidRDefault="005A3615" w:rsidP="00263BCC">
      <w:pPr>
        <w:spacing w:after="0" w:line="240" w:lineRule="auto"/>
      </w:pPr>
      <w:r>
        <w:separator/>
      </w:r>
    </w:p>
  </w:endnote>
  <w:endnote w:type="continuationSeparator" w:id="0">
    <w:p w14:paraId="41AF4BC6" w14:textId="77777777" w:rsidR="005A3615" w:rsidRDefault="005A3615" w:rsidP="0026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485766"/>
      <w:docPartObj>
        <w:docPartGallery w:val="Page Numbers (Bottom of Page)"/>
        <w:docPartUnique/>
      </w:docPartObj>
    </w:sdtPr>
    <w:sdtEndPr/>
    <w:sdtContent>
      <w:p w14:paraId="03385516" w14:textId="77777777" w:rsidR="004C7F73" w:rsidRDefault="004C7F73">
        <w:pPr>
          <w:pStyle w:val="Footer"/>
          <w:jc w:val="right"/>
        </w:pPr>
        <w:r>
          <w:fldChar w:fldCharType="begin"/>
        </w:r>
        <w:r>
          <w:instrText>PAGE   \* MERGEFORMAT</w:instrText>
        </w:r>
        <w:r>
          <w:fldChar w:fldCharType="separate"/>
        </w:r>
        <w:r>
          <w:rPr>
            <w:noProof/>
          </w:rPr>
          <w:t>1</w:t>
        </w:r>
        <w:r>
          <w:fldChar w:fldCharType="end"/>
        </w:r>
      </w:p>
    </w:sdtContent>
  </w:sdt>
  <w:p w14:paraId="2324DB3A" w14:textId="77777777" w:rsidR="004C7F73" w:rsidRDefault="004C7F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725991"/>
      <w:docPartObj>
        <w:docPartGallery w:val="Page Numbers (Bottom of Page)"/>
        <w:docPartUnique/>
      </w:docPartObj>
    </w:sdtPr>
    <w:sdtEndPr/>
    <w:sdtContent>
      <w:p w14:paraId="61136F5F" w14:textId="77777777" w:rsidR="004C7F73" w:rsidRDefault="004C7F73">
        <w:pPr>
          <w:pStyle w:val="Footer"/>
          <w:jc w:val="right"/>
        </w:pPr>
        <w:r>
          <w:fldChar w:fldCharType="begin"/>
        </w:r>
        <w:r>
          <w:instrText>PAGE   \* MERGEFORMAT</w:instrText>
        </w:r>
        <w:r>
          <w:fldChar w:fldCharType="separate"/>
        </w:r>
        <w:r>
          <w:rPr>
            <w:noProof/>
          </w:rPr>
          <w:t>4</w:t>
        </w:r>
        <w:r>
          <w:fldChar w:fldCharType="end"/>
        </w:r>
      </w:p>
    </w:sdtContent>
  </w:sdt>
  <w:p w14:paraId="41A47963" w14:textId="77777777" w:rsidR="004C7F73" w:rsidRDefault="004C7F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497730"/>
      <w:docPartObj>
        <w:docPartGallery w:val="Page Numbers (Bottom of Page)"/>
        <w:docPartUnique/>
      </w:docPartObj>
    </w:sdtPr>
    <w:sdtEndPr/>
    <w:sdtContent>
      <w:p w14:paraId="3D266319" w14:textId="77777777" w:rsidR="004C7F73" w:rsidRDefault="004C7F73">
        <w:pPr>
          <w:pStyle w:val="Footer"/>
          <w:jc w:val="right"/>
        </w:pPr>
        <w:r>
          <w:fldChar w:fldCharType="begin"/>
        </w:r>
        <w:r>
          <w:instrText>PAGE   \* MERGEFORMAT</w:instrText>
        </w:r>
        <w:r>
          <w:fldChar w:fldCharType="separate"/>
        </w:r>
        <w:r>
          <w:rPr>
            <w:noProof/>
          </w:rPr>
          <w:t>9</w:t>
        </w:r>
        <w:r>
          <w:fldChar w:fldCharType="end"/>
        </w:r>
      </w:p>
    </w:sdtContent>
  </w:sdt>
  <w:p w14:paraId="04B48955" w14:textId="77777777" w:rsidR="004C7F73" w:rsidRDefault="004C7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E3E11" w14:textId="77777777" w:rsidR="005A3615" w:rsidRDefault="005A3615" w:rsidP="00263BCC">
      <w:pPr>
        <w:spacing w:after="0" w:line="240" w:lineRule="auto"/>
      </w:pPr>
      <w:r>
        <w:separator/>
      </w:r>
    </w:p>
  </w:footnote>
  <w:footnote w:type="continuationSeparator" w:id="0">
    <w:p w14:paraId="63444409" w14:textId="77777777" w:rsidR="005A3615" w:rsidRDefault="005A3615" w:rsidP="00263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FB3DEA"/>
    <w:multiLevelType w:val="hybridMultilevel"/>
    <w:tmpl w:val="BCE091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activeWritingStyle w:appName="MSWord" w:lang="pt-BR" w:vendorID="64" w:dllVersion="6" w:nlCheck="1" w:checkStyle="0"/>
  <w:activeWritingStyle w:appName="MSWord" w:lang="en-US" w:vendorID="64" w:dllVersion="6" w:nlCheck="1" w:checkStyle="1"/>
  <w:activeWritingStyle w:appName="MSWord" w:lang="en-US" w:vendorID="64" w:dllVersion="4096" w:nlCheck="1" w:checkStyle="0"/>
  <w:activeWritingStyle w:appName="MSWord" w:lang="pt-BR" w:vendorID="64" w:dllVersion="4096"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ysDSxMLOwtDC1MDdR0lEKTi0uzszPAykwMagFAKPeLJItAAAA"/>
  </w:docVars>
  <w:rsids>
    <w:rsidRoot w:val="00814669"/>
    <w:rsid w:val="00002937"/>
    <w:rsid w:val="00004914"/>
    <w:rsid w:val="00005F81"/>
    <w:rsid w:val="000076E9"/>
    <w:rsid w:val="000105E2"/>
    <w:rsid w:val="0001088A"/>
    <w:rsid w:val="00011720"/>
    <w:rsid w:val="00012B8A"/>
    <w:rsid w:val="00012EFA"/>
    <w:rsid w:val="00014A6F"/>
    <w:rsid w:val="00014FC3"/>
    <w:rsid w:val="000159B5"/>
    <w:rsid w:val="00015E46"/>
    <w:rsid w:val="000163B9"/>
    <w:rsid w:val="00016A3B"/>
    <w:rsid w:val="00017D82"/>
    <w:rsid w:val="000253DB"/>
    <w:rsid w:val="00026F8E"/>
    <w:rsid w:val="0002763C"/>
    <w:rsid w:val="00030307"/>
    <w:rsid w:val="00033347"/>
    <w:rsid w:val="0003561C"/>
    <w:rsid w:val="00035D9C"/>
    <w:rsid w:val="000377E0"/>
    <w:rsid w:val="00037DC7"/>
    <w:rsid w:val="000424EF"/>
    <w:rsid w:val="000443A2"/>
    <w:rsid w:val="0004628E"/>
    <w:rsid w:val="00047B0C"/>
    <w:rsid w:val="00047B90"/>
    <w:rsid w:val="000506F2"/>
    <w:rsid w:val="00051412"/>
    <w:rsid w:val="00052F18"/>
    <w:rsid w:val="00055A88"/>
    <w:rsid w:val="00055C6E"/>
    <w:rsid w:val="0006374F"/>
    <w:rsid w:val="00067EBC"/>
    <w:rsid w:val="00070B39"/>
    <w:rsid w:val="00072552"/>
    <w:rsid w:val="000742DF"/>
    <w:rsid w:val="0007658B"/>
    <w:rsid w:val="00077E97"/>
    <w:rsid w:val="0008006E"/>
    <w:rsid w:val="00082A60"/>
    <w:rsid w:val="00085C4A"/>
    <w:rsid w:val="00085D18"/>
    <w:rsid w:val="0008655C"/>
    <w:rsid w:val="00087210"/>
    <w:rsid w:val="000900C2"/>
    <w:rsid w:val="00092951"/>
    <w:rsid w:val="00092DB1"/>
    <w:rsid w:val="00092DF5"/>
    <w:rsid w:val="000957CD"/>
    <w:rsid w:val="0009594A"/>
    <w:rsid w:val="00097D25"/>
    <w:rsid w:val="000A03CA"/>
    <w:rsid w:val="000A2693"/>
    <w:rsid w:val="000A3460"/>
    <w:rsid w:val="000A547B"/>
    <w:rsid w:val="000B14F8"/>
    <w:rsid w:val="000B1F21"/>
    <w:rsid w:val="000B2D8F"/>
    <w:rsid w:val="000B50C6"/>
    <w:rsid w:val="000B5543"/>
    <w:rsid w:val="000C31E4"/>
    <w:rsid w:val="000C4FE2"/>
    <w:rsid w:val="000C7A71"/>
    <w:rsid w:val="000D00FD"/>
    <w:rsid w:val="000D35FF"/>
    <w:rsid w:val="000D36DD"/>
    <w:rsid w:val="000D4F21"/>
    <w:rsid w:val="000D50F2"/>
    <w:rsid w:val="000D6E26"/>
    <w:rsid w:val="000D79C9"/>
    <w:rsid w:val="000E0B8F"/>
    <w:rsid w:val="000E282F"/>
    <w:rsid w:val="000E2A42"/>
    <w:rsid w:val="000E3910"/>
    <w:rsid w:val="000F0C0E"/>
    <w:rsid w:val="000F1759"/>
    <w:rsid w:val="000F175D"/>
    <w:rsid w:val="000F195F"/>
    <w:rsid w:val="000F22E1"/>
    <w:rsid w:val="000F47D3"/>
    <w:rsid w:val="000F5E70"/>
    <w:rsid w:val="000F6B4D"/>
    <w:rsid w:val="000F7334"/>
    <w:rsid w:val="000F7587"/>
    <w:rsid w:val="00102C3F"/>
    <w:rsid w:val="00105B9E"/>
    <w:rsid w:val="00106E51"/>
    <w:rsid w:val="001078B8"/>
    <w:rsid w:val="001132D7"/>
    <w:rsid w:val="001141BA"/>
    <w:rsid w:val="00114E29"/>
    <w:rsid w:val="001155E2"/>
    <w:rsid w:val="00122E62"/>
    <w:rsid w:val="0012322D"/>
    <w:rsid w:val="001241D5"/>
    <w:rsid w:val="001246D2"/>
    <w:rsid w:val="0013003A"/>
    <w:rsid w:val="00132221"/>
    <w:rsid w:val="00133819"/>
    <w:rsid w:val="00141047"/>
    <w:rsid w:val="001462EA"/>
    <w:rsid w:val="0014651C"/>
    <w:rsid w:val="001466C2"/>
    <w:rsid w:val="00150716"/>
    <w:rsid w:val="001513D8"/>
    <w:rsid w:val="0015453B"/>
    <w:rsid w:val="001551EA"/>
    <w:rsid w:val="00157545"/>
    <w:rsid w:val="001579DB"/>
    <w:rsid w:val="001719FB"/>
    <w:rsid w:val="00171B76"/>
    <w:rsid w:val="00171E00"/>
    <w:rsid w:val="001722AF"/>
    <w:rsid w:val="00176D97"/>
    <w:rsid w:val="0018348D"/>
    <w:rsid w:val="00184C8F"/>
    <w:rsid w:val="00186397"/>
    <w:rsid w:val="001902C3"/>
    <w:rsid w:val="001955FC"/>
    <w:rsid w:val="0019564B"/>
    <w:rsid w:val="001A2253"/>
    <w:rsid w:val="001A320D"/>
    <w:rsid w:val="001A54BF"/>
    <w:rsid w:val="001A6040"/>
    <w:rsid w:val="001A76A5"/>
    <w:rsid w:val="001B0B98"/>
    <w:rsid w:val="001B2B38"/>
    <w:rsid w:val="001B4B68"/>
    <w:rsid w:val="001B4B83"/>
    <w:rsid w:val="001B546A"/>
    <w:rsid w:val="001B6345"/>
    <w:rsid w:val="001B64DA"/>
    <w:rsid w:val="001C00AB"/>
    <w:rsid w:val="001C00FF"/>
    <w:rsid w:val="001C097F"/>
    <w:rsid w:val="001C1BC6"/>
    <w:rsid w:val="001C2F68"/>
    <w:rsid w:val="001C3462"/>
    <w:rsid w:val="001C4453"/>
    <w:rsid w:val="001C4A0B"/>
    <w:rsid w:val="001C727B"/>
    <w:rsid w:val="001C727E"/>
    <w:rsid w:val="001D0271"/>
    <w:rsid w:val="001D0A17"/>
    <w:rsid w:val="001D2EFD"/>
    <w:rsid w:val="001D3236"/>
    <w:rsid w:val="001D6604"/>
    <w:rsid w:val="001D6C24"/>
    <w:rsid w:val="001E1553"/>
    <w:rsid w:val="001E1710"/>
    <w:rsid w:val="001E2204"/>
    <w:rsid w:val="001E2F8A"/>
    <w:rsid w:val="001E3DBD"/>
    <w:rsid w:val="001E7FFB"/>
    <w:rsid w:val="001F2740"/>
    <w:rsid w:val="001F4B0A"/>
    <w:rsid w:val="00200A5D"/>
    <w:rsid w:val="00205C4B"/>
    <w:rsid w:val="00206538"/>
    <w:rsid w:val="0020713F"/>
    <w:rsid w:val="00210030"/>
    <w:rsid w:val="002107EB"/>
    <w:rsid w:val="00211126"/>
    <w:rsid w:val="002128D1"/>
    <w:rsid w:val="002131C6"/>
    <w:rsid w:val="00214AD2"/>
    <w:rsid w:val="00214DFD"/>
    <w:rsid w:val="002152FE"/>
    <w:rsid w:val="00215A95"/>
    <w:rsid w:val="002224E9"/>
    <w:rsid w:val="002248EC"/>
    <w:rsid w:val="00227E12"/>
    <w:rsid w:val="00227F3D"/>
    <w:rsid w:val="0023033F"/>
    <w:rsid w:val="00232D43"/>
    <w:rsid w:val="00233700"/>
    <w:rsid w:val="00234D84"/>
    <w:rsid w:val="002372EB"/>
    <w:rsid w:val="002377B4"/>
    <w:rsid w:val="0024030C"/>
    <w:rsid w:val="002406AB"/>
    <w:rsid w:val="00243874"/>
    <w:rsid w:val="00253619"/>
    <w:rsid w:val="0025533A"/>
    <w:rsid w:val="00256232"/>
    <w:rsid w:val="002571A1"/>
    <w:rsid w:val="00257ADA"/>
    <w:rsid w:val="00261C7B"/>
    <w:rsid w:val="0026254B"/>
    <w:rsid w:val="0026310B"/>
    <w:rsid w:val="00263415"/>
    <w:rsid w:val="002639C5"/>
    <w:rsid w:val="00263BCC"/>
    <w:rsid w:val="00265068"/>
    <w:rsid w:val="002663B4"/>
    <w:rsid w:val="00273972"/>
    <w:rsid w:val="002759CA"/>
    <w:rsid w:val="00276ACD"/>
    <w:rsid w:val="00280C97"/>
    <w:rsid w:val="00282548"/>
    <w:rsid w:val="00282E8F"/>
    <w:rsid w:val="00285119"/>
    <w:rsid w:val="002862AA"/>
    <w:rsid w:val="00292588"/>
    <w:rsid w:val="002A1DFC"/>
    <w:rsid w:val="002A3113"/>
    <w:rsid w:val="002A5015"/>
    <w:rsid w:val="002B0250"/>
    <w:rsid w:val="002B2597"/>
    <w:rsid w:val="002B27AF"/>
    <w:rsid w:val="002B2E5A"/>
    <w:rsid w:val="002B3B4E"/>
    <w:rsid w:val="002B4C5A"/>
    <w:rsid w:val="002B6058"/>
    <w:rsid w:val="002B70B4"/>
    <w:rsid w:val="002C11FF"/>
    <w:rsid w:val="002C3A46"/>
    <w:rsid w:val="002C4CD2"/>
    <w:rsid w:val="002D2522"/>
    <w:rsid w:val="002D391C"/>
    <w:rsid w:val="002D4BB5"/>
    <w:rsid w:val="002D4BC3"/>
    <w:rsid w:val="002D6F82"/>
    <w:rsid w:val="002E53BE"/>
    <w:rsid w:val="002E5B47"/>
    <w:rsid w:val="002F0EBD"/>
    <w:rsid w:val="002F11D2"/>
    <w:rsid w:val="002F2F6F"/>
    <w:rsid w:val="002F3689"/>
    <w:rsid w:val="002F45A4"/>
    <w:rsid w:val="00300A26"/>
    <w:rsid w:val="003051C2"/>
    <w:rsid w:val="003070BE"/>
    <w:rsid w:val="003103E1"/>
    <w:rsid w:val="00310E8D"/>
    <w:rsid w:val="00313027"/>
    <w:rsid w:val="00315D16"/>
    <w:rsid w:val="00316BEE"/>
    <w:rsid w:val="00320673"/>
    <w:rsid w:val="00320BE6"/>
    <w:rsid w:val="00321C1C"/>
    <w:rsid w:val="0032259D"/>
    <w:rsid w:val="00322EEC"/>
    <w:rsid w:val="00326ED8"/>
    <w:rsid w:val="00334C8D"/>
    <w:rsid w:val="0033512D"/>
    <w:rsid w:val="0033553F"/>
    <w:rsid w:val="00337A1D"/>
    <w:rsid w:val="00341299"/>
    <w:rsid w:val="00341ED0"/>
    <w:rsid w:val="00345A95"/>
    <w:rsid w:val="003462EF"/>
    <w:rsid w:val="00346AAC"/>
    <w:rsid w:val="00347DC0"/>
    <w:rsid w:val="00352C64"/>
    <w:rsid w:val="003530BA"/>
    <w:rsid w:val="003543E2"/>
    <w:rsid w:val="003550F7"/>
    <w:rsid w:val="00356490"/>
    <w:rsid w:val="00356EFC"/>
    <w:rsid w:val="00357476"/>
    <w:rsid w:val="00360162"/>
    <w:rsid w:val="003607FA"/>
    <w:rsid w:val="003635C7"/>
    <w:rsid w:val="003659A0"/>
    <w:rsid w:val="003730FC"/>
    <w:rsid w:val="00374D7D"/>
    <w:rsid w:val="00380576"/>
    <w:rsid w:val="00382BD5"/>
    <w:rsid w:val="003841B5"/>
    <w:rsid w:val="00384AAE"/>
    <w:rsid w:val="00385897"/>
    <w:rsid w:val="00386CF0"/>
    <w:rsid w:val="00387172"/>
    <w:rsid w:val="00387A7A"/>
    <w:rsid w:val="00387A9F"/>
    <w:rsid w:val="00391AA9"/>
    <w:rsid w:val="00394C68"/>
    <w:rsid w:val="00396CE6"/>
    <w:rsid w:val="00397C59"/>
    <w:rsid w:val="003A0B0A"/>
    <w:rsid w:val="003A257B"/>
    <w:rsid w:val="003A2A78"/>
    <w:rsid w:val="003A503B"/>
    <w:rsid w:val="003B04C3"/>
    <w:rsid w:val="003B05E4"/>
    <w:rsid w:val="003B40AD"/>
    <w:rsid w:val="003B78C1"/>
    <w:rsid w:val="003B7938"/>
    <w:rsid w:val="003C0308"/>
    <w:rsid w:val="003C12B1"/>
    <w:rsid w:val="003C56AD"/>
    <w:rsid w:val="003C64E7"/>
    <w:rsid w:val="003D0743"/>
    <w:rsid w:val="003D3789"/>
    <w:rsid w:val="003D3917"/>
    <w:rsid w:val="003D3FBF"/>
    <w:rsid w:val="003D4813"/>
    <w:rsid w:val="003D5CC2"/>
    <w:rsid w:val="003D707B"/>
    <w:rsid w:val="003E0BF3"/>
    <w:rsid w:val="003E1C5D"/>
    <w:rsid w:val="003E261F"/>
    <w:rsid w:val="003E6DB8"/>
    <w:rsid w:val="003E7354"/>
    <w:rsid w:val="003E74E7"/>
    <w:rsid w:val="003F3F5B"/>
    <w:rsid w:val="003F400C"/>
    <w:rsid w:val="003F418B"/>
    <w:rsid w:val="003F4581"/>
    <w:rsid w:val="003F49F8"/>
    <w:rsid w:val="003F6D47"/>
    <w:rsid w:val="003F73B6"/>
    <w:rsid w:val="0040004F"/>
    <w:rsid w:val="00400981"/>
    <w:rsid w:val="00401DE0"/>
    <w:rsid w:val="00402CBA"/>
    <w:rsid w:val="00403093"/>
    <w:rsid w:val="0040310D"/>
    <w:rsid w:val="0040368D"/>
    <w:rsid w:val="00403D63"/>
    <w:rsid w:val="00403DFB"/>
    <w:rsid w:val="00406F27"/>
    <w:rsid w:val="00410DC9"/>
    <w:rsid w:val="00411531"/>
    <w:rsid w:val="00411B8C"/>
    <w:rsid w:val="00417185"/>
    <w:rsid w:val="00422173"/>
    <w:rsid w:val="00425A73"/>
    <w:rsid w:val="00426251"/>
    <w:rsid w:val="0042686E"/>
    <w:rsid w:val="00430E17"/>
    <w:rsid w:val="00431DD7"/>
    <w:rsid w:val="00432447"/>
    <w:rsid w:val="00436B51"/>
    <w:rsid w:val="00436D07"/>
    <w:rsid w:val="00437B15"/>
    <w:rsid w:val="00440D3A"/>
    <w:rsid w:val="004422C3"/>
    <w:rsid w:val="0044392A"/>
    <w:rsid w:val="0044453B"/>
    <w:rsid w:val="00452182"/>
    <w:rsid w:val="0045252D"/>
    <w:rsid w:val="0045693E"/>
    <w:rsid w:val="00457204"/>
    <w:rsid w:val="00457CDA"/>
    <w:rsid w:val="00462AD5"/>
    <w:rsid w:val="0046394C"/>
    <w:rsid w:val="00465F8E"/>
    <w:rsid w:val="0046697C"/>
    <w:rsid w:val="00466A83"/>
    <w:rsid w:val="00467463"/>
    <w:rsid w:val="00470892"/>
    <w:rsid w:val="00470CBC"/>
    <w:rsid w:val="004732BE"/>
    <w:rsid w:val="00474602"/>
    <w:rsid w:val="00477577"/>
    <w:rsid w:val="00481A77"/>
    <w:rsid w:val="00483F19"/>
    <w:rsid w:val="00491E65"/>
    <w:rsid w:val="004929DE"/>
    <w:rsid w:val="004951E6"/>
    <w:rsid w:val="004A1187"/>
    <w:rsid w:val="004A50B1"/>
    <w:rsid w:val="004A564A"/>
    <w:rsid w:val="004A5C37"/>
    <w:rsid w:val="004A7FBE"/>
    <w:rsid w:val="004B009D"/>
    <w:rsid w:val="004B09BB"/>
    <w:rsid w:val="004B18A5"/>
    <w:rsid w:val="004B38DE"/>
    <w:rsid w:val="004C072D"/>
    <w:rsid w:val="004C6A78"/>
    <w:rsid w:val="004C752B"/>
    <w:rsid w:val="004C7F73"/>
    <w:rsid w:val="004D0E8A"/>
    <w:rsid w:val="004D1F11"/>
    <w:rsid w:val="004D2006"/>
    <w:rsid w:val="004D5751"/>
    <w:rsid w:val="004D727E"/>
    <w:rsid w:val="004D7A69"/>
    <w:rsid w:val="004E04D9"/>
    <w:rsid w:val="004E1737"/>
    <w:rsid w:val="004E17F2"/>
    <w:rsid w:val="004E3AE1"/>
    <w:rsid w:val="004E3AF9"/>
    <w:rsid w:val="004E3F78"/>
    <w:rsid w:val="004E7835"/>
    <w:rsid w:val="004F15A2"/>
    <w:rsid w:val="004F39A6"/>
    <w:rsid w:val="00510790"/>
    <w:rsid w:val="00512BEC"/>
    <w:rsid w:val="0051674F"/>
    <w:rsid w:val="00517FD7"/>
    <w:rsid w:val="0052064D"/>
    <w:rsid w:val="0052065B"/>
    <w:rsid w:val="00523E72"/>
    <w:rsid w:val="00524933"/>
    <w:rsid w:val="00526476"/>
    <w:rsid w:val="0052687A"/>
    <w:rsid w:val="00531C70"/>
    <w:rsid w:val="00531E69"/>
    <w:rsid w:val="00533C2B"/>
    <w:rsid w:val="00535590"/>
    <w:rsid w:val="005363B0"/>
    <w:rsid w:val="0053653F"/>
    <w:rsid w:val="00542533"/>
    <w:rsid w:val="00543A13"/>
    <w:rsid w:val="005444E1"/>
    <w:rsid w:val="00544985"/>
    <w:rsid w:val="00551167"/>
    <w:rsid w:val="00553FDF"/>
    <w:rsid w:val="00555263"/>
    <w:rsid w:val="005562D5"/>
    <w:rsid w:val="0055720A"/>
    <w:rsid w:val="0056158F"/>
    <w:rsid w:val="005623E8"/>
    <w:rsid w:val="005660ED"/>
    <w:rsid w:val="00567534"/>
    <w:rsid w:val="005676AA"/>
    <w:rsid w:val="005731EB"/>
    <w:rsid w:val="005745AF"/>
    <w:rsid w:val="00580A13"/>
    <w:rsid w:val="00580FAA"/>
    <w:rsid w:val="0058151D"/>
    <w:rsid w:val="00583D6D"/>
    <w:rsid w:val="00584A75"/>
    <w:rsid w:val="00586C23"/>
    <w:rsid w:val="005907AC"/>
    <w:rsid w:val="005939EE"/>
    <w:rsid w:val="00596E71"/>
    <w:rsid w:val="0059774E"/>
    <w:rsid w:val="005A0EFA"/>
    <w:rsid w:val="005A3615"/>
    <w:rsid w:val="005A4A4A"/>
    <w:rsid w:val="005A6EAB"/>
    <w:rsid w:val="005A7F61"/>
    <w:rsid w:val="005B0447"/>
    <w:rsid w:val="005B083C"/>
    <w:rsid w:val="005B2474"/>
    <w:rsid w:val="005B3256"/>
    <w:rsid w:val="005B5424"/>
    <w:rsid w:val="005B637C"/>
    <w:rsid w:val="005B7799"/>
    <w:rsid w:val="005C216B"/>
    <w:rsid w:val="005C255C"/>
    <w:rsid w:val="005C387C"/>
    <w:rsid w:val="005C5528"/>
    <w:rsid w:val="005D126C"/>
    <w:rsid w:val="005D4A4C"/>
    <w:rsid w:val="005D5778"/>
    <w:rsid w:val="005D66BA"/>
    <w:rsid w:val="005E2EF1"/>
    <w:rsid w:val="005E3E2F"/>
    <w:rsid w:val="005E3F14"/>
    <w:rsid w:val="005E5849"/>
    <w:rsid w:val="005E603F"/>
    <w:rsid w:val="005E606A"/>
    <w:rsid w:val="005E6481"/>
    <w:rsid w:val="005F104F"/>
    <w:rsid w:val="005F1FEE"/>
    <w:rsid w:val="005F220C"/>
    <w:rsid w:val="006010C6"/>
    <w:rsid w:val="006024D8"/>
    <w:rsid w:val="006029DD"/>
    <w:rsid w:val="00603E13"/>
    <w:rsid w:val="00605DF6"/>
    <w:rsid w:val="0060706D"/>
    <w:rsid w:val="006140C2"/>
    <w:rsid w:val="0061493C"/>
    <w:rsid w:val="00616A70"/>
    <w:rsid w:val="0062181D"/>
    <w:rsid w:val="0062345A"/>
    <w:rsid w:val="006257AC"/>
    <w:rsid w:val="00626C8D"/>
    <w:rsid w:val="006271CB"/>
    <w:rsid w:val="0062752F"/>
    <w:rsid w:val="00630F1A"/>
    <w:rsid w:val="00633200"/>
    <w:rsid w:val="00634AB4"/>
    <w:rsid w:val="0063558A"/>
    <w:rsid w:val="00641050"/>
    <w:rsid w:val="00641444"/>
    <w:rsid w:val="0064594D"/>
    <w:rsid w:val="0065054B"/>
    <w:rsid w:val="00650F8E"/>
    <w:rsid w:val="0065224F"/>
    <w:rsid w:val="00653EBB"/>
    <w:rsid w:val="00654BF6"/>
    <w:rsid w:val="00655638"/>
    <w:rsid w:val="00655C62"/>
    <w:rsid w:val="0066047E"/>
    <w:rsid w:val="006605B4"/>
    <w:rsid w:val="00663ECA"/>
    <w:rsid w:val="00664F2C"/>
    <w:rsid w:val="0067001D"/>
    <w:rsid w:val="0067560B"/>
    <w:rsid w:val="006822AD"/>
    <w:rsid w:val="00682D82"/>
    <w:rsid w:val="006837EE"/>
    <w:rsid w:val="00684515"/>
    <w:rsid w:val="0068562F"/>
    <w:rsid w:val="00686AED"/>
    <w:rsid w:val="00686D9D"/>
    <w:rsid w:val="00690F8C"/>
    <w:rsid w:val="00691C4E"/>
    <w:rsid w:val="006925FE"/>
    <w:rsid w:val="00692927"/>
    <w:rsid w:val="00693775"/>
    <w:rsid w:val="00694AB0"/>
    <w:rsid w:val="00694FCE"/>
    <w:rsid w:val="00696BDD"/>
    <w:rsid w:val="006973A1"/>
    <w:rsid w:val="006A20D0"/>
    <w:rsid w:val="006A44E5"/>
    <w:rsid w:val="006A594A"/>
    <w:rsid w:val="006A5C30"/>
    <w:rsid w:val="006B22DF"/>
    <w:rsid w:val="006B3956"/>
    <w:rsid w:val="006B6084"/>
    <w:rsid w:val="006B6707"/>
    <w:rsid w:val="006B67C8"/>
    <w:rsid w:val="006B6DC7"/>
    <w:rsid w:val="006C1A98"/>
    <w:rsid w:val="006C33E6"/>
    <w:rsid w:val="006C6FA5"/>
    <w:rsid w:val="006C73D6"/>
    <w:rsid w:val="006C7A5B"/>
    <w:rsid w:val="006D09EB"/>
    <w:rsid w:val="006D3ADD"/>
    <w:rsid w:val="006D3B61"/>
    <w:rsid w:val="006D4436"/>
    <w:rsid w:val="006D46DF"/>
    <w:rsid w:val="006D654C"/>
    <w:rsid w:val="006E0DF7"/>
    <w:rsid w:val="006E2FBE"/>
    <w:rsid w:val="006E65D7"/>
    <w:rsid w:val="006F268B"/>
    <w:rsid w:val="006F3038"/>
    <w:rsid w:val="00701E47"/>
    <w:rsid w:val="00702CDC"/>
    <w:rsid w:val="00712FFA"/>
    <w:rsid w:val="007134A6"/>
    <w:rsid w:val="00716499"/>
    <w:rsid w:val="0071712D"/>
    <w:rsid w:val="00720A2C"/>
    <w:rsid w:val="007243BE"/>
    <w:rsid w:val="00725A23"/>
    <w:rsid w:val="00725E84"/>
    <w:rsid w:val="0072713D"/>
    <w:rsid w:val="00733728"/>
    <w:rsid w:val="00734C83"/>
    <w:rsid w:val="00735844"/>
    <w:rsid w:val="00736317"/>
    <w:rsid w:val="00736329"/>
    <w:rsid w:val="00742AFF"/>
    <w:rsid w:val="00745D2B"/>
    <w:rsid w:val="007505AF"/>
    <w:rsid w:val="007507BE"/>
    <w:rsid w:val="0075314D"/>
    <w:rsid w:val="00753C0C"/>
    <w:rsid w:val="007564A5"/>
    <w:rsid w:val="007579E5"/>
    <w:rsid w:val="00760338"/>
    <w:rsid w:val="00760577"/>
    <w:rsid w:val="0076159B"/>
    <w:rsid w:val="00761E08"/>
    <w:rsid w:val="007649BD"/>
    <w:rsid w:val="00766BA4"/>
    <w:rsid w:val="007712AC"/>
    <w:rsid w:val="0077327C"/>
    <w:rsid w:val="00776F53"/>
    <w:rsid w:val="00781B41"/>
    <w:rsid w:val="00784D3A"/>
    <w:rsid w:val="00785349"/>
    <w:rsid w:val="00786053"/>
    <w:rsid w:val="007900B6"/>
    <w:rsid w:val="0079041F"/>
    <w:rsid w:val="00790722"/>
    <w:rsid w:val="007913B9"/>
    <w:rsid w:val="00795251"/>
    <w:rsid w:val="007A0C3E"/>
    <w:rsid w:val="007A215D"/>
    <w:rsid w:val="007A54B7"/>
    <w:rsid w:val="007A7432"/>
    <w:rsid w:val="007A7D02"/>
    <w:rsid w:val="007B011A"/>
    <w:rsid w:val="007B0D8B"/>
    <w:rsid w:val="007B11DA"/>
    <w:rsid w:val="007B4315"/>
    <w:rsid w:val="007B5800"/>
    <w:rsid w:val="007B6028"/>
    <w:rsid w:val="007B7966"/>
    <w:rsid w:val="007C2818"/>
    <w:rsid w:val="007C374E"/>
    <w:rsid w:val="007C3CA0"/>
    <w:rsid w:val="007C3FD8"/>
    <w:rsid w:val="007C50EE"/>
    <w:rsid w:val="007C695A"/>
    <w:rsid w:val="007D0DB0"/>
    <w:rsid w:val="007D1FC9"/>
    <w:rsid w:val="007D4051"/>
    <w:rsid w:val="007E076A"/>
    <w:rsid w:val="007E1054"/>
    <w:rsid w:val="007E1816"/>
    <w:rsid w:val="007E4DED"/>
    <w:rsid w:val="007E7575"/>
    <w:rsid w:val="007F2350"/>
    <w:rsid w:val="007F3DE1"/>
    <w:rsid w:val="007F5E31"/>
    <w:rsid w:val="007F6036"/>
    <w:rsid w:val="007F61DC"/>
    <w:rsid w:val="007F6544"/>
    <w:rsid w:val="007F7EE2"/>
    <w:rsid w:val="00801DC6"/>
    <w:rsid w:val="00802103"/>
    <w:rsid w:val="0080783A"/>
    <w:rsid w:val="00807BC3"/>
    <w:rsid w:val="008100E6"/>
    <w:rsid w:val="0081465F"/>
    <w:rsid w:val="00814669"/>
    <w:rsid w:val="0081653D"/>
    <w:rsid w:val="00816F74"/>
    <w:rsid w:val="0081775F"/>
    <w:rsid w:val="00821E0B"/>
    <w:rsid w:val="00823D66"/>
    <w:rsid w:val="00826F4B"/>
    <w:rsid w:val="00827570"/>
    <w:rsid w:val="008278A9"/>
    <w:rsid w:val="008328B9"/>
    <w:rsid w:val="00833E46"/>
    <w:rsid w:val="00835C00"/>
    <w:rsid w:val="00840ABB"/>
    <w:rsid w:val="00846BB1"/>
    <w:rsid w:val="00846C46"/>
    <w:rsid w:val="00851633"/>
    <w:rsid w:val="00853251"/>
    <w:rsid w:val="00853D1E"/>
    <w:rsid w:val="00855CA9"/>
    <w:rsid w:val="0086191A"/>
    <w:rsid w:val="00861EBD"/>
    <w:rsid w:val="00864D8F"/>
    <w:rsid w:val="00864FFC"/>
    <w:rsid w:val="00867443"/>
    <w:rsid w:val="00872D18"/>
    <w:rsid w:val="00875526"/>
    <w:rsid w:val="00876DF3"/>
    <w:rsid w:val="0088200F"/>
    <w:rsid w:val="008821CF"/>
    <w:rsid w:val="00882BDE"/>
    <w:rsid w:val="0088579E"/>
    <w:rsid w:val="0088701C"/>
    <w:rsid w:val="00890DE5"/>
    <w:rsid w:val="008925E4"/>
    <w:rsid w:val="0089572D"/>
    <w:rsid w:val="00896019"/>
    <w:rsid w:val="00897763"/>
    <w:rsid w:val="008A0B12"/>
    <w:rsid w:val="008A2F8F"/>
    <w:rsid w:val="008A5DA5"/>
    <w:rsid w:val="008A5EAD"/>
    <w:rsid w:val="008A6BC5"/>
    <w:rsid w:val="008A72D8"/>
    <w:rsid w:val="008B129A"/>
    <w:rsid w:val="008B28B3"/>
    <w:rsid w:val="008B3DBF"/>
    <w:rsid w:val="008B4F3F"/>
    <w:rsid w:val="008B6F07"/>
    <w:rsid w:val="008B7566"/>
    <w:rsid w:val="008B7B1B"/>
    <w:rsid w:val="008C0A32"/>
    <w:rsid w:val="008C3744"/>
    <w:rsid w:val="008C6D2E"/>
    <w:rsid w:val="008D28F7"/>
    <w:rsid w:val="008D508B"/>
    <w:rsid w:val="008D67E0"/>
    <w:rsid w:val="008D76EB"/>
    <w:rsid w:val="008E060F"/>
    <w:rsid w:val="008E4028"/>
    <w:rsid w:val="008E4745"/>
    <w:rsid w:val="008E51B3"/>
    <w:rsid w:val="008E5BA7"/>
    <w:rsid w:val="008E6CFE"/>
    <w:rsid w:val="008F0501"/>
    <w:rsid w:val="008F6950"/>
    <w:rsid w:val="008F75DB"/>
    <w:rsid w:val="008F7D3C"/>
    <w:rsid w:val="008F7FEF"/>
    <w:rsid w:val="00901485"/>
    <w:rsid w:val="00905014"/>
    <w:rsid w:val="00905D67"/>
    <w:rsid w:val="00911F13"/>
    <w:rsid w:val="00913856"/>
    <w:rsid w:val="00914FB7"/>
    <w:rsid w:val="009157A5"/>
    <w:rsid w:val="00916378"/>
    <w:rsid w:val="00916754"/>
    <w:rsid w:val="00920476"/>
    <w:rsid w:val="00921934"/>
    <w:rsid w:val="0092195B"/>
    <w:rsid w:val="009259EC"/>
    <w:rsid w:val="00927779"/>
    <w:rsid w:val="009300A5"/>
    <w:rsid w:val="009303C0"/>
    <w:rsid w:val="00930995"/>
    <w:rsid w:val="00932A21"/>
    <w:rsid w:val="00933089"/>
    <w:rsid w:val="0093797F"/>
    <w:rsid w:val="009404B1"/>
    <w:rsid w:val="00940535"/>
    <w:rsid w:val="0094065D"/>
    <w:rsid w:val="00941F93"/>
    <w:rsid w:val="00946565"/>
    <w:rsid w:val="00947B40"/>
    <w:rsid w:val="009506D3"/>
    <w:rsid w:val="009538F8"/>
    <w:rsid w:val="00953DA0"/>
    <w:rsid w:val="00954DE7"/>
    <w:rsid w:val="00961355"/>
    <w:rsid w:val="009621C8"/>
    <w:rsid w:val="009643E1"/>
    <w:rsid w:val="00967665"/>
    <w:rsid w:val="00967AE2"/>
    <w:rsid w:val="00970DFB"/>
    <w:rsid w:val="00971030"/>
    <w:rsid w:val="00972194"/>
    <w:rsid w:val="009753FE"/>
    <w:rsid w:val="00977672"/>
    <w:rsid w:val="0098251A"/>
    <w:rsid w:val="00984A19"/>
    <w:rsid w:val="00984A6E"/>
    <w:rsid w:val="00984A79"/>
    <w:rsid w:val="00986EE4"/>
    <w:rsid w:val="00996081"/>
    <w:rsid w:val="009971C8"/>
    <w:rsid w:val="009A0FB9"/>
    <w:rsid w:val="009A1792"/>
    <w:rsid w:val="009A2424"/>
    <w:rsid w:val="009A4066"/>
    <w:rsid w:val="009A461A"/>
    <w:rsid w:val="009A6605"/>
    <w:rsid w:val="009B1CFC"/>
    <w:rsid w:val="009B2B75"/>
    <w:rsid w:val="009B3359"/>
    <w:rsid w:val="009B57BF"/>
    <w:rsid w:val="009B5ACF"/>
    <w:rsid w:val="009B7149"/>
    <w:rsid w:val="009C00BA"/>
    <w:rsid w:val="009C13BD"/>
    <w:rsid w:val="009C25B8"/>
    <w:rsid w:val="009C4E21"/>
    <w:rsid w:val="009C52C8"/>
    <w:rsid w:val="009D138C"/>
    <w:rsid w:val="009D1687"/>
    <w:rsid w:val="009D255D"/>
    <w:rsid w:val="009D2B5C"/>
    <w:rsid w:val="009D3569"/>
    <w:rsid w:val="009D3704"/>
    <w:rsid w:val="009D4E83"/>
    <w:rsid w:val="009D5A24"/>
    <w:rsid w:val="009D7524"/>
    <w:rsid w:val="009E29AF"/>
    <w:rsid w:val="009E4418"/>
    <w:rsid w:val="009E53AE"/>
    <w:rsid w:val="009E6BD7"/>
    <w:rsid w:val="009E7C87"/>
    <w:rsid w:val="009F2483"/>
    <w:rsid w:val="009F4F40"/>
    <w:rsid w:val="00A03C02"/>
    <w:rsid w:val="00A049CF"/>
    <w:rsid w:val="00A066F9"/>
    <w:rsid w:val="00A067C6"/>
    <w:rsid w:val="00A072D8"/>
    <w:rsid w:val="00A138A1"/>
    <w:rsid w:val="00A141B1"/>
    <w:rsid w:val="00A15228"/>
    <w:rsid w:val="00A17A3D"/>
    <w:rsid w:val="00A17D6C"/>
    <w:rsid w:val="00A227B2"/>
    <w:rsid w:val="00A2491C"/>
    <w:rsid w:val="00A259DD"/>
    <w:rsid w:val="00A26083"/>
    <w:rsid w:val="00A276FF"/>
    <w:rsid w:val="00A30D10"/>
    <w:rsid w:val="00A3273D"/>
    <w:rsid w:val="00A331C7"/>
    <w:rsid w:val="00A35D1B"/>
    <w:rsid w:val="00A42AF3"/>
    <w:rsid w:val="00A4333F"/>
    <w:rsid w:val="00A463F0"/>
    <w:rsid w:val="00A5242C"/>
    <w:rsid w:val="00A557C8"/>
    <w:rsid w:val="00A5729D"/>
    <w:rsid w:val="00A62B98"/>
    <w:rsid w:val="00A62F77"/>
    <w:rsid w:val="00A66565"/>
    <w:rsid w:val="00A66566"/>
    <w:rsid w:val="00A66D21"/>
    <w:rsid w:val="00A72454"/>
    <w:rsid w:val="00A76BD2"/>
    <w:rsid w:val="00A77BD1"/>
    <w:rsid w:val="00A77D15"/>
    <w:rsid w:val="00A81E89"/>
    <w:rsid w:val="00A8292D"/>
    <w:rsid w:val="00A862F6"/>
    <w:rsid w:val="00A86F11"/>
    <w:rsid w:val="00A9008A"/>
    <w:rsid w:val="00A9207E"/>
    <w:rsid w:val="00A9253F"/>
    <w:rsid w:val="00A93562"/>
    <w:rsid w:val="00A94049"/>
    <w:rsid w:val="00A94380"/>
    <w:rsid w:val="00A95764"/>
    <w:rsid w:val="00A97688"/>
    <w:rsid w:val="00AA261C"/>
    <w:rsid w:val="00AA3897"/>
    <w:rsid w:val="00AA4415"/>
    <w:rsid w:val="00AA4B95"/>
    <w:rsid w:val="00AA599C"/>
    <w:rsid w:val="00AA6109"/>
    <w:rsid w:val="00AB076A"/>
    <w:rsid w:val="00AB1955"/>
    <w:rsid w:val="00AB4E4B"/>
    <w:rsid w:val="00AB61A8"/>
    <w:rsid w:val="00AB79AB"/>
    <w:rsid w:val="00AC2029"/>
    <w:rsid w:val="00AC2340"/>
    <w:rsid w:val="00AC4D17"/>
    <w:rsid w:val="00AC601D"/>
    <w:rsid w:val="00AC7530"/>
    <w:rsid w:val="00AD282F"/>
    <w:rsid w:val="00AD3287"/>
    <w:rsid w:val="00AD3C88"/>
    <w:rsid w:val="00AD42C9"/>
    <w:rsid w:val="00AD4776"/>
    <w:rsid w:val="00AD53F8"/>
    <w:rsid w:val="00AD6D65"/>
    <w:rsid w:val="00AD6F95"/>
    <w:rsid w:val="00AD7EDF"/>
    <w:rsid w:val="00AE138A"/>
    <w:rsid w:val="00AE44E4"/>
    <w:rsid w:val="00AE6C15"/>
    <w:rsid w:val="00AE71DE"/>
    <w:rsid w:val="00AE76F8"/>
    <w:rsid w:val="00AF06B3"/>
    <w:rsid w:val="00AF2008"/>
    <w:rsid w:val="00AF2DAC"/>
    <w:rsid w:val="00AF40B8"/>
    <w:rsid w:val="00AF415E"/>
    <w:rsid w:val="00AF4D4B"/>
    <w:rsid w:val="00AF77EB"/>
    <w:rsid w:val="00B01AC3"/>
    <w:rsid w:val="00B029B1"/>
    <w:rsid w:val="00B03130"/>
    <w:rsid w:val="00B04468"/>
    <w:rsid w:val="00B04634"/>
    <w:rsid w:val="00B047CF"/>
    <w:rsid w:val="00B0520D"/>
    <w:rsid w:val="00B05383"/>
    <w:rsid w:val="00B07483"/>
    <w:rsid w:val="00B07878"/>
    <w:rsid w:val="00B07BFE"/>
    <w:rsid w:val="00B10A31"/>
    <w:rsid w:val="00B11A7C"/>
    <w:rsid w:val="00B123AD"/>
    <w:rsid w:val="00B16074"/>
    <w:rsid w:val="00B207B0"/>
    <w:rsid w:val="00B20B10"/>
    <w:rsid w:val="00B22F9F"/>
    <w:rsid w:val="00B25620"/>
    <w:rsid w:val="00B26261"/>
    <w:rsid w:val="00B27F4A"/>
    <w:rsid w:val="00B27F74"/>
    <w:rsid w:val="00B300B5"/>
    <w:rsid w:val="00B32B14"/>
    <w:rsid w:val="00B333C1"/>
    <w:rsid w:val="00B35F96"/>
    <w:rsid w:val="00B37A11"/>
    <w:rsid w:val="00B4068E"/>
    <w:rsid w:val="00B407EE"/>
    <w:rsid w:val="00B41108"/>
    <w:rsid w:val="00B44BA9"/>
    <w:rsid w:val="00B45549"/>
    <w:rsid w:val="00B4564C"/>
    <w:rsid w:val="00B45DC1"/>
    <w:rsid w:val="00B46279"/>
    <w:rsid w:val="00B46790"/>
    <w:rsid w:val="00B46B62"/>
    <w:rsid w:val="00B50940"/>
    <w:rsid w:val="00B52A53"/>
    <w:rsid w:val="00B530BB"/>
    <w:rsid w:val="00B5488F"/>
    <w:rsid w:val="00B55E20"/>
    <w:rsid w:val="00B5773A"/>
    <w:rsid w:val="00B60464"/>
    <w:rsid w:val="00B60ECF"/>
    <w:rsid w:val="00B6116B"/>
    <w:rsid w:val="00B61FA9"/>
    <w:rsid w:val="00B6249B"/>
    <w:rsid w:val="00B64BFF"/>
    <w:rsid w:val="00B709E6"/>
    <w:rsid w:val="00B716D7"/>
    <w:rsid w:val="00B7185D"/>
    <w:rsid w:val="00B71B34"/>
    <w:rsid w:val="00B740E6"/>
    <w:rsid w:val="00B7650E"/>
    <w:rsid w:val="00B835F6"/>
    <w:rsid w:val="00B8464C"/>
    <w:rsid w:val="00B90F05"/>
    <w:rsid w:val="00B918CE"/>
    <w:rsid w:val="00B97F73"/>
    <w:rsid w:val="00BA60BB"/>
    <w:rsid w:val="00BA6A8B"/>
    <w:rsid w:val="00BB03D9"/>
    <w:rsid w:val="00BB490A"/>
    <w:rsid w:val="00BB70FB"/>
    <w:rsid w:val="00BC0A64"/>
    <w:rsid w:val="00BC0B09"/>
    <w:rsid w:val="00BC3007"/>
    <w:rsid w:val="00BC7664"/>
    <w:rsid w:val="00BD3FAA"/>
    <w:rsid w:val="00BD60BE"/>
    <w:rsid w:val="00BD775A"/>
    <w:rsid w:val="00BE079D"/>
    <w:rsid w:val="00BE0D30"/>
    <w:rsid w:val="00BE14E8"/>
    <w:rsid w:val="00BE35B0"/>
    <w:rsid w:val="00BE4378"/>
    <w:rsid w:val="00BF05A0"/>
    <w:rsid w:val="00BF0873"/>
    <w:rsid w:val="00BF0AEB"/>
    <w:rsid w:val="00BF19F4"/>
    <w:rsid w:val="00BF38B2"/>
    <w:rsid w:val="00BF473A"/>
    <w:rsid w:val="00BF5F9A"/>
    <w:rsid w:val="00BF64F9"/>
    <w:rsid w:val="00BF7932"/>
    <w:rsid w:val="00C010D1"/>
    <w:rsid w:val="00C0406B"/>
    <w:rsid w:val="00C05C88"/>
    <w:rsid w:val="00C05F5C"/>
    <w:rsid w:val="00C06961"/>
    <w:rsid w:val="00C1017C"/>
    <w:rsid w:val="00C10BD4"/>
    <w:rsid w:val="00C13DBF"/>
    <w:rsid w:val="00C13F78"/>
    <w:rsid w:val="00C14E04"/>
    <w:rsid w:val="00C15CCA"/>
    <w:rsid w:val="00C1717D"/>
    <w:rsid w:val="00C17314"/>
    <w:rsid w:val="00C20B0C"/>
    <w:rsid w:val="00C20B53"/>
    <w:rsid w:val="00C21506"/>
    <w:rsid w:val="00C216DF"/>
    <w:rsid w:val="00C26662"/>
    <w:rsid w:val="00C27361"/>
    <w:rsid w:val="00C30353"/>
    <w:rsid w:val="00C33830"/>
    <w:rsid w:val="00C33E95"/>
    <w:rsid w:val="00C34141"/>
    <w:rsid w:val="00C34814"/>
    <w:rsid w:val="00C36B01"/>
    <w:rsid w:val="00C37F01"/>
    <w:rsid w:val="00C40DFB"/>
    <w:rsid w:val="00C4151E"/>
    <w:rsid w:val="00C44408"/>
    <w:rsid w:val="00C45764"/>
    <w:rsid w:val="00C4695B"/>
    <w:rsid w:val="00C50B7E"/>
    <w:rsid w:val="00C50CD0"/>
    <w:rsid w:val="00C51121"/>
    <w:rsid w:val="00C52318"/>
    <w:rsid w:val="00C53579"/>
    <w:rsid w:val="00C551F0"/>
    <w:rsid w:val="00C558EB"/>
    <w:rsid w:val="00C57057"/>
    <w:rsid w:val="00C64A9A"/>
    <w:rsid w:val="00C67610"/>
    <w:rsid w:val="00C70C29"/>
    <w:rsid w:val="00C72EA3"/>
    <w:rsid w:val="00C74898"/>
    <w:rsid w:val="00C81E4F"/>
    <w:rsid w:val="00C8317D"/>
    <w:rsid w:val="00C8448A"/>
    <w:rsid w:val="00C84DC7"/>
    <w:rsid w:val="00C85504"/>
    <w:rsid w:val="00C85CA7"/>
    <w:rsid w:val="00C8703B"/>
    <w:rsid w:val="00C91706"/>
    <w:rsid w:val="00C94CDE"/>
    <w:rsid w:val="00CA17E8"/>
    <w:rsid w:val="00CA2074"/>
    <w:rsid w:val="00CA2E50"/>
    <w:rsid w:val="00CA4D12"/>
    <w:rsid w:val="00CA63C4"/>
    <w:rsid w:val="00CB110E"/>
    <w:rsid w:val="00CB1C2E"/>
    <w:rsid w:val="00CB393E"/>
    <w:rsid w:val="00CB4015"/>
    <w:rsid w:val="00CB58E1"/>
    <w:rsid w:val="00CB5FF1"/>
    <w:rsid w:val="00CB6631"/>
    <w:rsid w:val="00CB788D"/>
    <w:rsid w:val="00CC2706"/>
    <w:rsid w:val="00CC324E"/>
    <w:rsid w:val="00CC34FA"/>
    <w:rsid w:val="00CC5266"/>
    <w:rsid w:val="00CC719E"/>
    <w:rsid w:val="00CD063D"/>
    <w:rsid w:val="00CD36C4"/>
    <w:rsid w:val="00CD5DAD"/>
    <w:rsid w:val="00CE0B9C"/>
    <w:rsid w:val="00CE204E"/>
    <w:rsid w:val="00CE2630"/>
    <w:rsid w:val="00CE273E"/>
    <w:rsid w:val="00CE2EC8"/>
    <w:rsid w:val="00CE3F41"/>
    <w:rsid w:val="00CE4D0C"/>
    <w:rsid w:val="00CE6632"/>
    <w:rsid w:val="00CE71C1"/>
    <w:rsid w:val="00CF246A"/>
    <w:rsid w:val="00D0117D"/>
    <w:rsid w:val="00D014B2"/>
    <w:rsid w:val="00D101C5"/>
    <w:rsid w:val="00D1119D"/>
    <w:rsid w:val="00D20416"/>
    <w:rsid w:val="00D2098C"/>
    <w:rsid w:val="00D20A31"/>
    <w:rsid w:val="00D26497"/>
    <w:rsid w:val="00D277CA"/>
    <w:rsid w:val="00D3013E"/>
    <w:rsid w:val="00D302C8"/>
    <w:rsid w:val="00D33663"/>
    <w:rsid w:val="00D336E9"/>
    <w:rsid w:val="00D339C0"/>
    <w:rsid w:val="00D40CDF"/>
    <w:rsid w:val="00D40EA0"/>
    <w:rsid w:val="00D434A8"/>
    <w:rsid w:val="00D45C8F"/>
    <w:rsid w:val="00D46C48"/>
    <w:rsid w:val="00D4700F"/>
    <w:rsid w:val="00D470B9"/>
    <w:rsid w:val="00D4779B"/>
    <w:rsid w:val="00D47B0B"/>
    <w:rsid w:val="00D47B85"/>
    <w:rsid w:val="00D5165E"/>
    <w:rsid w:val="00D54BF4"/>
    <w:rsid w:val="00D5661D"/>
    <w:rsid w:val="00D56CB2"/>
    <w:rsid w:val="00D56FB5"/>
    <w:rsid w:val="00D575D7"/>
    <w:rsid w:val="00D60234"/>
    <w:rsid w:val="00D626ED"/>
    <w:rsid w:val="00D62D7C"/>
    <w:rsid w:val="00D64837"/>
    <w:rsid w:val="00D6576B"/>
    <w:rsid w:val="00D70EE6"/>
    <w:rsid w:val="00D722C3"/>
    <w:rsid w:val="00D7477E"/>
    <w:rsid w:val="00D77F5F"/>
    <w:rsid w:val="00D80900"/>
    <w:rsid w:val="00D84B19"/>
    <w:rsid w:val="00D85973"/>
    <w:rsid w:val="00D859A8"/>
    <w:rsid w:val="00D91A8E"/>
    <w:rsid w:val="00D95BCF"/>
    <w:rsid w:val="00DA12E9"/>
    <w:rsid w:val="00DA16BE"/>
    <w:rsid w:val="00DA235A"/>
    <w:rsid w:val="00DA343B"/>
    <w:rsid w:val="00DA365E"/>
    <w:rsid w:val="00DA4E9A"/>
    <w:rsid w:val="00DA592E"/>
    <w:rsid w:val="00DA61A6"/>
    <w:rsid w:val="00DB07A7"/>
    <w:rsid w:val="00DB107D"/>
    <w:rsid w:val="00DB28B5"/>
    <w:rsid w:val="00DB2FCE"/>
    <w:rsid w:val="00DB3BB7"/>
    <w:rsid w:val="00DB51C8"/>
    <w:rsid w:val="00DC0D8E"/>
    <w:rsid w:val="00DC4433"/>
    <w:rsid w:val="00DC57C2"/>
    <w:rsid w:val="00DC6060"/>
    <w:rsid w:val="00DC7430"/>
    <w:rsid w:val="00DC74A3"/>
    <w:rsid w:val="00DC7EF7"/>
    <w:rsid w:val="00DD19F3"/>
    <w:rsid w:val="00DD3615"/>
    <w:rsid w:val="00DE18D1"/>
    <w:rsid w:val="00DE2684"/>
    <w:rsid w:val="00DE4349"/>
    <w:rsid w:val="00DE6781"/>
    <w:rsid w:val="00DE75EE"/>
    <w:rsid w:val="00DF0A69"/>
    <w:rsid w:val="00DF1AD8"/>
    <w:rsid w:val="00DF2BD9"/>
    <w:rsid w:val="00DF46BD"/>
    <w:rsid w:val="00DF48E1"/>
    <w:rsid w:val="00DF59F6"/>
    <w:rsid w:val="00DF7CF2"/>
    <w:rsid w:val="00E009B2"/>
    <w:rsid w:val="00E019DC"/>
    <w:rsid w:val="00E02E8C"/>
    <w:rsid w:val="00E031B9"/>
    <w:rsid w:val="00E034E5"/>
    <w:rsid w:val="00E036DD"/>
    <w:rsid w:val="00E03803"/>
    <w:rsid w:val="00E044B1"/>
    <w:rsid w:val="00E05118"/>
    <w:rsid w:val="00E06E3A"/>
    <w:rsid w:val="00E07BD8"/>
    <w:rsid w:val="00E11BF3"/>
    <w:rsid w:val="00E11BF8"/>
    <w:rsid w:val="00E126D0"/>
    <w:rsid w:val="00E12710"/>
    <w:rsid w:val="00E13E48"/>
    <w:rsid w:val="00E144F9"/>
    <w:rsid w:val="00E17F9F"/>
    <w:rsid w:val="00E20C29"/>
    <w:rsid w:val="00E25352"/>
    <w:rsid w:val="00E25752"/>
    <w:rsid w:val="00E266BF"/>
    <w:rsid w:val="00E3177B"/>
    <w:rsid w:val="00E31B5B"/>
    <w:rsid w:val="00E3288E"/>
    <w:rsid w:val="00E32F3A"/>
    <w:rsid w:val="00E34CE5"/>
    <w:rsid w:val="00E37875"/>
    <w:rsid w:val="00E37AA7"/>
    <w:rsid w:val="00E42AA4"/>
    <w:rsid w:val="00E44574"/>
    <w:rsid w:val="00E44898"/>
    <w:rsid w:val="00E515C0"/>
    <w:rsid w:val="00E51642"/>
    <w:rsid w:val="00E53751"/>
    <w:rsid w:val="00E54981"/>
    <w:rsid w:val="00E56235"/>
    <w:rsid w:val="00E5687B"/>
    <w:rsid w:val="00E60A91"/>
    <w:rsid w:val="00E63123"/>
    <w:rsid w:val="00E66707"/>
    <w:rsid w:val="00E66A66"/>
    <w:rsid w:val="00E734D9"/>
    <w:rsid w:val="00E7560B"/>
    <w:rsid w:val="00E80D13"/>
    <w:rsid w:val="00E83081"/>
    <w:rsid w:val="00E84399"/>
    <w:rsid w:val="00E844A9"/>
    <w:rsid w:val="00E8525B"/>
    <w:rsid w:val="00E86B2D"/>
    <w:rsid w:val="00E86EAB"/>
    <w:rsid w:val="00E86F99"/>
    <w:rsid w:val="00E91512"/>
    <w:rsid w:val="00E9376C"/>
    <w:rsid w:val="00E9515F"/>
    <w:rsid w:val="00E957F7"/>
    <w:rsid w:val="00EA18E8"/>
    <w:rsid w:val="00EA331B"/>
    <w:rsid w:val="00EA4221"/>
    <w:rsid w:val="00EB1481"/>
    <w:rsid w:val="00EB16E7"/>
    <w:rsid w:val="00EB239D"/>
    <w:rsid w:val="00EB421D"/>
    <w:rsid w:val="00EB4D0D"/>
    <w:rsid w:val="00EB5DF1"/>
    <w:rsid w:val="00EB785A"/>
    <w:rsid w:val="00EC1CE2"/>
    <w:rsid w:val="00EC45EA"/>
    <w:rsid w:val="00ED24A7"/>
    <w:rsid w:val="00ED3F9C"/>
    <w:rsid w:val="00ED43CE"/>
    <w:rsid w:val="00EE0BAE"/>
    <w:rsid w:val="00EE560E"/>
    <w:rsid w:val="00EE67D5"/>
    <w:rsid w:val="00EF15C0"/>
    <w:rsid w:val="00EF3494"/>
    <w:rsid w:val="00EF4BA7"/>
    <w:rsid w:val="00EF6604"/>
    <w:rsid w:val="00EF71F1"/>
    <w:rsid w:val="00EF7965"/>
    <w:rsid w:val="00F0160F"/>
    <w:rsid w:val="00F028E9"/>
    <w:rsid w:val="00F02A49"/>
    <w:rsid w:val="00F03008"/>
    <w:rsid w:val="00F06164"/>
    <w:rsid w:val="00F06A7F"/>
    <w:rsid w:val="00F06D78"/>
    <w:rsid w:val="00F06DF4"/>
    <w:rsid w:val="00F071E0"/>
    <w:rsid w:val="00F0722A"/>
    <w:rsid w:val="00F07801"/>
    <w:rsid w:val="00F13200"/>
    <w:rsid w:val="00F1320B"/>
    <w:rsid w:val="00F14C25"/>
    <w:rsid w:val="00F158D0"/>
    <w:rsid w:val="00F15A5E"/>
    <w:rsid w:val="00F16071"/>
    <w:rsid w:val="00F16CC8"/>
    <w:rsid w:val="00F229A9"/>
    <w:rsid w:val="00F22CC4"/>
    <w:rsid w:val="00F22DFB"/>
    <w:rsid w:val="00F23F11"/>
    <w:rsid w:val="00F24E4D"/>
    <w:rsid w:val="00F25FE8"/>
    <w:rsid w:val="00F26D3F"/>
    <w:rsid w:val="00F301E0"/>
    <w:rsid w:val="00F3374B"/>
    <w:rsid w:val="00F338EF"/>
    <w:rsid w:val="00F33E52"/>
    <w:rsid w:val="00F34F67"/>
    <w:rsid w:val="00F3624B"/>
    <w:rsid w:val="00F36589"/>
    <w:rsid w:val="00F367AA"/>
    <w:rsid w:val="00F36851"/>
    <w:rsid w:val="00F37335"/>
    <w:rsid w:val="00F42ED3"/>
    <w:rsid w:val="00F470BA"/>
    <w:rsid w:val="00F52106"/>
    <w:rsid w:val="00F525EE"/>
    <w:rsid w:val="00F52D61"/>
    <w:rsid w:val="00F6051F"/>
    <w:rsid w:val="00F64195"/>
    <w:rsid w:val="00F6548A"/>
    <w:rsid w:val="00F6696B"/>
    <w:rsid w:val="00F670A4"/>
    <w:rsid w:val="00F7390C"/>
    <w:rsid w:val="00F73C90"/>
    <w:rsid w:val="00F7600F"/>
    <w:rsid w:val="00F77B57"/>
    <w:rsid w:val="00F8216B"/>
    <w:rsid w:val="00F8255A"/>
    <w:rsid w:val="00F90E42"/>
    <w:rsid w:val="00F90F18"/>
    <w:rsid w:val="00F91DA1"/>
    <w:rsid w:val="00F939E1"/>
    <w:rsid w:val="00F9463B"/>
    <w:rsid w:val="00F95253"/>
    <w:rsid w:val="00F9690E"/>
    <w:rsid w:val="00F96943"/>
    <w:rsid w:val="00F97516"/>
    <w:rsid w:val="00F97E51"/>
    <w:rsid w:val="00FA0629"/>
    <w:rsid w:val="00FA25D5"/>
    <w:rsid w:val="00FA4B79"/>
    <w:rsid w:val="00FA4BCC"/>
    <w:rsid w:val="00FA660F"/>
    <w:rsid w:val="00FA6931"/>
    <w:rsid w:val="00FA7D49"/>
    <w:rsid w:val="00FB017F"/>
    <w:rsid w:val="00FB075F"/>
    <w:rsid w:val="00FB6AAB"/>
    <w:rsid w:val="00FC0332"/>
    <w:rsid w:val="00FC0784"/>
    <w:rsid w:val="00FC39AC"/>
    <w:rsid w:val="00FC5414"/>
    <w:rsid w:val="00FC6048"/>
    <w:rsid w:val="00FD11BE"/>
    <w:rsid w:val="00FD29A2"/>
    <w:rsid w:val="00FD30AC"/>
    <w:rsid w:val="00FD4339"/>
    <w:rsid w:val="00FD4DFE"/>
    <w:rsid w:val="00FD5931"/>
    <w:rsid w:val="00FD65B0"/>
    <w:rsid w:val="00FD6663"/>
    <w:rsid w:val="00FE0292"/>
    <w:rsid w:val="00FE261F"/>
    <w:rsid w:val="00FE3114"/>
    <w:rsid w:val="00FE60DA"/>
    <w:rsid w:val="00FE6B93"/>
    <w:rsid w:val="00FF0C55"/>
    <w:rsid w:val="00FF23FE"/>
    <w:rsid w:val="00FF4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4BA34"/>
  <w15:chartTrackingRefBased/>
  <w15:docId w15:val="{95099623-F9DE-4BC3-918A-EC632CC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FEE"/>
    <w:pPr>
      <w:ind w:left="720"/>
      <w:contextualSpacing/>
    </w:pPr>
  </w:style>
  <w:style w:type="table" w:styleId="TableGrid">
    <w:name w:val="Table Grid"/>
    <w:basedOn w:val="TableNormal"/>
    <w:uiPriority w:val="39"/>
    <w:rsid w:val="005F1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BCC"/>
    <w:pPr>
      <w:tabs>
        <w:tab w:val="center" w:pos="4252"/>
        <w:tab w:val="right" w:pos="8504"/>
      </w:tabs>
      <w:spacing w:after="0" w:line="240" w:lineRule="auto"/>
    </w:pPr>
  </w:style>
  <w:style w:type="character" w:customStyle="1" w:styleId="HeaderChar">
    <w:name w:val="Header Char"/>
    <w:basedOn w:val="DefaultParagraphFont"/>
    <w:link w:val="Header"/>
    <w:uiPriority w:val="99"/>
    <w:rsid w:val="00263BCC"/>
  </w:style>
  <w:style w:type="paragraph" w:styleId="Footer">
    <w:name w:val="footer"/>
    <w:basedOn w:val="Normal"/>
    <w:link w:val="FooterChar"/>
    <w:uiPriority w:val="99"/>
    <w:unhideWhenUsed/>
    <w:rsid w:val="00263BCC"/>
    <w:pPr>
      <w:tabs>
        <w:tab w:val="center" w:pos="4252"/>
        <w:tab w:val="right" w:pos="8504"/>
      </w:tabs>
      <w:spacing w:after="0" w:line="240" w:lineRule="auto"/>
    </w:pPr>
  </w:style>
  <w:style w:type="character" w:customStyle="1" w:styleId="FooterChar">
    <w:name w:val="Footer Char"/>
    <w:basedOn w:val="DefaultParagraphFont"/>
    <w:link w:val="Footer"/>
    <w:uiPriority w:val="99"/>
    <w:rsid w:val="00263BCC"/>
  </w:style>
  <w:style w:type="character" w:styleId="LineNumber">
    <w:name w:val="line number"/>
    <w:basedOn w:val="DefaultParagraphFont"/>
    <w:uiPriority w:val="99"/>
    <w:semiHidden/>
    <w:unhideWhenUsed/>
    <w:rsid w:val="00263BCC"/>
  </w:style>
  <w:style w:type="paragraph" w:styleId="Revision">
    <w:name w:val="Revision"/>
    <w:hidden/>
    <w:uiPriority w:val="99"/>
    <w:semiHidden/>
    <w:rsid w:val="002248EC"/>
    <w:pPr>
      <w:spacing w:after="0" w:line="240" w:lineRule="auto"/>
    </w:pPr>
  </w:style>
  <w:style w:type="character" w:styleId="Emphasis">
    <w:name w:val="Emphasis"/>
    <w:basedOn w:val="DefaultParagraphFont"/>
    <w:uiPriority w:val="20"/>
    <w:qFormat/>
    <w:rsid w:val="00432447"/>
    <w:rPr>
      <w:i/>
      <w:iCs/>
    </w:rPr>
  </w:style>
  <w:style w:type="paragraph" w:styleId="BalloonText">
    <w:name w:val="Balloon Text"/>
    <w:basedOn w:val="Normal"/>
    <w:link w:val="BalloonTextChar"/>
    <w:uiPriority w:val="99"/>
    <w:semiHidden/>
    <w:unhideWhenUsed/>
    <w:rsid w:val="009D4E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E83"/>
    <w:rPr>
      <w:rFonts w:ascii="Segoe UI" w:hAnsi="Segoe UI" w:cs="Segoe UI"/>
      <w:sz w:val="18"/>
      <w:szCs w:val="18"/>
    </w:rPr>
  </w:style>
  <w:style w:type="character" w:styleId="CommentReference">
    <w:name w:val="annotation reference"/>
    <w:basedOn w:val="DefaultParagraphFont"/>
    <w:uiPriority w:val="99"/>
    <w:semiHidden/>
    <w:unhideWhenUsed/>
    <w:qFormat/>
    <w:rsid w:val="00C72EA3"/>
    <w:rPr>
      <w:sz w:val="16"/>
      <w:szCs w:val="16"/>
    </w:rPr>
  </w:style>
  <w:style w:type="paragraph" w:styleId="CommentText">
    <w:name w:val="annotation text"/>
    <w:basedOn w:val="Normal"/>
    <w:link w:val="CommentTextChar"/>
    <w:uiPriority w:val="99"/>
    <w:semiHidden/>
    <w:unhideWhenUsed/>
    <w:qFormat/>
    <w:rsid w:val="00C72EA3"/>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C72EA3"/>
    <w:rPr>
      <w:sz w:val="20"/>
      <w:szCs w:val="20"/>
    </w:rPr>
  </w:style>
  <w:style w:type="paragraph" w:styleId="CommentSubject">
    <w:name w:val="annotation subject"/>
    <w:basedOn w:val="CommentText"/>
    <w:next w:val="CommentText"/>
    <w:link w:val="CommentSubjectChar"/>
    <w:uiPriority w:val="99"/>
    <w:semiHidden/>
    <w:unhideWhenUsed/>
    <w:rsid w:val="00C72EA3"/>
    <w:rPr>
      <w:b/>
      <w:bCs/>
    </w:rPr>
  </w:style>
  <w:style w:type="character" w:customStyle="1" w:styleId="CommentSubjectChar">
    <w:name w:val="Comment Subject Char"/>
    <w:basedOn w:val="CommentTextChar"/>
    <w:link w:val="CommentSubject"/>
    <w:uiPriority w:val="99"/>
    <w:semiHidden/>
    <w:rsid w:val="00C72EA3"/>
    <w:rPr>
      <w:b/>
      <w:bCs/>
      <w:sz w:val="20"/>
      <w:szCs w:val="20"/>
    </w:rPr>
  </w:style>
  <w:style w:type="character" w:styleId="Strong">
    <w:name w:val="Strong"/>
    <w:basedOn w:val="DefaultParagraphFont"/>
    <w:uiPriority w:val="22"/>
    <w:qFormat/>
    <w:rsid w:val="00D2098C"/>
    <w:rPr>
      <w:b/>
      <w:bCs/>
    </w:rPr>
  </w:style>
  <w:style w:type="character" w:styleId="Hyperlink">
    <w:name w:val="Hyperlink"/>
    <w:basedOn w:val="DefaultParagraphFont"/>
    <w:uiPriority w:val="99"/>
    <w:semiHidden/>
    <w:unhideWhenUsed/>
    <w:rsid w:val="007A7D02"/>
    <w:rPr>
      <w:color w:val="0563C1"/>
      <w:u w:val="single"/>
    </w:rPr>
  </w:style>
  <w:style w:type="character" w:styleId="FollowedHyperlink">
    <w:name w:val="FollowedHyperlink"/>
    <w:basedOn w:val="DefaultParagraphFont"/>
    <w:uiPriority w:val="99"/>
    <w:semiHidden/>
    <w:unhideWhenUsed/>
    <w:rsid w:val="007A7D02"/>
    <w:rPr>
      <w:color w:val="954F72"/>
      <w:u w:val="single"/>
    </w:rPr>
  </w:style>
  <w:style w:type="paragraph" w:customStyle="1" w:styleId="msonormal0">
    <w:name w:val="msonormal"/>
    <w:basedOn w:val="Normal"/>
    <w:rsid w:val="007A7D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6">
    <w:name w:val="xl66"/>
    <w:basedOn w:val="Normal"/>
    <w:rsid w:val="007A7D02"/>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3850">
      <w:bodyDiv w:val="1"/>
      <w:marLeft w:val="0"/>
      <w:marRight w:val="0"/>
      <w:marTop w:val="0"/>
      <w:marBottom w:val="0"/>
      <w:divBdr>
        <w:top w:val="none" w:sz="0" w:space="0" w:color="auto"/>
        <w:left w:val="none" w:sz="0" w:space="0" w:color="auto"/>
        <w:bottom w:val="none" w:sz="0" w:space="0" w:color="auto"/>
        <w:right w:val="none" w:sz="0" w:space="0" w:color="auto"/>
      </w:divBdr>
    </w:div>
    <w:div w:id="73666744">
      <w:bodyDiv w:val="1"/>
      <w:marLeft w:val="0"/>
      <w:marRight w:val="0"/>
      <w:marTop w:val="0"/>
      <w:marBottom w:val="0"/>
      <w:divBdr>
        <w:top w:val="none" w:sz="0" w:space="0" w:color="auto"/>
        <w:left w:val="none" w:sz="0" w:space="0" w:color="auto"/>
        <w:bottom w:val="none" w:sz="0" w:space="0" w:color="auto"/>
        <w:right w:val="none" w:sz="0" w:space="0" w:color="auto"/>
      </w:divBdr>
    </w:div>
    <w:div w:id="102697693">
      <w:bodyDiv w:val="1"/>
      <w:marLeft w:val="0"/>
      <w:marRight w:val="0"/>
      <w:marTop w:val="0"/>
      <w:marBottom w:val="0"/>
      <w:divBdr>
        <w:top w:val="none" w:sz="0" w:space="0" w:color="auto"/>
        <w:left w:val="none" w:sz="0" w:space="0" w:color="auto"/>
        <w:bottom w:val="none" w:sz="0" w:space="0" w:color="auto"/>
        <w:right w:val="none" w:sz="0" w:space="0" w:color="auto"/>
      </w:divBdr>
    </w:div>
    <w:div w:id="223875978">
      <w:bodyDiv w:val="1"/>
      <w:marLeft w:val="0"/>
      <w:marRight w:val="0"/>
      <w:marTop w:val="0"/>
      <w:marBottom w:val="0"/>
      <w:divBdr>
        <w:top w:val="none" w:sz="0" w:space="0" w:color="auto"/>
        <w:left w:val="none" w:sz="0" w:space="0" w:color="auto"/>
        <w:bottom w:val="none" w:sz="0" w:space="0" w:color="auto"/>
        <w:right w:val="none" w:sz="0" w:space="0" w:color="auto"/>
      </w:divBdr>
    </w:div>
    <w:div w:id="252279339">
      <w:bodyDiv w:val="1"/>
      <w:marLeft w:val="0"/>
      <w:marRight w:val="0"/>
      <w:marTop w:val="0"/>
      <w:marBottom w:val="0"/>
      <w:divBdr>
        <w:top w:val="none" w:sz="0" w:space="0" w:color="auto"/>
        <w:left w:val="none" w:sz="0" w:space="0" w:color="auto"/>
        <w:bottom w:val="none" w:sz="0" w:space="0" w:color="auto"/>
        <w:right w:val="none" w:sz="0" w:space="0" w:color="auto"/>
      </w:divBdr>
    </w:div>
    <w:div w:id="364448038">
      <w:bodyDiv w:val="1"/>
      <w:marLeft w:val="0"/>
      <w:marRight w:val="0"/>
      <w:marTop w:val="0"/>
      <w:marBottom w:val="0"/>
      <w:divBdr>
        <w:top w:val="none" w:sz="0" w:space="0" w:color="auto"/>
        <w:left w:val="none" w:sz="0" w:space="0" w:color="auto"/>
        <w:bottom w:val="none" w:sz="0" w:space="0" w:color="auto"/>
        <w:right w:val="none" w:sz="0" w:space="0" w:color="auto"/>
      </w:divBdr>
    </w:div>
    <w:div w:id="370768638">
      <w:bodyDiv w:val="1"/>
      <w:marLeft w:val="0"/>
      <w:marRight w:val="0"/>
      <w:marTop w:val="0"/>
      <w:marBottom w:val="0"/>
      <w:divBdr>
        <w:top w:val="none" w:sz="0" w:space="0" w:color="auto"/>
        <w:left w:val="none" w:sz="0" w:space="0" w:color="auto"/>
        <w:bottom w:val="none" w:sz="0" w:space="0" w:color="auto"/>
        <w:right w:val="none" w:sz="0" w:space="0" w:color="auto"/>
      </w:divBdr>
    </w:div>
    <w:div w:id="587080185">
      <w:bodyDiv w:val="1"/>
      <w:marLeft w:val="0"/>
      <w:marRight w:val="0"/>
      <w:marTop w:val="0"/>
      <w:marBottom w:val="0"/>
      <w:divBdr>
        <w:top w:val="none" w:sz="0" w:space="0" w:color="auto"/>
        <w:left w:val="none" w:sz="0" w:space="0" w:color="auto"/>
        <w:bottom w:val="none" w:sz="0" w:space="0" w:color="auto"/>
        <w:right w:val="none" w:sz="0" w:space="0" w:color="auto"/>
      </w:divBdr>
      <w:divsChild>
        <w:div w:id="1214076821">
          <w:marLeft w:val="0"/>
          <w:marRight w:val="0"/>
          <w:marTop w:val="0"/>
          <w:marBottom w:val="0"/>
          <w:divBdr>
            <w:top w:val="none" w:sz="0" w:space="0" w:color="auto"/>
            <w:left w:val="none" w:sz="0" w:space="0" w:color="auto"/>
            <w:bottom w:val="none" w:sz="0" w:space="0" w:color="auto"/>
            <w:right w:val="none" w:sz="0" w:space="0" w:color="auto"/>
          </w:divBdr>
          <w:divsChild>
            <w:div w:id="692609299">
              <w:marLeft w:val="0"/>
              <w:marRight w:val="0"/>
              <w:marTop w:val="0"/>
              <w:marBottom w:val="120"/>
              <w:divBdr>
                <w:top w:val="none" w:sz="0" w:space="0" w:color="auto"/>
                <w:left w:val="none" w:sz="0" w:space="0" w:color="auto"/>
                <w:bottom w:val="none" w:sz="0" w:space="0" w:color="auto"/>
                <w:right w:val="none" w:sz="0" w:space="0" w:color="auto"/>
              </w:divBdr>
            </w:div>
          </w:divsChild>
        </w:div>
        <w:div w:id="537426460">
          <w:marLeft w:val="0"/>
          <w:marRight w:val="0"/>
          <w:marTop w:val="0"/>
          <w:marBottom w:val="0"/>
          <w:divBdr>
            <w:top w:val="none" w:sz="0" w:space="0" w:color="auto"/>
            <w:left w:val="none" w:sz="0" w:space="0" w:color="auto"/>
            <w:bottom w:val="none" w:sz="0" w:space="0" w:color="auto"/>
            <w:right w:val="none" w:sz="0" w:space="0" w:color="auto"/>
          </w:divBdr>
        </w:div>
      </w:divsChild>
    </w:div>
    <w:div w:id="630552151">
      <w:bodyDiv w:val="1"/>
      <w:marLeft w:val="0"/>
      <w:marRight w:val="0"/>
      <w:marTop w:val="0"/>
      <w:marBottom w:val="0"/>
      <w:divBdr>
        <w:top w:val="none" w:sz="0" w:space="0" w:color="auto"/>
        <w:left w:val="none" w:sz="0" w:space="0" w:color="auto"/>
        <w:bottom w:val="none" w:sz="0" w:space="0" w:color="auto"/>
        <w:right w:val="none" w:sz="0" w:space="0" w:color="auto"/>
      </w:divBdr>
    </w:div>
    <w:div w:id="818108049">
      <w:bodyDiv w:val="1"/>
      <w:marLeft w:val="0"/>
      <w:marRight w:val="0"/>
      <w:marTop w:val="0"/>
      <w:marBottom w:val="0"/>
      <w:divBdr>
        <w:top w:val="none" w:sz="0" w:space="0" w:color="auto"/>
        <w:left w:val="none" w:sz="0" w:space="0" w:color="auto"/>
        <w:bottom w:val="none" w:sz="0" w:space="0" w:color="auto"/>
        <w:right w:val="none" w:sz="0" w:space="0" w:color="auto"/>
      </w:divBdr>
    </w:div>
    <w:div w:id="874854174">
      <w:bodyDiv w:val="1"/>
      <w:marLeft w:val="0"/>
      <w:marRight w:val="0"/>
      <w:marTop w:val="0"/>
      <w:marBottom w:val="0"/>
      <w:divBdr>
        <w:top w:val="none" w:sz="0" w:space="0" w:color="auto"/>
        <w:left w:val="none" w:sz="0" w:space="0" w:color="auto"/>
        <w:bottom w:val="none" w:sz="0" w:space="0" w:color="auto"/>
        <w:right w:val="none" w:sz="0" w:space="0" w:color="auto"/>
      </w:divBdr>
    </w:div>
    <w:div w:id="955252903">
      <w:bodyDiv w:val="1"/>
      <w:marLeft w:val="0"/>
      <w:marRight w:val="0"/>
      <w:marTop w:val="0"/>
      <w:marBottom w:val="0"/>
      <w:divBdr>
        <w:top w:val="none" w:sz="0" w:space="0" w:color="auto"/>
        <w:left w:val="none" w:sz="0" w:space="0" w:color="auto"/>
        <w:bottom w:val="none" w:sz="0" w:space="0" w:color="auto"/>
        <w:right w:val="none" w:sz="0" w:space="0" w:color="auto"/>
      </w:divBdr>
    </w:div>
    <w:div w:id="1018772229">
      <w:bodyDiv w:val="1"/>
      <w:marLeft w:val="0"/>
      <w:marRight w:val="0"/>
      <w:marTop w:val="0"/>
      <w:marBottom w:val="0"/>
      <w:divBdr>
        <w:top w:val="none" w:sz="0" w:space="0" w:color="auto"/>
        <w:left w:val="none" w:sz="0" w:space="0" w:color="auto"/>
        <w:bottom w:val="none" w:sz="0" w:space="0" w:color="auto"/>
        <w:right w:val="none" w:sz="0" w:space="0" w:color="auto"/>
      </w:divBdr>
    </w:div>
    <w:div w:id="1053383063">
      <w:bodyDiv w:val="1"/>
      <w:marLeft w:val="0"/>
      <w:marRight w:val="0"/>
      <w:marTop w:val="0"/>
      <w:marBottom w:val="0"/>
      <w:divBdr>
        <w:top w:val="none" w:sz="0" w:space="0" w:color="auto"/>
        <w:left w:val="none" w:sz="0" w:space="0" w:color="auto"/>
        <w:bottom w:val="none" w:sz="0" w:space="0" w:color="auto"/>
        <w:right w:val="none" w:sz="0" w:space="0" w:color="auto"/>
      </w:divBdr>
    </w:div>
    <w:div w:id="1100031750">
      <w:bodyDiv w:val="1"/>
      <w:marLeft w:val="0"/>
      <w:marRight w:val="0"/>
      <w:marTop w:val="0"/>
      <w:marBottom w:val="0"/>
      <w:divBdr>
        <w:top w:val="none" w:sz="0" w:space="0" w:color="auto"/>
        <w:left w:val="none" w:sz="0" w:space="0" w:color="auto"/>
        <w:bottom w:val="none" w:sz="0" w:space="0" w:color="auto"/>
        <w:right w:val="none" w:sz="0" w:space="0" w:color="auto"/>
      </w:divBdr>
    </w:div>
    <w:div w:id="1227376733">
      <w:bodyDiv w:val="1"/>
      <w:marLeft w:val="0"/>
      <w:marRight w:val="0"/>
      <w:marTop w:val="0"/>
      <w:marBottom w:val="0"/>
      <w:divBdr>
        <w:top w:val="none" w:sz="0" w:space="0" w:color="auto"/>
        <w:left w:val="none" w:sz="0" w:space="0" w:color="auto"/>
        <w:bottom w:val="none" w:sz="0" w:space="0" w:color="auto"/>
        <w:right w:val="none" w:sz="0" w:space="0" w:color="auto"/>
      </w:divBdr>
    </w:div>
    <w:div w:id="1323851929">
      <w:bodyDiv w:val="1"/>
      <w:marLeft w:val="0"/>
      <w:marRight w:val="0"/>
      <w:marTop w:val="0"/>
      <w:marBottom w:val="0"/>
      <w:divBdr>
        <w:top w:val="none" w:sz="0" w:space="0" w:color="auto"/>
        <w:left w:val="none" w:sz="0" w:space="0" w:color="auto"/>
        <w:bottom w:val="none" w:sz="0" w:space="0" w:color="auto"/>
        <w:right w:val="none" w:sz="0" w:space="0" w:color="auto"/>
      </w:divBdr>
    </w:div>
    <w:div w:id="1435980904">
      <w:bodyDiv w:val="1"/>
      <w:marLeft w:val="0"/>
      <w:marRight w:val="0"/>
      <w:marTop w:val="0"/>
      <w:marBottom w:val="0"/>
      <w:divBdr>
        <w:top w:val="none" w:sz="0" w:space="0" w:color="auto"/>
        <w:left w:val="none" w:sz="0" w:space="0" w:color="auto"/>
        <w:bottom w:val="none" w:sz="0" w:space="0" w:color="auto"/>
        <w:right w:val="none" w:sz="0" w:space="0" w:color="auto"/>
      </w:divBdr>
    </w:div>
    <w:div w:id="1485857341">
      <w:bodyDiv w:val="1"/>
      <w:marLeft w:val="0"/>
      <w:marRight w:val="0"/>
      <w:marTop w:val="0"/>
      <w:marBottom w:val="0"/>
      <w:divBdr>
        <w:top w:val="none" w:sz="0" w:space="0" w:color="auto"/>
        <w:left w:val="none" w:sz="0" w:space="0" w:color="auto"/>
        <w:bottom w:val="none" w:sz="0" w:space="0" w:color="auto"/>
        <w:right w:val="none" w:sz="0" w:space="0" w:color="auto"/>
      </w:divBdr>
    </w:div>
    <w:div w:id="1493718807">
      <w:bodyDiv w:val="1"/>
      <w:marLeft w:val="0"/>
      <w:marRight w:val="0"/>
      <w:marTop w:val="0"/>
      <w:marBottom w:val="0"/>
      <w:divBdr>
        <w:top w:val="none" w:sz="0" w:space="0" w:color="auto"/>
        <w:left w:val="none" w:sz="0" w:space="0" w:color="auto"/>
        <w:bottom w:val="none" w:sz="0" w:space="0" w:color="auto"/>
        <w:right w:val="none" w:sz="0" w:space="0" w:color="auto"/>
      </w:divBdr>
    </w:div>
    <w:div w:id="1517887350">
      <w:bodyDiv w:val="1"/>
      <w:marLeft w:val="0"/>
      <w:marRight w:val="0"/>
      <w:marTop w:val="0"/>
      <w:marBottom w:val="0"/>
      <w:divBdr>
        <w:top w:val="none" w:sz="0" w:space="0" w:color="auto"/>
        <w:left w:val="none" w:sz="0" w:space="0" w:color="auto"/>
        <w:bottom w:val="none" w:sz="0" w:space="0" w:color="auto"/>
        <w:right w:val="none" w:sz="0" w:space="0" w:color="auto"/>
      </w:divBdr>
    </w:div>
    <w:div w:id="1704473734">
      <w:bodyDiv w:val="1"/>
      <w:marLeft w:val="0"/>
      <w:marRight w:val="0"/>
      <w:marTop w:val="0"/>
      <w:marBottom w:val="0"/>
      <w:divBdr>
        <w:top w:val="none" w:sz="0" w:space="0" w:color="auto"/>
        <w:left w:val="none" w:sz="0" w:space="0" w:color="auto"/>
        <w:bottom w:val="none" w:sz="0" w:space="0" w:color="auto"/>
        <w:right w:val="none" w:sz="0" w:space="0" w:color="auto"/>
      </w:divBdr>
    </w:div>
    <w:div w:id="1739084546">
      <w:bodyDiv w:val="1"/>
      <w:marLeft w:val="0"/>
      <w:marRight w:val="0"/>
      <w:marTop w:val="0"/>
      <w:marBottom w:val="0"/>
      <w:divBdr>
        <w:top w:val="none" w:sz="0" w:space="0" w:color="auto"/>
        <w:left w:val="none" w:sz="0" w:space="0" w:color="auto"/>
        <w:bottom w:val="none" w:sz="0" w:space="0" w:color="auto"/>
        <w:right w:val="none" w:sz="0" w:space="0" w:color="auto"/>
      </w:divBdr>
    </w:div>
    <w:div w:id="1782142588">
      <w:bodyDiv w:val="1"/>
      <w:marLeft w:val="0"/>
      <w:marRight w:val="0"/>
      <w:marTop w:val="0"/>
      <w:marBottom w:val="0"/>
      <w:divBdr>
        <w:top w:val="none" w:sz="0" w:space="0" w:color="auto"/>
        <w:left w:val="none" w:sz="0" w:space="0" w:color="auto"/>
        <w:bottom w:val="none" w:sz="0" w:space="0" w:color="auto"/>
        <w:right w:val="none" w:sz="0" w:space="0" w:color="auto"/>
      </w:divBdr>
    </w:div>
    <w:div w:id="1796749382">
      <w:bodyDiv w:val="1"/>
      <w:marLeft w:val="0"/>
      <w:marRight w:val="0"/>
      <w:marTop w:val="0"/>
      <w:marBottom w:val="0"/>
      <w:divBdr>
        <w:top w:val="none" w:sz="0" w:space="0" w:color="auto"/>
        <w:left w:val="none" w:sz="0" w:space="0" w:color="auto"/>
        <w:bottom w:val="none" w:sz="0" w:space="0" w:color="auto"/>
        <w:right w:val="none" w:sz="0" w:space="0" w:color="auto"/>
      </w:divBdr>
    </w:div>
    <w:div w:id="1807352819">
      <w:bodyDiv w:val="1"/>
      <w:marLeft w:val="0"/>
      <w:marRight w:val="0"/>
      <w:marTop w:val="0"/>
      <w:marBottom w:val="0"/>
      <w:divBdr>
        <w:top w:val="none" w:sz="0" w:space="0" w:color="auto"/>
        <w:left w:val="none" w:sz="0" w:space="0" w:color="auto"/>
        <w:bottom w:val="none" w:sz="0" w:space="0" w:color="auto"/>
        <w:right w:val="none" w:sz="0" w:space="0" w:color="auto"/>
      </w:divBdr>
    </w:div>
    <w:div w:id="1916695547">
      <w:bodyDiv w:val="1"/>
      <w:marLeft w:val="0"/>
      <w:marRight w:val="0"/>
      <w:marTop w:val="0"/>
      <w:marBottom w:val="0"/>
      <w:divBdr>
        <w:top w:val="none" w:sz="0" w:space="0" w:color="auto"/>
        <w:left w:val="none" w:sz="0" w:space="0" w:color="auto"/>
        <w:bottom w:val="none" w:sz="0" w:space="0" w:color="auto"/>
        <w:right w:val="none" w:sz="0" w:space="0" w:color="auto"/>
      </w:divBdr>
    </w:div>
    <w:div w:id="20618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C4533-EEA4-421C-B3CD-7A93828A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16655</Words>
  <Characters>94935</Characters>
  <Application>Microsoft Office Word</Application>
  <DocSecurity>0</DocSecurity>
  <Lines>791</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Paganin</dc:creator>
  <cp:keywords/>
  <dc:description/>
  <cp:lastModifiedBy>Sarfaraz Anwar Shaikh</cp:lastModifiedBy>
  <cp:revision>3</cp:revision>
  <dcterms:created xsi:type="dcterms:W3CDTF">2023-02-15T01:42:00Z</dcterms:created>
  <dcterms:modified xsi:type="dcterms:W3CDTF">2023-03-29T11:58:00Z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http://www.zotero.org/styles/american-society-for-microbiology</vt:lpwstr>
  </property>
  <property fmtid="{D5CDD505-2E9C-101B-9397-08002B2CF9AE}" pid="6" name="Mendeley Recent Style Name 1_1">
    <vt:lpwstr>American Society for Microbiology</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http://www.zotero.org/styles/associacao-brasileira-de-normas-tecnicas</vt:lpwstr>
  </property>
  <property fmtid="{D5CDD505-2E9C-101B-9397-08002B2CF9AE}" pid="10" name="Mendeley Recent Style Name 3_1">
    <vt:lpwstr>Associação Brasileira de Normas Técnicas (Portuguese - Brazil)</vt:lpwstr>
  </property>
  <property fmtid="{D5CDD505-2E9C-101B-9397-08002B2CF9AE}" pid="11" name="Mendeley Recent Style Id 4_1">
    <vt:lpwstr>http://www.zotero.org/styles/associacao-brasileira-de-normas-tecnicas-note</vt:lpwstr>
  </property>
  <property fmtid="{D5CDD505-2E9C-101B-9397-08002B2CF9AE}" pid="12" name="Mendeley Recent Style Name 4_1">
    <vt:lpwstr>Associação Brasileira de Normas Técnicas (note, Portuguese - Brazil)</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http://www.zotero.org/styles/frontiers-in-microbiology</vt:lpwstr>
  </property>
  <property fmtid="{D5CDD505-2E9C-101B-9397-08002B2CF9AE}" pid="16" name="Mendeley Recent Style Name 6_1">
    <vt:lpwstr>Frontiers in Microbiology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http://www.zotero.org/styles/national-library-of-medicine</vt:lpwstr>
  </property>
  <property fmtid="{D5CDD505-2E9C-101B-9397-08002B2CF9AE}" pid="20" name="Mendeley Recent Style Name 8_1">
    <vt:lpwstr>National Library of Medicine</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7bb4c499-4f6e-3bea-ac5b-0b8d0655401b</vt:lpwstr>
  </property>
  <property fmtid="{D5CDD505-2E9C-101B-9397-08002B2CF9AE}" pid="24" name="Mendeley Citation Style_1">
    <vt:lpwstr>http://www.zotero.org/styles/american-society-for-microbiology</vt:lpwstr>
  </property>
</Properties>
</file>