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Georgia" w:cs="Georgia" w:eastAsia="Georgia" w:hAnsi="Georgia"/>
          <w:b w:val="1"/>
          <w:i w:val="1"/>
          <w:sz w:val="32"/>
          <w:szCs w:val="32"/>
        </w:rPr>
      </w:pPr>
      <w:r w:rsidDel="00000000" w:rsidR="00000000" w:rsidRPr="00000000">
        <w:rPr>
          <w:rFonts w:ascii="Georgia" w:cs="Georgia" w:eastAsia="Georgia" w:hAnsi="Georgia"/>
          <w:b w:val="1"/>
          <w:i w:val="1"/>
          <w:sz w:val="32"/>
          <w:szCs w:val="32"/>
          <w:rtl w:val="0"/>
        </w:rPr>
        <w:t xml:space="preserve">Supplementary Materials</w:t>
      </w:r>
    </w:p>
    <w:p w:rsidR="00000000" w:rsidDel="00000000" w:rsidP="00000000" w:rsidRDefault="00000000" w:rsidRPr="00000000" w14:paraId="00000002">
      <w:pPr>
        <w:spacing w:after="240" w:before="240" w:lineRule="auto"/>
        <w:jc w:val="center"/>
        <w:rPr>
          <w:rFonts w:ascii="Georgia" w:cs="Georgia" w:eastAsia="Georgia" w:hAnsi="Georgia"/>
          <w:b w:val="1"/>
          <w:sz w:val="32"/>
          <w:szCs w:val="32"/>
        </w:rPr>
      </w:pPr>
      <w:r w:rsidDel="00000000" w:rsidR="00000000" w:rsidRPr="00000000">
        <w:rPr>
          <w:rFonts w:ascii="Georgia" w:cs="Georgia" w:eastAsia="Georgia" w:hAnsi="Georgia"/>
          <w:b w:val="1"/>
          <w:sz w:val="32"/>
          <w:szCs w:val="32"/>
          <w:rtl w:val="0"/>
        </w:rPr>
        <w:t xml:space="preserve">Aquaculture ecosystem microbiome at the water-fish interface: the case-study of rainbow trout fed with </w:t>
      </w:r>
      <w:r w:rsidDel="00000000" w:rsidR="00000000" w:rsidRPr="00000000">
        <w:rPr>
          <w:rFonts w:ascii="Georgia" w:cs="Georgia" w:eastAsia="Georgia" w:hAnsi="Georgia"/>
          <w:b w:val="1"/>
          <w:i w:val="1"/>
          <w:sz w:val="32"/>
          <w:szCs w:val="32"/>
          <w:rtl w:val="0"/>
        </w:rPr>
        <w:t xml:space="preserve">Tenebrio molitor</w:t>
      </w:r>
      <w:r w:rsidDel="00000000" w:rsidR="00000000" w:rsidRPr="00000000">
        <w:rPr>
          <w:rFonts w:ascii="Georgia" w:cs="Georgia" w:eastAsia="Georgia" w:hAnsi="Georgia"/>
          <w:b w:val="1"/>
          <w:sz w:val="32"/>
          <w:szCs w:val="32"/>
          <w:rtl w:val="0"/>
        </w:rPr>
        <w:t xml:space="preserve"> novel feed diets</w:t>
      </w:r>
    </w:p>
    <w:p w:rsidR="00000000" w:rsidDel="00000000" w:rsidP="00000000" w:rsidRDefault="00000000" w:rsidRPr="00000000" w14:paraId="00000003">
      <w:pPr>
        <w:spacing w:after="240" w:before="240" w:lineRule="auto"/>
        <w:rPr>
          <w:rFonts w:ascii="Georgia" w:cs="Georgia" w:eastAsia="Georgia" w:hAnsi="Georgia"/>
          <w:b w:val="1"/>
          <w:sz w:val="18"/>
          <w:szCs w:val="18"/>
          <w:vertAlign w:val="superscript"/>
        </w:rPr>
      </w:pPr>
      <w:r w:rsidDel="00000000" w:rsidR="00000000" w:rsidRPr="00000000">
        <w:rPr>
          <w:rFonts w:ascii="Georgia" w:cs="Georgia" w:eastAsia="Georgia" w:hAnsi="Georgia"/>
          <w:b w:val="1"/>
          <w:sz w:val="18"/>
          <w:szCs w:val="18"/>
          <w:rtl w:val="0"/>
        </w:rPr>
        <w:t xml:space="preserve">Antonia Bruno</w:t>
      </w:r>
      <w:r w:rsidDel="00000000" w:rsidR="00000000" w:rsidRPr="00000000">
        <w:rPr>
          <w:rFonts w:ascii="Georgia" w:cs="Georgia" w:eastAsia="Georgia" w:hAnsi="Georgia"/>
          <w:b w:val="1"/>
          <w:sz w:val="18"/>
          <w:szCs w:val="18"/>
          <w:vertAlign w:val="superscript"/>
          <w:rtl w:val="0"/>
        </w:rPr>
        <w:t xml:space="preserve">1*</w:t>
      </w:r>
      <w:r w:rsidDel="00000000" w:rsidR="00000000" w:rsidRPr="00000000">
        <w:rPr>
          <w:rFonts w:ascii="Georgia" w:cs="Georgia" w:eastAsia="Georgia" w:hAnsi="Georgia"/>
          <w:b w:val="1"/>
          <w:sz w:val="18"/>
          <w:szCs w:val="18"/>
          <w:rtl w:val="0"/>
        </w:rPr>
        <w:t xml:space="preserve">, Anna Sandionigi</w:t>
      </w:r>
      <w:r w:rsidDel="00000000" w:rsidR="00000000" w:rsidRPr="00000000">
        <w:rPr>
          <w:rFonts w:ascii="Georgia" w:cs="Georgia" w:eastAsia="Georgia" w:hAnsi="Georgia"/>
          <w:b w:val="1"/>
          <w:sz w:val="18"/>
          <w:szCs w:val="18"/>
          <w:vertAlign w:val="superscript"/>
          <w:rtl w:val="0"/>
        </w:rPr>
        <w:t xml:space="preserve">2</w:t>
      </w:r>
      <w:r w:rsidDel="00000000" w:rsidR="00000000" w:rsidRPr="00000000">
        <w:rPr>
          <w:rFonts w:ascii="Georgia" w:cs="Georgia" w:eastAsia="Georgia" w:hAnsi="Georgia"/>
          <w:b w:val="1"/>
          <w:sz w:val="18"/>
          <w:szCs w:val="18"/>
          <w:rtl w:val="0"/>
        </w:rPr>
        <w:t xml:space="preserve">, Antonella Panio</w:t>
      </w:r>
      <w:r w:rsidDel="00000000" w:rsidR="00000000" w:rsidRPr="00000000">
        <w:rPr>
          <w:rFonts w:ascii="Georgia" w:cs="Georgia" w:eastAsia="Georgia" w:hAnsi="Georgia"/>
          <w:b w:val="1"/>
          <w:sz w:val="18"/>
          <w:szCs w:val="18"/>
          <w:vertAlign w:val="superscript"/>
          <w:rtl w:val="0"/>
        </w:rPr>
        <w:t xml:space="preserve">3</w:t>
      </w:r>
      <w:r w:rsidDel="00000000" w:rsidR="00000000" w:rsidRPr="00000000">
        <w:rPr>
          <w:rFonts w:ascii="Georgia" w:cs="Georgia" w:eastAsia="Georgia" w:hAnsi="Georgia"/>
          <w:b w:val="1"/>
          <w:sz w:val="18"/>
          <w:szCs w:val="18"/>
          <w:rtl w:val="0"/>
        </w:rPr>
        <w:t xml:space="preserve">, Simona Rimoldi</w:t>
      </w:r>
      <w:r w:rsidDel="00000000" w:rsidR="00000000" w:rsidRPr="00000000">
        <w:rPr>
          <w:rFonts w:ascii="Georgia" w:cs="Georgia" w:eastAsia="Georgia" w:hAnsi="Georgia"/>
          <w:b w:val="1"/>
          <w:sz w:val="18"/>
          <w:szCs w:val="18"/>
          <w:vertAlign w:val="superscript"/>
          <w:rtl w:val="0"/>
        </w:rPr>
        <w:t xml:space="preserve">4</w:t>
      </w:r>
      <w:r w:rsidDel="00000000" w:rsidR="00000000" w:rsidRPr="00000000">
        <w:rPr>
          <w:rFonts w:ascii="Georgia" w:cs="Georgia" w:eastAsia="Georgia" w:hAnsi="Georgia"/>
          <w:b w:val="1"/>
          <w:sz w:val="18"/>
          <w:szCs w:val="18"/>
          <w:rtl w:val="0"/>
        </w:rPr>
        <w:t xml:space="preserve">, Flavio Orizio</w:t>
      </w:r>
      <w:r w:rsidDel="00000000" w:rsidR="00000000" w:rsidRPr="00000000">
        <w:rPr>
          <w:rFonts w:ascii="Georgia" w:cs="Georgia" w:eastAsia="Georgia" w:hAnsi="Georgia"/>
          <w:b w:val="1"/>
          <w:sz w:val="18"/>
          <w:szCs w:val="18"/>
          <w:vertAlign w:val="superscript"/>
          <w:rtl w:val="0"/>
        </w:rPr>
        <w:t xml:space="preserve">1</w:t>
      </w:r>
      <w:r w:rsidDel="00000000" w:rsidR="00000000" w:rsidRPr="00000000">
        <w:rPr>
          <w:rFonts w:ascii="Georgia" w:cs="Georgia" w:eastAsia="Georgia" w:hAnsi="Georgia"/>
          <w:b w:val="1"/>
          <w:sz w:val="18"/>
          <w:szCs w:val="18"/>
          <w:rtl w:val="0"/>
        </w:rPr>
        <w:t xml:space="preserve">, Giulia Agostinetto</w:t>
      </w:r>
      <w:r w:rsidDel="00000000" w:rsidR="00000000" w:rsidRPr="00000000">
        <w:rPr>
          <w:rFonts w:ascii="Georgia" w:cs="Georgia" w:eastAsia="Georgia" w:hAnsi="Georgia"/>
          <w:b w:val="1"/>
          <w:sz w:val="18"/>
          <w:szCs w:val="18"/>
          <w:vertAlign w:val="superscript"/>
          <w:rtl w:val="0"/>
        </w:rPr>
        <w:t xml:space="preserve">1</w:t>
      </w:r>
      <w:r w:rsidDel="00000000" w:rsidR="00000000" w:rsidRPr="00000000">
        <w:rPr>
          <w:rFonts w:ascii="Georgia" w:cs="Georgia" w:eastAsia="Georgia" w:hAnsi="Georgia"/>
          <w:b w:val="1"/>
          <w:sz w:val="18"/>
          <w:szCs w:val="18"/>
          <w:rtl w:val="0"/>
        </w:rPr>
        <w:t xml:space="preserve">, Imam Hasan</w:t>
      </w:r>
      <w:r w:rsidDel="00000000" w:rsidR="00000000" w:rsidRPr="00000000">
        <w:rPr>
          <w:rFonts w:ascii="Georgia" w:cs="Georgia" w:eastAsia="Georgia" w:hAnsi="Georgia"/>
          <w:b w:val="1"/>
          <w:sz w:val="18"/>
          <w:szCs w:val="18"/>
          <w:vertAlign w:val="superscript"/>
          <w:rtl w:val="0"/>
        </w:rPr>
        <w:t xml:space="preserve">4</w:t>
      </w:r>
      <w:r w:rsidDel="00000000" w:rsidR="00000000" w:rsidRPr="00000000">
        <w:rPr>
          <w:rFonts w:ascii="Georgia" w:cs="Georgia" w:eastAsia="Georgia" w:hAnsi="Georgia"/>
          <w:b w:val="1"/>
          <w:sz w:val="18"/>
          <w:szCs w:val="18"/>
          <w:rtl w:val="0"/>
        </w:rPr>
        <w:t xml:space="preserve">, Laura Gasco</w:t>
      </w:r>
      <w:r w:rsidDel="00000000" w:rsidR="00000000" w:rsidRPr="00000000">
        <w:rPr>
          <w:rFonts w:ascii="Georgia" w:cs="Georgia" w:eastAsia="Georgia" w:hAnsi="Georgia"/>
          <w:b w:val="1"/>
          <w:sz w:val="18"/>
          <w:szCs w:val="18"/>
          <w:vertAlign w:val="superscript"/>
          <w:rtl w:val="0"/>
        </w:rPr>
        <w:t xml:space="preserve">5</w:t>
      </w:r>
      <w:r w:rsidDel="00000000" w:rsidR="00000000" w:rsidRPr="00000000">
        <w:rPr>
          <w:rFonts w:ascii="Georgia" w:cs="Georgia" w:eastAsia="Georgia" w:hAnsi="Georgia"/>
          <w:b w:val="1"/>
          <w:sz w:val="18"/>
          <w:szCs w:val="18"/>
          <w:rtl w:val="0"/>
        </w:rPr>
        <w:t xml:space="preserve">, Genciana Terova</w:t>
      </w:r>
      <w:r w:rsidDel="00000000" w:rsidR="00000000" w:rsidRPr="00000000">
        <w:rPr>
          <w:rFonts w:ascii="Georgia" w:cs="Georgia" w:eastAsia="Georgia" w:hAnsi="Georgia"/>
          <w:b w:val="1"/>
          <w:sz w:val="18"/>
          <w:szCs w:val="18"/>
          <w:vertAlign w:val="superscript"/>
          <w:rtl w:val="0"/>
        </w:rPr>
        <w:t xml:space="preserve">4</w:t>
      </w:r>
      <w:r w:rsidDel="00000000" w:rsidR="00000000" w:rsidRPr="00000000">
        <w:rPr>
          <w:rFonts w:ascii="Georgia" w:cs="Georgia" w:eastAsia="Georgia" w:hAnsi="Georgia"/>
          <w:b w:val="1"/>
          <w:sz w:val="18"/>
          <w:szCs w:val="18"/>
          <w:rtl w:val="0"/>
        </w:rPr>
        <w:t xml:space="preserve"> </w:t>
      </w:r>
      <w:r w:rsidDel="00000000" w:rsidR="00000000" w:rsidRPr="00000000">
        <w:rPr>
          <w:rFonts w:ascii="Georgia" w:cs="Georgia" w:eastAsia="Georgia" w:hAnsi="Georgia"/>
          <w:b w:val="1"/>
          <w:sz w:val="18"/>
          <w:szCs w:val="18"/>
          <w:vertAlign w:val="superscript"/>
          <w:rtl w:val="0"/>
        </w:rPr>
        <w:t xml:space="preserve">†</w:t>
      </w:r>
      <w:r w:rsidDel="00000000" w:rsidR="00000000" w:rsidRPr="00000000">
        <w:rPr>
          <w:rFonts w:ascii="Georgia" w:cs="Georgia" w:eastAsia="Georgia" w:hAnsi="Georgia"/>
          <w:b w:val="1"/>
          <w:sz w:val="18"/>
          <w:szCs w:val="18"/>
          <w:rtl w:val="0"/>
        </w:rPr>
        <w:t xml:space="preserve">, Massimo Labra</w:t>
      </w:r>
      <w:r w:rsidDel="00000000" w:rsidR="00000000" w:rsidRPr="00000000">
        <w:rPr>
          <w:rFonts w:ascii="Georgia" w:cs="Georgia" w:eastAsia="Georgia" w:hAnsi="Georgia"/>
          <w:b w:val="1"/>
          <w:sz w:val="18"/>
          <w:szCs w:val="18"/>
          <w:vertAlign w:val="superscript"/>
          <w:rtl w:val="0"/>
        </w:rPr>
        <w:t xml:space="preserve">1†</w:t>
      </w:r>
    </w:p>
    <w:p w:rsidR="00000000" w:rsidDel="00000000" w:rsidP="00000000" w:rsidRDefault="00000000" w:rsidRPr="00000000" w14:paraId="00000004">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5">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spacing w:line="276" w:lineRule="auto"/>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Supplementary Table S01. </w:t>
      </w:r>
      <w:r w:rsidDel="00000000" w:rsidR="00000000" w:rsidRPr="00000000">
        <w:rPr>
          <w:rFonts w:ascii="Georgia" w:cs="Georgia" w:eastAsia="Georgia" w:hAnsi="Georgia"/>
          <w:sz w:val="24"/>
          <w:szCs w:val="24"/>
          <w:rtl w:val="0"/>
        </w:rPr>
        <w:t xml:space="preserve">Ingredients (% as fed) of the experimental diets.</w:t>
      </w:r>
      <w:r w:rsidDel="00000000" w:rsidR="00000000" w:rsidRPr="00000000">
        <w:rPr>
          <w:rtl w:val="0"/>
        </w:rPr>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87.675093244924"/>
        <w:gridCol w:w="1484.4591794446749"/>
        <w:gridCol w:w="1484.4591794446749"/>
        <w:gridCol w:w="1484.4591794446749"/>
        <w:gridCol w:w="1484.4591794446749"/>
        <w:tblGridChange w:id="0">
          <w:tblGrid>
            <w:gridCol w:w="3087.675093244924"/>
            <w:gridCol w:w="1484.4591794446749"/>
            <w:gridCol w:w="1484.4591794446749"/>
            <w:gridCol w:w="1484.4591794446749"/>
            <w:gridCol w:w="1484.4591794446749"/>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Ingredient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spacing w:line="276" w:lineRule="auto"/>
              <w:jc w:val="right"/>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spacing w:line="276" w:lineRule="auto"/>
              <w:jc w:val="right"/>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spacing w:line="276" w:lineRule="auto"/>
              <w:jc w:val="right"/>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spacing w:line="276" w:lineRule="auto"/>
              <w:jc w:val="right"/>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D</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Fishmeal 65 (Peruvian)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3">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w:t>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Tenebrio molitor larvae meal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Soy protein concentrate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Wheat gluten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7.06</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Corn gluten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Soybean meal 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Wheat meal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14.23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14.23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13.8</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Sardine oil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Soybean oil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Rapeseed oil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Soy lecithin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0.5</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Vit-Min Premix</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Antioxidant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Sodium propionate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Monocalcium phosphate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0.92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0.92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1.72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L-Arginine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L-Lysine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0.6</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L-Tryptophan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DL-methionine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0.15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Celite®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line="276"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w:t>
            </w:r>
          </w:p>
        </w:tc>
      </w:tr>
    </w:tbl>
    <w:p w:rsidR="00000000" w:rsidDel="00000000" w:rsidP="00000000" w:rsidRDefault="00000000" w:rsidRPr="00000000" w14:paraId="00000073">
      <w:pPr>
        <w:spacing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4">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5">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6">
      <w:pPr>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Supplementary Data S01. </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b w:val="1"/>
          <w:i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i w:val="0"/>
          <w:smallCaps w:val="0"/>
          <w:strike w:val="0"/>
          <w:color w:val="000000"/>
          <w:sz w:val="24"/>
          <w:szCs w:val="24"/>
          <w:u w:val="none"/>
          <w:shd w:fill="auto" w:val="clear"/>
          <w:vertAlign w:val="baseline"/>
          <w:rtl w:val="0"/>
        </w:rPr>
        <w:t xml:space="preserve">Bacterial load of water samples: 16S rDNA quantification</w:t>
      </w:r>
    </w:p>
    <w:p w:rsidR="00000000" w:rsidDel="00000000" w:rsidP="00000000" w:rsidRDefault="00000000" w:rsidRPr="00000000" w14:paraId="00000078">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Bacterial DNA copies are reported in Fig. S01 and Table S02. Melting temperatures (Tm) measured after the dissociation stage varied from 83.8–85.9°C. </w:t>
      </w:r>
    </w:p>
    <w:p w:rsidR="00000000" w:rsidDel="00000000" w:rsidP="00000000" w:rsidRDefault="00000000" w:rsidRPr="00000000" w14:paraId="00000079">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Statistical analysis revealed the low impact of filter type used (P = 0.731) on bacterial load and, for this reason, the subsequent analyses were carried out considering only the samples filtered with 0.2 µm filters. qPCR assay showed that a higher quantity of DNA was detected in water samples belonging to the third sampling date. Statistical analyses confirmed the hypothesis that the difference between the third and second and between the third and the first sampling date was significant (P &lt; 0.001). Moreover, no significant difference was measured comparing inlet water bacterial load of the three sampling dates. Inlet water showed lower 16S DNA counts than tank water. Analysing the differences considering the quantity of bacterial DNA of water belonging to tanks where different feeding formulations were administered, no effect was detected (P = 0.316). As regards water biofilm samples, obtained during the third sampling campaign, the same result was observed (P = 0.204).</w:t>
      </w:r>
    </w:p>
    <w:p w:rsidR="00000000" w:rsidDel="00000000" w:rsidP="00000000" w:rsidRDefault="00000000" w:rsidRPr="00000000" w14:paraId="0000007A">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b w:val="1"/>
          <w:i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i w:val="0"/>
          <w:smallCaps w:val="0"/>
          <w:strike w:val="0"/>
          <w:color w:val="000000"/>
          <w:sz w:val="24"/>
          <w:szCs w:val="24"/>
          <w:u w:val="none"/>
          <w:shd w:fill="auto" w:val="clear"/>
          <w:vertAlign w:val="baseline"/>
          <w:rtl w:val="0"/>
        </w:rPr>
        <w:t xml:space="preserve">Bacterial load of water samples: CFUs enumeration</w:t>
      </w:r>
    </w:p>
    <w:p w:rsidR="00000000" w:rsidDel="00000000" w:rsidP="00000000" w:rsidRDefault="00000000" w:rsidRPr="00000000" w14:paraId="0000007C">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CFU/mL of water samples are reported in Fig. S02 and Table S03. </w:t>
      </w:r>
      <w:r w:rsidDel="00000000" w:rsidR="00000000" w:rsidRPr="00000000">
        <w:rPr>
          <w:rFonts w:ascii="Georgia" w:cs="Georgia" w:eastAsia="Georgia" w:hAnsi="Georgia"/>
          <w:sz w:val="24"/>
          <w:szCs w:val="24"/>
          <w:rtl w:val="0"/>
        </w:rPr>
        <w:t xml:space="preserve">Considering CFUs enumeration according to D. Lgs. n. 31 of 2 February 2001 at both 22 and 37 °C, inlet water samples showed a significantly lower number of CFUs (P &lt;0.001), despite the sampling date. </w:t>
      </w:r>
    </w:p>
    <w:p w:rsidR="00000000" w:rsidDel="00000000" w:rsidP="00000000" w:rsidRDefault="00000000" w:rsidRPr="00000000" w14:paraId="0000007D">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Considering CFUs enumeration after seven days of incubation, we confirmed the significant difference between inlet water bacterial load and water tanks bacterial load, for both 22 °C and 37 °C growth temperatures (P &lt;0.001). We observed that a significant difference existed between control tanks (A, no insect feeding) and the tanks of maximum substitution (D, 100% insect meal), for growth temperature = 22 °C (P &lt; 0.001).</w:t>
      </w:r>
    </w:p>
    <w:p w:rsidR="00000000" w:rsidDel="00000000" w:rsidP="00000000" w:rsidRDefault="00000000" w:rsidRPr="00000000" w14:paraId="0000007E">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Statistical analyses also revealed that there was no significant difference in CFUs enumeration data considering sampling date (P = 0.22).</w:t>
      </w:r>
    </w:p>
    <w:p w:rsidR="00000000" w:rsidDel="00000000" w:rsidP="00000000" w:rsidRDefault="00000000" w:rsidRPr="00000000" w14:paraId="0000007F">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0">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1">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Representative colonies (each morphotype represented by at least 1 CFU for each petri) were selected for isolation and purification. 50 isolates were characterised by 16S rRNA gene sequencing. Briefly, crude cell lysate was obtained from each bacterial isolate. Amplicons of the genes 16S rRNA were obtained with the primers 27F/1492R and Wonder Taq Thermostable DNA polymerase© (EuroClone S.p.A.) kit. The reaction mix was composed as follows: 0.25 µl of Wonder Taq, 4 µl of Wonder Taq Reaction Buffer, 0.2 µl each primer [100 µM], 2 µl of DNA sample and Milli-Q water to reach the volume of 20 µl. </w:t>
      </w:r>
    </w:p>
    <w:p w:rsidR="00000000" w:rsidDel="00000000" w:rsidP="00000000" w:rsidRDefault="00000000" w:rsidRPr="00000000" w14:paraId="00000082">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Amplicons were purified from agarose using EuroGOLD Gel Extraction Kit © (EuroClone S.p.A.) following manufacturer’s protocol. </w:t>
      </w:r>
    </w:p>
    <w:p w:rsidR="00000000" w:rsidDel="00000000" w:rsidP="00000000" w:rsidRDefault="00000000" w:rsidRPr="00000000" w14:paraId="00000083">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Products were submitted for sequencing to Eurofins Genomics (https://www.eurofinsgenomics.eu/). </w:t>
      </w:r>
    </w:p>
    <w:p w:rsidR="00000000" w:rsidDel="00000000" w:rsidP="00000000" w:rsidRDefault="00000000" w:rsidRPr="00000000" w14:paraId="00000084">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DNA strands were bidirectionally sequenced. All obtained sequences were edited with UniPro UGENE (Okonechnikov et al., 2012), aligned, and used as a query to verify samples identity in Silva SSU 138 Database  (</w:t>
      </w:r>
      <w:hyperlink r:id="rId7">
        <w:r w:rsidDel="00000000" w:rsidR="00000000" w:rsidRPr="00000000">
          <w:rPr>
            <w:rFonts w:ascii="Georgia" w:cs="Georgia" w:eastAsia="Georgia" w:hAnsi="Georgia"/>
            <w:color w:val="1155cc"/>
            <w:sz w:val="24"/>
            <w:szCs w:val="24"/>
            <w:u w:val="single"/>
            <w:rtl w:val="0"/>
          </w:rPr>
          <w:t xml:space="preserve">https://www.arb-silva.de/</w:t>
        </w:r>
      </w:hyperlink>
      <w:r w:rsidDel="00000000" w:rsidR="00000000" w:rsidRPr="00000000">
        <w:rPr>
          <w:rFonts w:ascii="Georgia" w:cs="Georgia" w:eastAsia="Georgia" w:hAnsi="Georgia"/>
          <w:sz w:val="24"/>
          <w:szCs w:val="24"/>
          <w:rtl w:val="0"/>
        </w:rPr>
        <w:t xml:space="preserve">).</w:t>
      </w:r>
    </w:p>
    <w:p w:rsidR="00000000" w:rsidDel="00000000" w:rsidP="00000000" w:rsidRDefault="00000000" w:rsidRPr="00000000" w14:paraId="00000085">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Environmental bacteria identification through full-length 16S rDNA Sanger sequencing revealed the presence of ten different genera (</w:t>
      </w:r>
      <w:r w:rsidDel="00000000" w:rsidR="00000000" w:rsidRPr="00000000">
        <w:rPr>
          <w:rFonts w:ascii="Georgia" w:cs="Georgia" w:eastAsia="Georgia" w:hAnsi="Georgia"/>
          <w:i w:val="1"/>
          <w:sz w:val="24"/>
          <w:szCs w:val="24"/>
          <w:rtl w:val="0"/>
        </w:rPr>
        <w:t xml:space="preserve">Acinetobacter, Aeromonas, Bacillus, Chryseobacterium, Duganella, Enterococcus, Flavobacterium, Pseudomonas, Rhodococcus, Vogesella</w:t>
      </w:r>
      <w:r w:rsidDel="00000000" w:rsidR="00000000" w:rsidRPr="00000000">
        <w:rPr>
          <w:rFonts w:ascii="Georgia" w:cs="Georgia" w:eastAsia="Georgia" w:hAnsi="Georgia"/>
          <w:sz w:val="24"/>
          <w:szCs w:val="24"/>
          <w:rtl w:val="0"/>
        </w:rPr>
        <w:t xml:space="preserve">), nine families (</w:t>
      </w:r>
      <w:r w:rsidDel="00000000" w:rsidR="00000000" w:rsidRPr="00000000">
        <w:rPr>
          <w:rFonts w:ascii="Georgia" w:cs="Georgia" w:eastAsia="Georgia" w:hAnsi="Georgia"/>
          <w:i w:val="1"/>
          <w:sz w:val="24"/>
          <w:szCs w:val="24"/>
          <w:rtl w:val="0"/>
        </w:rPr>
        <w:t xml:space="preserve">Enterococcaceae, Moraxellaceae, Flavobacteriaceae, Aeromonadaceae, Bacillaceae, Pseudomonadaceae, Nocardiaceae, Neisseriaceae, Oxalobacteraceae</w:t>
      </w:r>
      <w:r w:rsidDel="00000000" w:rsidR="00000000" w:rsidRPr="00000000">
        <w:rPr>
          <w:rFonts w:ascii="Georgia" w:cs="Georgia" w:eastAsia="Georgia" w:hAnsi="Georgia"/>
          <w:sz w:val="24"/>
          <w:szCs w:val="24"/>
          <w:rtl w:val="0"/>
        </w:rPr>
        <w:t xml:space="preserve">), eight orders (</w:t>
      </w:r>
      <w:r w:rsidDel="00000000" w:rsidR="00000000" w:rsidRPr="00000000">
        <w:rPr>
          <w:rFonts w:ascii="Georgia" w:cs="Georgia" w:eastAsia="Georgia" w:hAnsi="Georgia"/>
          <w:i w:val="1"/>
          <w:sz w:val="24"/>
          <w:szCs w:val="24"/>
          <w:rtl w:val="0"/>
        </w:rPr>
        <w:t xml:space="preserve">Lactobacillales, Pseudomonadales, Flavobacteriales, Aeromonadales, Bacillales, Actinomycetales, Neisseriales, Burkholderiales</w:t>
      </w:r>
      <w:r w:rsidDel="00000000" w:rsidR="00000000" w:rsidRPr="00000000">
        <w:rPr>
          <w:rFonts w:ascii="Georgia" w:cs="Georgia" w:eastAsia="Georgia" w:hAnsi="Georgia"/>
          <w:sz w:val="24"/>
          <w:szCs w:val="24"/>
          <w:rtl w:val="0"/>
        </w:rPr>
        <w:t xml:space="preserve">), five classes (</w:t>
      </w:r>
      <w:r w:rsidDel="00000000" w:rsidR="00000000" w:rsidRPr="00000000">
        <w:rPr>
          <w:rFonts w:ascii="Georgia" w:cs="Georgia" w:eastAsia="Georgia" w:hAnsi="Georgia"/>
          <w:i w:val="1"/>
          <w:sz w:val="24"/>
          <w:szCs w:val="24"/>
          <w:rtl w:val="0"/>
        </w:rPr>
        <w:t xml:space="preserve">Bacilli, Gammaproteobacteria, Flavobacteria, Actinobacteria, Betaproteobacteria</w:t>
      </w:r>
      <w:r w:rsidDel="00000000" w:rsidR="00000000" w:rsidRPr="00000000">
        <w:rPr>
          <w:rFonts w:ascii="Georgia" w:cs="Georgia" w:eastAsia="Georgia" w:hAnsi="Georgia"/>
          <w:sz w:val="24"/>
          <w:szCs w:val="24"/>
          <w:rtl w:val="0"/>
        </w:rPr>
        <w:t xml:space="preserve">), and three phyla (</w:t>
      </w:r>
      <w:r w:rsidDel="00000000" w:rsidR="00000000" w:rsidRPr="00000000">
        <w:rPr>
          <w:rFonts w:ascii="Georgia" w:cs="Georgia" w:eastAsia="Georgia" w:hAnsi="Georgia"/>
          <w:i w:val="1"/>
          <w:sz w:val="24"/>
          <w:szCs w:val="24"/>
          <w:rtl w:val="0"/>
        </w:rPr>
        <w:t xml:space="preserve">Proteobacteria, Firmicutes, Actinobacteria</w:t>
      </w:r>
      <w:r w:rsidDel="00000000" w:rsidR="00000000" w:rsidRPr="00000000">
        <w:rPr>
          <w:rFonts w:ascii="Georgia" w:cs="Georgia" w:eastAsia="Georgia" w:hAnsi="Georgia"/>
          <w:sz w:val="24"/>
          <w:szCs w:val="24"/>
          <w:rtl w:val="0"/>
        </w:rPr>
        <w:t xml:space="preserve">).</w:t>
      </w:r>
    </w:p>
    <w:p w:rsidR="00000000" w:rsidDel="00000000" w:rsidP="00000000" w:rsidRDefault="00000000" w:rsidRPr="00000000" w14:paraId="00000086">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Bacteria assigned to the genus </w:t>
      </w:r>
      <w:r w:rsidDel="00000000" w:rsidR="00000000" w:rsidRPr="00000000">
        <w:rPr>
          <w:rFonts w:ascii="Georgia" w:cs="Georgia" w:eastAsia="Georgia" w:hAnsi="Georgia"/>
          <w:i w:val="1"/>
          <w:sz w:val="24"/>
          <w:szCs w:val="24"/>
          <w:rtl w:val="0"/>
        </w:rPr>
        <w:t xml:space="preserve">Aeromonas</w:t>
      </w:r>
      <w:r w:rsidDel="00000000" w:rsidR="00000000" w:rsidRPr="00000000">
        <w:rPr>
          <w:rFonts w:ascii="Georgia" w:cs="Georgia" w:eastAsia="Georgia" w:hAnsi="Georgia"/>
          <w:sz w:val="24"/>
          <w:szCs w:val="24"/>
          <w:rtl w:val="0"/>
        </w:rPr>
        <w:t xml:space="preserve"> were the most abundant and spread, considering the whole sampling campaign.</w:t>
      </w:r>
    </w:p>
    <w:p w:rsidR="00000000" w:rsidDel="00000000" w:rsidP="00000000" w:rsidRDefault="00000000" w:rsidRPr="00000000" w14:paraId="00000087">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8">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9">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A">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B">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C">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D">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E">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8F">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0">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1">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2">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3">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4">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5">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6">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7">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8">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099">
      <w:pPr>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Fig. S01. 16S rDNA quantification of tank biofilm and water samples. </w:t>
      </w:r>
      <w:r w:rsidDel="00000000" w:rsidR="00000000" w:rsidRPr="00000000">
        <w:rPr>
          <w:rFonts w:ascii="Georgia" w:cs="Georgia" w:eastAsia="Georgia" w:hAnsi="Georgia"/>
          <w:sz w:val="24"/>
          <w:szCs w:val="24"/>
          <w:rtl w:val="0"/>
        </w:rPr>
        <w:t xml:space="preserve">Values are expressed as log</w:t>
      </w:r>
      <w:r w:rsidDel="00000000" w:rsidR="00000000" w:rsidRPr="00000000">
        <w:rPr>
          <w:rFonts w:ascii="Georgia" w:cs="Georgia" w:eastAsia="Georgia" w:hAnsi="Georgia"/>
          <w:sz w:val="24"/>
          <w:szCs w:val="24"/>
          <w:vertAlign w:val="subscript"/>
          <w:rtl w:val="0"/>
        </w:rPr>
        <w:t xml:space="preserve">2</w:t>
      </w:r>
      <w:r w:rsidDel="00000000" w:rsidR="00000000" w:rsidRPr="00000000">
        <w:rPr>
          <w:rFonts w:ascii="Georgia" w:cs="Georgia" w:eastAsia="Georgia" w:hAnsi="Georgia"/>
          <w:sz w:val="24"/>
          <w:szCs w:val="24"/>
          <w:rtl w:val="0"/>
        </w:rPr>
        <w:t xml:space="preserve">(DNA counts) considering sample type (different feeding formulations and inlet water) and sampling date.</w:t>
      </w:r>
    </w:p>
    <w:p w:rsidR="00000000" w:rsidDel="00000000" w:rsidP="00000000" w:rsidRDefault="00000000" w:rsidRPr="00000000" w14:paraId="0000009A">
      <w:pPr>
        <w:jc w:val="both"/>
        <w:rPr>
          <w:rFonts w:ascii="Georgia" w:cs="Georgia" w:eastAsia="Georgia" w:hAnsi="Georgia"/>
          <w:sz w:val="24"/>
          <w:szCs w:val="24"/>
        </w:rPr>
      </w:pPr>
      <w:r w:rsidDel="00000000" w:rsidR="00000000" w:rsidRPr="00000000">
        <w:rPr>
          <w:rFonts w:ascii="Georgia" w:cs="Georgia" w:eastAsia="Georgia" w:hAnsi="Georgia"/>
          <w:sz w:val="24"/>
          <w:szCs w:val="24"/>
        </w:rPr>
        <w:drawing>
          <wp:inline distB="114300" distT="114300" distL="114300" distR="114300">
            <wp:extent cx="4295512" cy="5674805"/>
            <wp:effectExtent b="0" l="0" r="0" t="0"/>
            <wp:docPr id="2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4295512" cy="567480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D">
      <w:pPr>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Supplementary Table S02. 16S rDNA quantification of tank biofilm and water samples. </w:t>
      </w:r>
      <w:r w:rsidDel="00000000" w:rsidR="00000000" w:rsidRPr="00000000">
        <w:rPr>
          <w:rFonts w:ascii="Georgia" w:cs="Georgia" w:eastAsia="Georgia" w:hAnsi="Georgia"/>
          <w:sz w:val="24"/>
          <w:szCs w:val="24"/>
          <w:rtl w:val="0"/>
        </w:rPr>
        <w:t xml:space="preserve">Values are expressed as log</w:t>
      </w:r>
      <w:r w:rsidDel="00000000" w:rsidR="00000000" w:rsidRPr="00000000">
        <w:rPr>
          <w:rFonts w:ascii="Georgia" w:cs="Georgia" w:eastAsia="Georgia" w:hAnsi="Georgia"/>
          <w:sz w:val="24"/>
          <w:szCs w:val="24"/>
          <w:vertAlign w:val="subscript"/>
          <w:rtl w:val="0"/>
        </w:rPr>
        <w:t xml:space="preserve">2</w:t>
      </w:r>
      <w:r w:rsidDel="00000000" w:rsidR="00000000" w:rsidRPr="00000000">
        <w:rPr>
          <w:rFonts w:ascii="Georgia" w:cs="Georgia" w:eastAsia="Georgia" w:hAnsi="Georgia"/>
          <w:sz w:val="24"/>
          <w:szCs w:val="24"/>
          <w:rtl w:val="0"/>
        </w:rPr>
        <w:t xml:space="preserve">(DNA counts) considering sample type (different feeding formulations and inlet water) and sampling date.</w:t>
      </w:r>
      <w:r w:rsidDel="00000000" w:rsidR="00000000" w:rsidRPr="00000000">
        <w:rPr>
          <w:rtl w:val="0"/>
        </w:rPr>
      </w:r>
    </w:p>
    <w:tbl>
      <w:tblPr>
        <w:tblStyle w:val="Table2"/>
        <w:tblW w:w="79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95"/>
        <w:gridCol w:w="1995"/>
        <w:gridCol w:w="1995"/>
        <w:gridCol w:w="1995"/>
        <w:tblGridChange w:id="0">
          <w:tblGrid>
            <w:gridCol w:w="1995"/>
            <w:gridCol w:w="1995"/>
            <w:gridCol w:w="1995"/>
            <w:gridCol w:w="1995"/>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Sample type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Sample source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Sampling date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log2DNAcounts</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24.41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20.95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23.96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18.87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23.74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23.63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18.52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9.74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17.86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18.44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18.45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21.9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21.85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21.21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20.28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21.35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20.96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20.62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20.73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22.56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22.64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22.43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19.51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19.98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19.85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25.38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25.34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24.46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24.46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24.41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25.45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25.47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25.47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23.98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23.67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23.74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20.44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20.39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water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20.46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24.96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24.57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24.62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24.23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24.69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24.32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24.83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24.81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24.94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25.62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25.32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25.44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25.87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25.35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24.97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25.25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25.29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24.56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24.64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25.17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24.96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24.35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24.55</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24.39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12.76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23.94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24.97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24.32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24.77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24.21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22.93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22.71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23.79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23.88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23.93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23.47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tank_biofilm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2018_09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23.55</w:t>
            </w:r>
          </w:p>
        </w:tc>
      </w:tr>
    </w:tbl>
    <w:p w:rsidR="00000000" w:rsidDel="00000000" w:rsidP="00000000" w:rsidRDefault="00000000" w:rsidRPr="00000000" w14:paraId="000001F2">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1F3">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1F4">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1F5">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1F6">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1F7">
      <w:pPr>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Fig. S02. CFUs enumeration of water samples.</w:t>
      </w:r>
      <w:r w:rsidDel="00000000" w:rsidR="00000000" w:rsidRPr="00000000">
        <w:rPr>
          <w:rFonts w:ascii="Georgia" w:cs="Georgia" w:eastAsia="Georgia" w:hAnsi="Georgia"/>
          <w:sz w:val="24"/>
          <w:szCs w:val="24"/>
          <w:rtl w:val="0"/>
        </w:rPr>
        <w:t xml:space="preserve"> After 7 days of incubation at 22 and 37 °C, considering sample type (different feeding formulations and inlet water) and sampling date. Values are expressed as CFU/mL. </w:t>
      </w:r>
    </w:p>
    <w:p w:rsidR="00000000" w:rsidDel="00000000" w:rsidP="00000000" w:rsidRDefault="00000000" w:rsidRPr="00000000" w14:paraId="000001F8">
      <w:pPr>
        <w:jc w:val="both"/>
        <w:rPr>
          <w:rFonts w:ascii="Georgia" w:cs="Georgia" w:eastAsia="Georgia" w:hAnsi="Georgia"/>
          <w:sz w:val="24"/>
          <w:szCs w:val="24"/>
        </w:rPr>
      </w:pPr>
      <w:r w:rsidDel="00000000" w:rsidR="00000000" w:rsidRPr="00000000">
        <w:rPr>
          <w:rFonts w:ascii="Georgia" w:cs="Georgia" w:eastAsia="Georgia" w:hAnsi="Georgia"/>
          <w:sz w:val="24"/>
          <w:szCs w:val="24"/>
        </w:rPr>
        <w:drawing>
          <wp:inline distB="114300" distT="114300" distL="114300" distR="114300">
            <wp:extent cx="4312882" cy="5668076"/>
            <wp:effectExtent b="0" l="0" r="0" t="0"/>
            <wp:docPr id="28"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4312882" cy="5668076"/>
                    </a:xfrm>
                    <a:prstGeom prst="rect"/>
                    <a:ln/>
                  </pic:spPr>
                </pic:pic>
              </a:graphicData>
            </a:graphic>
          </wp:inline>
        </w:drawing>
      </w:r>
      <w:r w:rsidDel="00000000" w:rsidR="00000000" w:rsidRPr="00000000">
        <w:rPr>
          <w:rtl w:val="0"/>
        </w:rPr>
      </w:r>
    </w:p>
    <w:p w:rsidR="00000000" w:rsidDel="00000000" w:rsidP="00000000" w:rsidRDefault="00000000" w:rsidRPr="00000000" w14:paraId="000001F9">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FA">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FB">
      <w:pPr>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Supplementary Table S03. CFUs enumeration of water samples.</w:t>
      </w:r>
      <w:r w:rsidDel="00000000" w:rsidR="00000000" w:rsidRPr="00000000">
        <w:rPr>
          <w:rFonts w:ascii="Georgia" w:cs="Georgia" w:eastAsia="Georgia" w:hAnsi="Georgia"/>
          <w:sz w:val="24"/>
          <w:szCs w:val="24"/>
          <w:rtl w:val="0"/>
        </w:rPr>
        <w:t xml:space="preserve"> After 7 days of incubation at 22 and 37 °C, considering sample type (different feeding formulations and inlet water) and sampling date. Values are expressed as CFU/mL and as the average of triplicate measurements. </w:t>
      </w:r>
    </w:p>
    <w:tbl>
      <w:tblPr>
        <w:tblStyle w:val="Table3"/>
        <w:tblW w:w="89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38.75"/>
        <w:gridCol w:w="2238.75"/>
        <w:gridCol w:w="2238.75"/>
        <w:gridCol w:w="2238.75"/>
        <w:tblGridChange w:id="0">
          <w:tblGrid>
            <w:gridCol w:w="2238.75"/>
            <w:gridCol w:w="2238.75"/>
            <w:gridCol w:w="2238.75"/>
            <w:gridCol w:w="2238.75"/>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Sample type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Sampling date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CFU/mL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line="276"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Growth temperature</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196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267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130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250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400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596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77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643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80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54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E">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580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280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4">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5">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spacing w:line="276"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37</w:t>
            </w:r>
          </w:p>
        </w:tc>
      </w:tr>
    </w:tbl>
    <w:p w:rsidR="00000000" w:rsidDel="00000000" w:rsidP="00000000" w:rsidRDefault="00000000" w:rsidRPr="00000000" w14:paraId="00000278">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79">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7A">
      <w:pPr>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7B">
      <w:pPr>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Supplementary Data S02. Chemical analyses of water samples</w:t>
      </w:r>
    </w:p>
    <w:p w:rsidR="00000000" w:rsidDel="00000000" w:rsidP="00000000" w:rsidRDefault="00000000" w:rsidRPr="00000000" w14:paraId="0000027C">
      <w:pPr>
        <w:jc w:val="both"/>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The concentration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Georgia" w:cs="Georgia" w:eastAsia="Georgia" w:hAnsi="Georgia"/>
          <w:sz w:val="24"/>
          <w:szCs w:val="24"/>
          <w:highlight w:val="white"/>
          <w:rtl w:val="0"/>
        </w:rPr>
        <w:t xml:space="preserve">of phosphorus, nitrites and ammoniacal nitrogen was found near zero or below the detection limit of the analysis performed. Parameters that gave concentration &gt; 0 mg/L or above the sensitivity limit of the test were only nitrates and, as a consequence, total nitrogen.</w:t>
      </w:r>
    </w:p>
    <w:p w:rsidR="00000000" w:rsidDel="00000000" w:rsidP="00000000" w:rsidRDefault="00000000" w:rsidRPr="00000000" w14:paraId="0000027D">
      <w:pPr>
        <w:jc w:val="both"/>
        <w:rPr>
          <w:rFonts w:ascii="Georgia" w:cs="Georgia" w:eastAsia="Georgia" w:hAnsi="Georgia"/>
          <w:sz w:val="24"/>
          <w:szCs w:val="24"/>
        </w:rPr>
      </w:pPr>
      <w:r w:rsidDel="00000000" w:rsidR="00000000" w:rsidRPr="00000000">
        <w:rPr>
          <w:rFonts w:ascii="Georgia" w:cs="Georgia" w:eastAsia="Georgia" w:hAnsi="Georgia"/>
          <w:sz w:val="24"/>
          <w:szCs w:val="24"/>
          <w:highlight w:val="white"/>
          <w:rtl w:val="0"/>
        </w:rPr>
        <w:t xml:space="preserve">No significant difference was found, considering different feeds, but a significant difference considering</w:t>
      </w:r>
      <w:r w:rsidDel="00000000" w:rsidR="00000000" w:rsidRPr="00000000">
        <w:rPr>
          <w:rFonts w:ascii="Georgia" w:cs="Georgia" w:eastAsia="Georgia" w:hAnsi="Georgia"/>
          <w:sz w:val="24"/>
          <w:szCs w:val="24"/>
          <w:rtl w:val="0"/>
        </w:rPr>
        <w:t xml:space="preserve"> sampling date was reported fo</w:t>
      </w:r>
      <w:r w:rsidDel="00000000" w:rsidR="00000000" w:rsidRPr="00000000">
        <w:rPr>
          <w:rFonts w:ascii="Georgia" w:cs="Georgia" w:eastAsia="Georgia" w:hAnsi="Georgia"/>
          <w:sz w:val="24"/>
          <w:szCs w:val="24"/>
          <w:highlight w:val="white"/>
          <w:rtl w:val="0"/>
        </w:rPr>
        <w:t xml:space="preserve">r nitrates and total nitrogen concentrations for September 2018 and April 2018, respectively (Fig. S03, Table </w:t>
      </w:r>
      <w:r w:rsidDel="00000000" w:rsidR="00000000" w:rsidRPr="00000000">
        <w:rPr>
          <w:rFonts w:ascii="Georgia" w:cs="Georgia" w:eastAsia="Georgia" w:hAnsi="Georgia"/>
          <w:sz w:val="24"/>
          <w:szCs w:val="24"/>
          <w:rtl w:val="0"/>
        </w:rPr>
        <w:t xml:space="preserve">S0</w:t>
      </w:r>
      <w:r w:rsidDel="00000000" w:rsidR="00000000" w:rsidRPr="00000000">
        <w:rPr>
          <w:rFonts w:ascii="Georgia" w:cs="Georgia" w:eastAsia="Georgia" w:hAnsi="Georgia"/>
          <w:sz w:val="24"/>
          <w:szCs w:val="24"/>
          <w:rtl w:val="0"/>
        </w:rPr>
        <w:t xml:space="preserve">4)</w:t>
      </w:r>
      <w:r w:rsidDel="00000000" w:rsidR="00000000" w:rsidRPr="00000000">
        <w:rPr>
          <w:rFonts w:ascii="Georgia" w:cs="Georgia" w:eastAsia="Georgia" w:hAnsi="Georgia"/>
          <w:sz w:val="24"/>
          <w:szCs w:val="24"/>
          <w:rtl w:val="0"/>
        </w:rPr>
        <w:t xml:space="preserve">.</w:t>
      </w:r>
    </w:p>
    <w:p w:rsidR="00000000" w:rsidDel="00000000" w:rsidP="00000000" w:rsidRDefault="00000000" w:rsidRPr="00000000" w14:paraId="0000027E">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7F">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80">
      <w:pPr>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Fig. S03. Nitrate and total nitrogen concentrations in water samples.</w:t>
      </w:r>
      <w:r w:rsidDel="00000000" w:rsidR="00000000" w:rsidRPr="00000000">
        <w:rPr>
          <w:rFonts w:ascii="Georgia" w:cs="Georgia" w:eastAsia="Georgia" w:hAnsi="Georgia"/>
          <w:sz w:val="24"/>
          <w:szCs w:val="24"/>
          <w:rtl w:val="0"/>
        </w:rPr>
        <w:t xml:space="preserve"> Samples are plotted considering sample type (different feeding formulations and inlet water) and the three sampling dates. </w:t>
      </w:r>
    </w:p>
    <w:p w:rsidR="00000000" w:rsidDel="00000000" w:rsidP="00000000" w:rsidRDefault="00000000" w:rsidRPr="00000000" w14:paraId="00000281">
      <w:pPr>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Pr>
        <w:drawing>
          <wp:inline distB="114300" distT="114300" distL="114300" distR="114300">
            <wp:extent cx="4319588" cy="3475530"/>
            <wp:effectExtent b="0" l="0" r="0" t="0"/>
            <wp:docPr id="27"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319588" cy="3475530"/>
                    </a:xfrm>
                    <a:prstGeom prst="rect"/>
                    <a:ln/>
                  </pic:spPr>
                </pic:pic>
              </a:graphicData>
            </a:graphic>
          </wp:inline>
        </w:drawing>
      </w:r>
      <w:r w:rsidDel="00000000" w:rsidR="00000000" w:rsidRPr="00000000">
        <w:rPr>
          <w:rtl w:val="0"/>
        </w:rPr>
      </w:r>
    </w:p>
    <w:p w:rsidR="00000000" w:rsidDel="00000000" w:rsidP="00000000" w:rsidRDefault="00000000" w:rsidRPr="00000000" w14:paraId="00000282">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8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8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85">
      <w:pPr>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Table S0</w:t>
      </w:r>
      <w:r w:rsidDel="00000000" w:rsidR="00000000" w:rsidRPr="00000000">
        <w:rPr>
          <w:rFonts w:ascii="Georgia" w:cs="Georgia" w:eastAsia="Georgia" w:hAnsi="Georgia"/>
          <w:b w:val="1"/>
          <w:sz w:val="24"/>
          <w:szCs w:val="24"/>
          <w:rtl w:val="0"/>
        </w:rPr>
        <w:t xml:space="preserve">4</w:t>
      </w:r>
      <w:r w:rsidDel="00000000" w:rsidR="00000000" w:rsidRPr="00000000">
        <w:rPr>
          <w:rFonts w:ascii="Georgia" w:cs="Georgia" w:eastAsia="Georgia" w:hAnsi="Georgia"/>
          <w:b w:val="1"/>
          <w:sz w:val="24"/>
          <w:szCs w:val="24"/>
          <w:rtl w:val="0"/>
        </w:rPr>
        <w:t xml:space="preserve">. Nitrate concentration in water samples. </w:t>
      </w:r>
      <w:r w:rsidDel="00000000" w:rsidR="00000000" w:rsidRPr="00000000">
        <w:rPr>
          <w:rFonts w:ascii="Georgia" w:cs="Georgia" w:eastAsia="Georgia" w:hAnsi="Georgia"/>
          <w:sz w:val="24"/>
          <w:szCs w:val="24"/>
          <w:rtl w:val="0"/>
        </w:rPr>
        <w:t xml:space="preserve">Measurements were made in each tank considering sample type (different feeding formulations and inlet water) and the three sampling dates. Values are expressed as the average of triplicate measurements. </w:t>
      </w:r>
    </w:p>
    <w:tbl>
      <w:tblPr>
        <w:tblStyle w:val="Table4"/>
        <w:tblW w:w="7905.0" w:type="dxa"/>
        <w:jc w:val="left"/>
        <w:tblInd w:w="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6.25"/>
        <w:gridCol w:w="1976.25"/>
        <w:gridCol w:w="1976.25"/>
        <w:gridCol w:w="1976.25"/>
        <w:tblGridChange w:id="0">
          <w:tblGrid>
            <w:gridCol w:w="1976.25"/>
            <w:gridCol w:w="1976.25"/>
            <w:gridCol w:w="1976.25"/>
            <w:gridCol w:w="1976.25"/>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6">
            <w:pPr>
              <w:widowControl w:val="0"/>
              <w:spacing w:line="240"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Sample type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7">
            <w:pPr>
              <w:widowControl w:val="0"/>
              <w:spacing w:line="240"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Sampling date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8">
            <w:pPr>
              <w:widowControl w:val="0"/>
              <w:spacing w:line="240"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NO3 (mg/L)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spacing w:line="240" w:lineRule="auto"/>
              <w:rPr>
                <w:rFonts w:ascii="Georgia" w:cs="Georgia" w:eastAsia="Georgia" w:hAnsi="Georgia"/>
                <w:b w:val="1"/>
                <w:sz w:val="20"/>
                <w:szCs w:val="20"/>
              </w:rPr>
            </w:pPr>
            <w:r w:rsidDel="00000000" w:rsidR="00000000" w:rsidRPr="00000000">
              <w:rPr>
                <w:rFonts w:ascii="Georgia" w:cs="Georgia" w:eastAsia="Georgia" w:hAnsi="Georgia"/>
                <w:b w:val="1"/>
                <w:sz w:val="20"/>
                <w:szCs w:val="20"/>
                <w:rtl w:val="0"/>
              </w:rPr>
              <w:t xml:space="preserve">N total (mg/L)</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C">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3">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8">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A">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E">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9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0">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1">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4">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5">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6">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B">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C">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12.7</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12.9</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C">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9.3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D">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11.1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9.9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2">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3">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13.1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INLET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2018-09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8">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9">
            <w:pPr>
              <w:widowControl w:val="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12.3</w:t>
            </w:r>
          </w:p>
        </w:tc>
      </w:tr>
    </w:tbl>
    <w:p w:rsidR="00000000" w:rsidDel="00000000" w:rsidP="00000000" w:rsidRDefault="00000000" w:rsidRPr="00000000" w14:paraId="000002C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CB">
      <w:pPr>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CC">
      <w:pPr>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Fig. S04. Reads distribution plot of water samples.</w:t>
      </w:r>
    </w:p>
    <w:p w:rsidR="00000000" w:rsidDel="00000000" w:rsidP="00000000" w:rsidRDefault="00000000" w:rsidRPr="00000000" w14:paraId="000002CD">
      <w:pPr>
        <w:spacing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Pr>
        <w:drawing>
          <wp:inline distB="114300" distT="114300" distL="114300" distR="114300">
            <wp:extent cx="5734050" cy="4108338"/>
            <wp:effectExtent b="0" l="0" r="0" t="0"/>
            <wp:docPr id="3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4050" cy="4108338"/>
                    </a:xfrm>
                    <a:prstGeom prst="rect"/>
                    <a:ln/>
                  </pic:spPr>
                </pic:pic>
              </a:graphicData>
            </a:graphic>
          </wp:inline>
        </w:drawing>
      </w:r>
      <w:r w:rsidDel="00000000" w:rsidR="00000000" w:rsidRPr="00000000">
        <w:rPr>
          <w:rtl w:val="0"/>
        </w:rPr>
      </w:r>
    </w:p>
    <w:p w:rsidR="00000000" w:rsidDel="00000000" w:rsidP="00000000" w:rsidRDefault="00000000" w:rsidRPr="00000000" w14:paraId="000002CE">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CF">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0">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1">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D2">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D3">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2D4">
      <w:pPr>
        <w:spacing w:line="240" w:lineRule="auto"/>
        <w:jc w:val="both"/>
        <w:rPr>
          <w:rFonts w:ascii="Georgia" w:cs="Georgia" w:eastAsia="Georgia" w:hAnsi="Georgia"/>
          <w:sz w:val="24"/>
          <w:szCs w:val="24"/>
        </w:rPr>
      </w:pPr>
      <w:r w:rsidDel="00000000" w:rsidR="00000000" w:rsidRPr="00000000">
        <w:rPr>
          <w:rFonts w:ascii="Georgia" w:cs="Georgia" w:eastAsia="Georgia" w:hAnsi="Georgia"/>
          <w:b w:val="1"/>
          <w:sz w:val="24"/>
          <w:szCs w:val="24"/>
          <w:rtl w:val="0"/>
        </w:rPr>
        <w:t xml:space="preserve">Fig. S05. Heatmap. </w:t>
      </w:r>
      <w:r w:rsidDel="00000000" w:rsidR="00000000" w:rsidRPr="00000000">
        <w:rPr>
          <w:rFonts w:ascii="Georgia" w:cs="Georgia" w:eastAsia="Georgia" w:hAnsi="Georgia"/>
          <w:sz w:val="24"/>
          <w:szCs w:val="24"/>
          <w:rtl w:val="0"/>
        </w:rPr>
        <w:t xml:space="preserve">Samples are sorted by sample source. ASVs are assigned to the taxonomic rank of genus.</w:t>
      </w:r>
    </w:p>
    <w:p w:rsidR="00000000" w:rsidDel="00000000" w:rsidP="00000000" w:rsidRDefault="00000000" w:rsidRPr="00000000" w14:paraId="000002D5">
      <w:pPr>
        <w:spacing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Pr>
        <w:drawing>
          <wp:inline distB="114300" distT="114300" distL="114300" distR="114300">
            <wp:extent cx="5614994" cy="4602933"/>
            <wp:effectExtent b="0" l="0" r="0" t="0"/>
            <wp:docPr id="29" name="image2.png"/>
            <a:graphic>
              <a:graphicData uri="http://schemas.openxmlformats.org/drawingml/2006/picture">
                <pic:pic>
                  <pic:nvPicPr>
                    <pic:cNvPr id="0" name="image2.png"/>
                    <pic:cNvPicPr preferRelativeResize="0"/>
                  </pic:nvPicPr>
                  <pic:blipFill>
                    <a:blip r:embed="rId12"/>
                    <a:srcRect b="0" l="0" r="31394" t="0"/>
                    <a:stretch>
                      <a:fillRect/>
                    </a:stretch>
                  </pic:blipFill>
                  <pic:spPr>
                    <a:xfrm>
                      <a:off x="0" y="0"/>
                      <a:ext cx="5614994" cy="4602933"/>
                    </a:xfrm>
                    <a:prstGeom prst="rect"/>
                    <a:ln/>
                  </pic:spPr>
                </pic:pic>
              </a:graphicData>
            </a:graphic>
          </wp:inline>
        </w:drawing>
      </w:r>
      <w:r w:rsidDel="00000000" w:rsidR="00000000" w:rsidRPr="00000000">
        <w:rPr>
          <w:rtl w:val="0"/>
        </w:rPr>
      </w:r>
    </w:p>
    <w:p w:rsidR="00000000" w:rsidDel="00000000" w:rsidP="00000000" w:rsidRDefault="00000000" w:rsidRPr="00000000" w14:paraId="000002D6">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7">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8">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9">
      <w:pPr>
        <w:spacing w:before="240" w:line="480" w:lineRule="auto"/>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Table S0</w:t>
      </w:r>
      <w:r w:rsidDel="00000000" w:rsidR="00000000" w:rsidRPr="00000000">
        <w:rPr>
          <w:rFonts w:ascii="Georgia" w:cs="Georgia" w:eastAsia="Georgia" w:hAnsi="Georgia"/>
          <w:b w:val="1"/>
          <w:sz w:val="24"/>
          <w:szCs w:val="24"/>
          <w:rtl w:val="0"/>
        </w:rPr>
        <w:t xml:space="preserve">5</w:t>
      </w:r>
      <w:r w:rsidDel="00000000" w:rsidR="00000000" w:rsidRPr="00000000">
        <w:rPr>
          <w:rFonts w:ascii="Georgia" w:cs="Georgia" w:eastAsia="Georgia" w:hAnsi="Georgia"/>
          <w:b w:val="1"/>
          <w:sz w:val="24"/>
          <w:szCs w:val="24"/>
          <w:rtl w:val="0"/>
        </w:rPr>
        <w:t xml:space="preserve">. Paired ADONIS test considering sample source.</w:t>
      </w:r>
    </w:p>
    <w:tbl>
      <w:tblPr>
        <w:tblStyle w:val="Table5"/>
        <w:tblW w:w="9045.000000000002" w:type="dxa"/>
        <w:jc w:val="left"/>
        <w:tblInd w:w="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1"/>
        <w:gridCol w:w="1263"/>
        <w:gridCol w:w="1263"/>
        <w:gridCol w:w="1262"/>
        <w:gridCol w:w="1262"/>
        <w:gridCol w:w="1262"/>
        <w:gridCol w:w="1262"/>
        <w:tblGridChange w:id="0">
          <w:tblGrid>
            <w:gridCol w:w="1471"/>
            <w:gridCol w:w="1263"/>
            <w:gridCol w:w="1263"/>
            <w:gridCol w:w="1262"/>
            <w:gridCol w:w="1262"/>
            <w:gridCol w:w="1262"/>
            <w:gridCol w:w="1262"/>
          </w:tblGrid>
        </w:tblGridChange>
      </w:tblGrid>
      <w:tr>
        <w:trPr>
          <w:cantSplit w:val="0"/>
          <w:trHeight w:val="750" w:hRule="atLeast"/>
          <w:tblHeader w:val="0"/>
        </w:trPr>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A">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Sample source</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B">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Sums Of Sqs</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C">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Mean Sqs</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D">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F.Model</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E">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R2</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DF">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P value</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2E0">
            <w:pPr>
              <w:spacing w:line="342" w:lineRule="auto"/>
              <w:rPr>
                <w:rFonts w:ascii="Georgia" w:cs="Georgia" w:eastAsia="Georgia" w:hAnsi="Georgia"/>
                <w:color w:val="999999"/>
                <w:sz w:val="16"/>
                <w:szCs w:val="16"/>
              </w:rPr>
            </w:pPr>
            <w:r w:rsidDel="00000000" w:rsidR="00000000" w:rsidRPr="00000000">
              <w:rPr>
                <w:rFonts w:ascii="Georgia" w:cs="Georgia" w:eastAsia="Georgia" w:hAnsi="Georgia"/>
                <w:b w:val="1"/>
                <w:color w:val="333333"/>
                <w:sz w:val="16"/>
                <w:szCs w:val="16"/>
                <w:rtl w:val="0"/>
              </w:rPr>
              <w:t xml:space="preserve">P value corrected</w:t>
            </w:r>
            <w:r w:rsidDel="00000000" w:rsidR="00000000" w:rsidRPr="00000000">
              <w:rPr>
                <w:rtl w:val="0"/>
              </w:rPr>
            </w:r>
          </w:p>
        </w:tc>
      </w:tr>
      <w:tr>
        <w:trPr>
          <w:cantSplit w:val="0"/>
          <w:trHeight w:val="465" w:hRule="atLeast"/>
          <w:tblHeader w:val="0"/>
        </w:trPr>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 &lt;-&gt; feed</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3.6291943</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3.6291943</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30.309846</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0.6406668</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000000" w:space="0" w:sz="12"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7">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 &lt;-&gt; mucus</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1.5394493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A">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1.5394493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B">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9.489275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C">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0.3013494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D">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E">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EF">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 &lt;-&gt; swab</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3.2896768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3.2896768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13.496605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0.3698044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5">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 &lt;-&gt; water</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2.6264161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2.6264161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11.291813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A">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0.3391769</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B">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C">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D">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 &lt;-&gt; water_I</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E">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1.3265383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2FF">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1.3265383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6.448093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0.3315540</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0.002997003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3">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0.003458080</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feed &lt;-&gt; mucus</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3.7996036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3.7996036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39.597375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0.6996327</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A">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B">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feed &lt;-&gt; swab</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C">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3.2474476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D">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3.2474476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E">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15.935240</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0F">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0.4695779</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1">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feed &lt;-&gt; water</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3.2261397</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3.2261397</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17.250644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0.5036590</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8">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feed &lt;-&gt; water_I</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A">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1.6001123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B">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1.6001123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C">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17.378003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D">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0.6847664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E">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0.013986014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1F">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0.013986014</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mucus &lt;-&gt; swab</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3.6665867</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3.6665867</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16.212060</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0.4134458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6">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mucus &lt;-&gt; water</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3.5491526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3.5491526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A">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16.567881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B">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0.4295772</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C">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D">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E">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mucus &lt;-&gt; water_I</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2F">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1.5273821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1.5273821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8.746488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2">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0.4022023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0.001998002</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4">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0.002724548</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swab &lt;-&gt; water</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1.7620456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1.7620456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6.004195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9">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0.2070113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A">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0.000999001</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B">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0.001498501</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C">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swab &lt;-&gt; water_I</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D">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0.9099995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E">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0.9099995</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3F">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2.957878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0">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0.1744250</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1">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0.002997003</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2">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0.003458080</w:t>
            </w:r>
          </w:p>
        </w:tc>
      </w:tr>
      <w:tr>
        <w:trPr>
          <w:cantSplit w:val="0"/>
          <w:trHeight w:val="450" w:hRule="atLeast"/>
          <w:tblHeader w:val="0"/>
        </w:trPr>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3">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water &lt;-&gt; water_I</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4">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0.7029836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5">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0.7029836</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6">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2.393494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7">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0.1554874</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8">
            <w:pPr>
              <w:spacing w:line="342"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0.007992008</w:t>
            </w:r>
          </w:p>
        </w:tc>
        <w:tc>
          <w:tcPr>
            <w:tcBorders>
              <w:top w:color="dddddd" w:space="0" w:sz="6"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49">
            <w:pPr>
              <w:spacing w:line="342"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0.008562866</w:t>
            </w:r>
          </w:p>
        </w:tc>
      </w:tr>
    </w:tbl>
    <w:p w:rsidR="00000000" w:rsidDel="00000000" w:rsidP="00000000" w:rsidRDefault="00000000" w:rsidRPr="00000000" w14:paraId="0000034A">
      <w:pPr>
        <w:spacing w:before="24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4B">
      <w:pPr>
        <w:spacing w:before="24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4C">
      <w:pPr>
        <w:spacing w:before="240" w:line="480" w:lineRule="auto"/>
        <w:jc w:val="both"/>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Table S0</w:t>
      </w:r>
      <w:r w:rsidDel="00000000" w:rsidR="00000000" w:rsidRPr="00000000">
        <w:rPr>
          <w:rFonts w:ascii="Georgia" w:cs="Georgia" w:eastAsia="Georgia" w:hAnsi="Georgia"/>
          <w:b w:val="1"/>
          <w:sz w:val="24"/>
          <w:szCs w:val="24"/>
          <w:rtl w:val="0"/>
        </w:rPr>
        <w:t xml:space="preserve">6</w:t>
      </w:r>
      <w:r w:rsidDel="00000000" w:rsidR="00000000" w:rsidRPr="00000000">
        <w:rPr>
          <w:rFonts w:ascii="Georgia" w:cs="Georgia" w:eastAsia="Georgia" w:hAnsi="Georgia"/>
          <w:b w:val="1"/>
          <w:sz w:val="24"/>
          <w:szCs w:val="24"/>
          <w:rtl w:val="0"/>
        </w:rPr>
        <w:t xml:space="preserve">. Paired ADONIS test considering sample type.</w:t>
      </w:r>
    </w:p>
    <w:tbl>
      <w:tblPr>
        <w:tblStyle w:val="Table6"/>
        <w:tblW w:w="9024.999999999998" w:type="dxa"/>
        <w:jc w:val="left"/>
        <w:tblInd w:w="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1245"/>
        <w:gridCol w:w="1199"/>
        <w:gridCol w:w="1214"/>
        <w:gridCol w:w="1214"/>
        <w:gridCol w:w="1259"/>
        <w:gridCol w:w="1589"/>
        <w:tblGridChange w:id="0">
          <w:tblGrid>
            <w:gridCol w:w="1305"/>
            <w:gridCol w:w="1245"/>
            <w:gridCol w:w="1199"/>
            <w:gridCol w:w="1214"/>
            <w:gridCol w:w="1214"/>
            <w:gridCol w:w="1259"/>
            <w:gridCol w:w="1589"/>
          </w:tblGrid>
        </w:tblGridChange>
      </w:tblGrid>
      <w:tr>
        <w:trPr>
          <w:cantSplit w:val="0"/>
          <w:trHeight w:val="555" w:hRule="atLeast"/>
          <w:tblHeader w:val="0"/>
        </w:trPr>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4D">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Sample type</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4E">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Sums Of Sqs</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4F">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Mean Sqs</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50">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F Model</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51">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R2</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52">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P value</w:t>
            </w:r>
          </w:p>
        </w:tc>
        <w:tc>
          <w:tcPr>
            <w:tcBorders>
              <w:top w:color="000000" w:space="0" w:sz="0" w:val="nil"/>
              <w:left w:color="000000" w:space="0" w:sz="0" w:val="nil"/>
              <w:bottom w:color="333333" w:space="0" w:sz="12" w:val="single"/>
              <w:right w:color="000000" w:space="0" w:sz="0" w:val="nil"/>
            </w:tcBorders>
            <w:tcMar>
              <w:top w:w="80.0" w:type="dxa"/>
              <w:left w:w="80.0" w:type="dxa"/>
              <w:bottom w:w="80.0" w:type="dxa"/>
              <w:right w:w="80.0" w:type="dxa"/>
            </w:tcMar>
            <w:vAlign w:val="bottom"/>
          </w:tcPr>
          <w:p w:rsidR="00000000" w:rsidDel="00000000" w:rsidP="00000000" w:rsidRDefault="00000000" w:rsidRPr="00000000" w14:paraId="00000353">
            <w:pPr>
              <w:spacing w:line="240" w:lineRule="auto"/>
              <w:rPr>
                <w:rFonts w:ascii="Georgia" w:cs="Georgia" w:eastAsia="Georgia" w:hAnsi="Georgia"/>
                <w:b w:val="1"/>
                <w:color w:val="333333"/>
                <w:sz w:val="16"/>
                <w:szCs w:val="16"/>
              </w:rPr>
            </w:pPr>
            <w:r w:rsidDel="00000000" w:rsidR="00000000" w:rsidRPr="00000000">
              <w:rPr>
                <w:rFonts w:ascii="Georgia" w:cs="Georgia" w:eastAsia="Georgia" w:hAnsi="Georgia"/>
                <w:b w:val="1"/>
                <w:color w:val="333333"/>
                <w:sz w:val="16"/>
                <w:szCs w:val="16"/>
                <w:rtl w:val="0"/>
              </w:rPr>
              <w:t xml:space="preserve">P value corrected</w:t>
            </w:r>
          </w:p>
        </w:tc>
      </w:tr>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4">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CUTIS_A &lt;-&gt; CUTIS_D</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5">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0.39847958</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6">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0.39847958</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7">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2.5090173</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8">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0.20057669</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9">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0.020979021</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A">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0.04354136</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B">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FEED_A &lt;-&gt; FEED_D</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C">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0.03283542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D">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0.03283542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E">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10.2512549</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5F">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0.67215812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0">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0.022977023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1">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0.04467754</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2">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MUCUS_A &lt;-&gt; MUCUS_D</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3">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0.51788215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4">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0.51788215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5">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4.8649440</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6">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0.32727631</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7">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0.010989011</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8">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0.03575969</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9">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WATER_A &lt;-&gt; WATER_D</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A">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0.24554027</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B">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0.24554027</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C">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0.7198788</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D">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0.15252061</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E">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0.800000000</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6F">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0.81553398</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0">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TBIOFILM_A &lt;-&gt; TBIOFILM_D</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1">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0.37332822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2">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0.37332822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3">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1.2709165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4">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0.20266838</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5">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0.124875125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6">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0.13948817</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7">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WATER_A &lt;-&gt; WATER_B</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8">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0.19768093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9">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0.19768093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A">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0.6195625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B">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0.13411714</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C">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0.700000000</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D">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0.74242424</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E">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WATER_A &lt;-&gt; WATER_C</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7F">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0.17463569</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0">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0.17463569</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1">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0.5048659</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2">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0.11207124</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3">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0.700000000</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4">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0.74242424</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5">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TBIOFILM_A &lt;-&gt; TBIOFILM_B</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6">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0.28806058</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7">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0.28806058</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8">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0.8842616</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9">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0.15027572</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A">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0.773226773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B">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0.81188811</w:t>
            </w:r>
          </w:p>
        </w:tc>
      </w:tr>
      <w:tr>
        <w:trPr>
          <w:cantSplit w:val="0"/>
          <w:trHeight w:val="885" w:hRule="atLeast"/>
          <w:tblHeader w:val="0"/>
        </w:trPr>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C">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TBIOFILM_A &lt;-&gt; TBIOFILM_C</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D">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0.29340155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E">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0.29340155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8F">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0.9245493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90">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0.15605395</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91">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0.793206793</w:t>
            </w:r>
          </w:p>
        </w:tc>
        <w:tc>
          <w:tcPr>
            <w:tcBorders>
              <w:top w:color="dddddd" w:space="0" w:sz="8" w:val="single"/>
              <w:left w:color="000000" w:space="0" w:sz="0" w:val="nil"/>
              <w:bottom w:color="000000" w:space="0" w:sz="0" w:val="nil"/>
              <w:right w:color="000000" w:space="0" w:sz="0" w:val="nil"/>
            </w:tcBorders>
            <w:tcMar>
              <w:top w:w="80.0" w:type="dxa"/>
              <w:left w:w="80.0" w:type="dxa"/>
              <w:bottom w:w="80.0" w:type="dxa"/>
              <w:right w:w="80.0" w:type="dxa"/>
            </w:tcMar>
          </w:tcPr>
          <w:p w:rsidR="00000000" w:rsidDel="00000000" w:rsidP="00000000" w:rsidRDefault="00000000" w:rsidRPr="00000000" w14:paraId="00000392">
            <w:pPr>
              <w:spacing w:line="240" w:lineRule="auto"/>
              <w:rPr>
                <w:rFonts w:ascii="Georgia" w:cs="Georgia" w:eastAsia="Georgia" w:hAnsi="Georgia"/>
                <w:color w:val="333333"/>
                <w:sz w:val="16"/>
                <w:szCs w:val="16"/>
              </w:rPr>
            </w:pPr>
            <w:r w:rsidDel="00000000" w:rsidR="00000000" w:rsidRPr="00000000">
              <w:rPr>
                <w:rFonts w:ascii="Georgia" w:cs="Georgia" w:eastAsia="Georgia" w:hAnsi="Georgia"/>
                <w:color w:val="333333"/>
                <w:sz w:val="16"/>
                <w:szCs w:val="16"/>
                <w:rtl w:val="0"/>
              </w:rPr>
              <w:t xml:space="preserve">0.81553398</w:t>
            </w:r>
          </w:p>
        </w:tc>
      </w:tr>
    </w:tbl>
    <w:p w:rsidR="00000000" w:rsidDel="00000000" w:rsidP="00000000" w:rsidRDefault="00000000" w:rsidRPr="00000000" w14:paraId="00000393">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4">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5">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6">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7">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8">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9">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A">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B">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C">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D">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E">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9F">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0">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1">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2">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3">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4">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5">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6">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7">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8">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9">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A">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B">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C">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D">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E">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AF">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0">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1">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2">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3">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4">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5">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6">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7">
      <w:pPr>
        <w:spacing w:line="240" w:lineRule="auto"/>
        <w:jc w:val="both"/>
        <w:rPr>
          <w:rFonts w:ascii="Georgia" w:cs="Georgia" w:eastAsia="Georgia" w:hAnsi="Georgia"/>
          <w:b w:val="1"/>
          <w:sz w:val="24"/>
          <w:szCs w:val="24"/>
        </w:rPr>
      </w:pPr>
      <w:r w:rsidDel="00000000" w:rsidR="00000000" w:rsidRPr="00000000">
        <w:rPr>
          <w:rtl w:val="0"/>
        </w:rPr>
      </w:r>
    </w:p>
    <w:p w:rsidR="00000000" w:rsidDel="00000000" w:rsidP="00000000" w:rsidRDefault="00000000" w:rsidRPr="00000000" w14:paraId="000003B8">
      <w:pPr>
        <w:spacing w:line="240" w:lineRule="auto"/>
        <w:jc w:val="both"/>
        <w:rPr>
          <w:rFonts w:ascii="Georgia" w:cs="Georgia" w:eastAsia="Georgia" w:hAnsi="Georgia"/>
          <w:b w:val="1"/>
          <w:sz w:val="24"/>
          <w:szCs w:val="24"/>
          <w:highlight w:val="yellow"/>
        </w:rPr>
      </w:pPr>
      <w:r w:rsidDel="00000000" w:rsidR="00000000" w:rsidRPr="00000000">
        <w:rPr>
          <w:rFonts w:ascii="Georgia" w:cs="Georgia" w:eastAsia="Georgia" w:hAnsi="Georgia"/>
          <w:b w:val="1"/>
          <w:sz w:val="24"/>
          <w:szCs w:val="24"/>
          <w:rtl w:val="0"/>
        </w:rPr>
        <w:t xml:space="preserve">Fig. S06. NMDS plot considering phyla. </w:t>
      </w:r>
      <w:r w:rsidDel="00000000" w:rsidR="00000000" w:rsidRPr="00000000">
        <w:rPr>
          <w:rtl w:val="0"/>
        </w:rPr>
      </w:r>
    </w:p>
    <w:p w:rsidR="00000000" w:rsidDel="00000000" w:rsidP="00000000" w:rsidRDefault="00000000" w:rsidRPr="00000000" w14:paraId="000003B9">
      <w:pPr>
        <w:spacing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Pr>
        <w:drawing>
          <wp:inline distB="114300" distT="114300" distL="114300" distR="114300">
            <wp:extent cx="5734050" cy="8267700"/>
            <wp:effectExtent b="0" l="0" r="0" t="0"/>
            <wp:docPr id="2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734050" cy="8267700"/>
                    </a:xfrm>
                    <a:prstGeom prst="rect"/>
                    <a:ln/>
                  </pic:spPr>
                </pic:pic>
              </a:graphicData>
            </a:graphic>
          </wp:inline>
        </w:drawing>
      </w:r>
      <w:r w:rsidDel="00000000" w:rsidR="00000000" w:rsidRPr="00000000">
        <w:rPr>
          <w:rtl w:val="0"/>
        </w:rPr>
      </w:r>
    </w:p>
    <w:p w:rsidR="00000000" w:rsidDel="00000000" w:rsidP="00000000" w:rsidRDefault="00000000" w:rsidRPr="00000000" w14:paraId="000003BA">
      <w:pPr>
        <w:spacing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BB">
      <w:pPr>
        <w:spacing w:line="240" w:lineRule="auto"/>
        <w:jc w:val="both"/>
        <w:rPr>
          <w:rFonts w:ascii="Georgia" w:cs="Georgia" w:eastAsia="Georgia" w:hAnsi="Georgia"/>
          <w:sz w:val="20"/>
          <w:szCs w:val="20"/>
        </w:rPr>
      </w:pPr>
      <w:r w:rsidDel="00000000" w:rsidR="00000000" w:rsidRPr="00000000">
        <w:rPr>
          <w:rFonts w:ascii="Georgia" w:cs="Georgia" w:eastAsia="Georgia" w:hAnsi="Georgia"/>
          <w:sz w:val="20"/>
          <w:szCs w:val="20"/>
        </w:rPr>
        <w:drawing>
          <wp:inline distB="114300" distT="114300" distL="114300" distR="114300">
            <wp:extent cx="5731200" cy="8267700"/>
            <wp:effectExtent b="0" l="0" r="0" t="0"/>
            <wp:docPr id="24"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731200" cy="8267700"/>
                    </a:xfrm>
                    <a:prstGeom prst="rect"/>
                    <a:ln/>
                  </pic:spPr>
                </pic:pic>
              </a:graphicData>
            </a:graphic>
          </wp:inline>
        </w:drawing>
      </w:r>
      <w:r w:rsidDel="00000000" w:rsidR="00000000" w:rsidRPr="00000000">
        <w:rPr>
          <w:rtl w:val="0"/>
        </w:rPr>
      </w:r>
    </w:p>
    <w:sectPr>
      <w:head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Constantia" w:cs="Constantia" w:eastAsia="Constantia" w:hAnsi="Constant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00"/>
      <w:outlineLvl w:val="0"/>
    </w:pPr>
    <w:rPr>
      <w:sz w:val="40"/>
      <w:szCs w:val="40"/>
    </w:rPr>
  </w:style>
  <w:style w:type="paragraph" w:styleId="Titolo2">
    <w:name w:val="heading 2"/>
    <w:basedOn w:val="Normale"/>
    <w:next w:val="Normale"/>
    <w:uiPriority w:val="9"/>
    <w:semiHidden w:val="1"/>
    <w:unhideWhenUsed w:val="1"/>
    <w:qFormat w:val="1"/>
    <w:pPr>
      <w:keepNext w:val="1"/>
      <w:keepLines w:val="1"/>
      <w:spacing w:after="120" w:before="360"/>
      <w:outlineLvl w:val="1"/>
    </w:pPr>
    <w:rPr>
      <w:sz w:val="32"/>
      <w:szCs w:val="32"/>
    </w:rPr>
  </w:style>
  <w:style w:type="paragraph" w:styleId="Titolo3">
    <w:name w:val="heading 3"/>
    <w:basedOn w:val="Normale"/>
    <w:next w:val="Normale"/>
    <w:uiPriority w:val="9"/>
    <w:semiHidden w:val="1"/>
    <w:unhideWhenUsed w:val="1"/>
    <w:qFormat w:val="1"/>
    <w:pPr>
      <w:keepNext w:val="1"/>
      <w:keepLines w:val="1"/>
      <w:spacing w:after="80" w:before="320"/>
      <w:outlineLvl w:val="2"/>
    </w:pPr>
    <w:rPr>
      <w:color w:val="434343"/>
      <w:sz w:val="28"/>
      <w:szCs w:val="28"/>
    </w:rPr>
  </w:style>
  <w:style w:type="paragraph" w:styleId="Titolo4">
    <w:name w:val="heading 4"/>
    <w:basedOn w:val="Normale"/>
    <w:next w:val="Normale"/>
    <w:uiPriority w:val="9"/>
    <w:semiHidden w:val="1"/>
    <w:unhideWhenUsed w:val="1"/>
    <w:qFormat w:val="1"/>
    <w:pPr>
      <w:keepNext w:val="1"/>
      <w:keepLines w:val="1"/>
      <w:spacing w:after="80" w:before="280"/>
      <w:outlineLvl w:val="3"/>
    </w:pPr>
    <w:rPr>
      <w:color w:val="666666"/>
      <w:sz w:val="24"/>
      <w:szCs w:val="24"/>
    </w:rPr>
  </w:style>
  <w:style w:type="paragraph" w:styleId="Titolo5">
    <w:name w:val="heading 5"/>
    <w:basedOn w:val="Normale"/>
    <w:next w:val="Normale"/>
    <w:uiPriority w:val="9"/>
    <w:semiHidden w:val="1"/>
    <w:unhideWhenUsed w:val="1"/>
    <w:qFormat w:val="1"/>
    <w:pPr>
      <w:keepNext w:val="1"/>
      <w:keepLines w:val="1"/>
      <w:spacing w:after="80" w:before="240"/>
      <w:outlineLvl w:val="4"/>
    </w:pPr>
    <w:rPr>
      <w:color w:val="666666"/>
    </w:rPr>
  </w:style>
  <w:style w:type="paragraph" w:styleId="Titolo6">
    <w:name w:val="heading 6"/>
    <w:basedOn w:val="Normale"/>
    <w:next w:val="Normale"/>
    <w:uiPriority w:val="9"/>
    <w:semiHidden w:val="1"/>
    <w:unhideWhenUsed w:val="1"/>
    <w:qFormat w:val="1"/>
    <w:pPr>
      <w:keepNext w:val="1"/>
      <w:keepLines w:val="1"/>
      <w:spacing w:after="80" w:before="240"/>
      <w:outlineLvl w:val="5"/>
    </w:pPr>
    <w:rPr>
      <w:i w:val="1"/>
      <w:color w:val="666666"/>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Sottotitolo">
    <w:name w:val="Subtitle"/>
    <w:basedOn w:val="Normale"/>
    <w:next w:val="Normale"/>
    <w:uiPriority w:val="11"/>
    <w:qFormat w:val="1"/>
    <w:pPr>
      <w:keepNext w:val="1"/>
      <w:keepLines w:val="1"/>
      <w:spacing w:after="320"/>
    </w:pPr>
    <w:rPr>
      <w:color w:val="666666"/>
      <w:sz w:val="30"/>
      <w:szCs w:val="30"/>
    </w:rPr>
  </w:style>
  <w:style w:type="table" w:styleId="a" w:customStyle="1">
    <w:basedOn w:val="TableNormal1"/>
    <w:tblPr>
      <w:tblStyleRowBandSize w:val="1"/>
      <w:tblStyleColBandSize w:val="1"/>
      <w:tblCellMar>
        <w:top w:w="100.0" w:type="dxa"/>
        <w:left w:w="100.0" w:type="dxa"/>
        <w:bottom w:w="100.0" w:type="dxa"/>
        <w:right w:w="100.0" w:type="dxa"/>
      </w:tblCellMar>
    </w:tblPr>
  </w:style>
  <w:style w:type="table" w:styleId="a0" w:customStyle="1">
    <w:basedOn w:val="TableNormal1"/>
    <w:tblPr>
      <w:tblStyleRowBandSize w:val="1"/>
      <w:tblStyleColBandSize w:val="1"/>
      <w:tblCellMar>
        <w:top w:w="100.0" w:type="dxa"/>
        <w:left w:w="100.0" w:type="dxa"/>
        <w:bottom w:w="100.0" w:type="dxa"/>
        <w:right w:w="100.0" w:type="dxa"/>
      </w:tblCellMar>
    </w:tblPr>
    <w:tcPr>
      <w:shd w:color="auto" w:fill="ffffff" w:val="clear"/>
    </w:tcPr>
  </w:style>
  <w:style w:type="table" w:styleId="a1" w:customStyle="1">
    <w:basedOn w:val="TableNormal1"/>
    <w:tblPr>
      <w:tblStyleRowBandSize w:val="1"/>
      <w:tblStyleColBandSize w:val="1"/>
      <w:tblCellMar>
        <w:top w:w="100.0" w:type="dxa"/>
        <w:left w:w="100.0" w:type="dxa"/>
        <w:bottom w:w="100.0" w:type="dxa"/>
        <w:right w:w="100.0" w:type="dxa"/>
      </w:tblCellMar>
    </w:tblPr>
  </w:style>
  <w:style w:type="table" w:styleId="a2" w:customStyle="1">
    <w:basedOn w:val="TableNormal1"/>
    <w:tblPr>
      <w:tblStyleRowBandSize w:val="1"/>
      <w:tblStyleColBandSize w:val="1"/>
      <w:tblCellMar>
        <w:top w:w="100.0" w:type="dxa"/>
        <w:left w:w="100.0" w:type="dxa"/>
        <w:bottom w:w="100.0" w:type="dxa"/>
        <w:right w:w="100.0" w:type="dxa"/>
      </w:tblCellMar>
    </w:tblPr>
    <w:tcPr>
      <w:shd w:color="auto" w:fill="ffffff" w:val="clear"/>
    </w:tcPr>
  </w:style>
  <w:style w:type="table" w:styleId="a3" w:customStyle="1">
    <w:basedOn w:val="TableNormal1"/>
    <w:tblPr>
      <w:tblStyleRowBandSize w:val="1"/>
      <w:tblStyleColBandSize w:val="1"/>
      <w:tblCellMar>
        <w:top w:w="100.0" w:type="dxa"/>
        <w:left w:w="100.0" w:type="dxa"/>
        <w:bottom w:w="100.0" w:type="dxa"/>
        <w:right w:w="100.0" w:type="dxa"/>
      </w:tblCellMar>
    </w:tblPr>
    <w:tcPr>
      <w:shd w:color="auto" w:fill="ffffff" w:val="clear"/>
    </w:tcPr>
  </w:style>
  <w:style w:type="table" w:styleId="a4" w:customStyle="1">
    <w:basedOn w:val="TableNormal1"/>
    <w:tblPr>
      <w:tblStyleRowBandSize w:val="1"/>
      <w:tblStyleColBandSize w:val="1"/>
      <w:tblCellMar>
        <w:top w:w="100.0" w:type="dxa"/>
        <w:left w:w="100.0" w:type="dxa"/>
        <w:bottom w:w="100.0" w:type="dxa"/>
        <w:right w:w="100.0" w:type="dxa"/>
      </w:tblCellMar>
    </w:tblPr>
    <w:tcPr>
      <w:shd w:color="auto" w:fill="ffffff" w:val="clear"/>
    </w:tcPr>
  </w:style>
  <w:style w:type="table" w:styleId="a5" w:customStyle="1">
    <w:basedOn w:val="TableNormal1"/>
    <w:tblPr>
      <w:tblStyleRowBandSize w:val="1"/>
      <w:tblStyleColBandSize w:val="1"/>
      <w:tblCellMar>
        <w:left w:w="115.0" w:type="dxa"/>
        <w:right w:w="115.0" w:type="dxa"/>
      </w:tblCellMar>
    </w:tblPr>
    <w:tcPr>
      <w:shd w:color="auto" w:fill="ffffff" w:val="clear"/>
    </w:tcPr>
  </w:style>
  <w:style w:type="table" w:styleId="a6" w:customStyle="1">
    <w:basedOn w:val="TableNormal1"/>
    <w:tblPr>
      <w:tblStyleRowBandSize w:val="1"/>
      <w:tblStyleColBandSize w:val="1"/>
      <w:tblCellMar>
        <w:left w:w="115.0" w:type="dxa"/>
        <w:right w:w="115.0" w:type="dxa"/>
      </w:tblCellMar>
    </w:tblPr>
    <w:tcPr>
      <w:shd w:color="auto" w:fill="ffffff" w:val="clear"/>
    </w:tcPr>
  </w:style>
  <w:style w:type="table" w:styleId="a7" w:customStyle="1">
    <w:basedOn w:val="TableNormal1"/>
    <w:tblPr>
      <w:tblStyleRowBandSize w:val="1"/>
      <w:tblStyleColBandSize w:val="1"/>
      <w:tblCellMar>
        <w:left w:w="115.0" w:type="dxa"/>
        <w:right w:w="115.0" w:type="dxa"/>
      </w:tblCellMar>
    </w:tblPr>
    <w:tcPr>
      <w:shd w:color="auto" w:fill="ffffff" w:val="clear"/>
    </w:tcPr>
  </w:style>
  <w:style w:type="paragraph" w:styleId="Paragrafoelenco">
    <w:name w:val="List Paragraph"/>
    <w:basedOn w:val="Normale"/>
    <w:uiPriority w:val="34"/>
    <w:qFormat w:val="1"/>
    <w:rsid w:val="004C2106"/>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5">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6">
    <w:basedOn w:val="TableNormal"/>
    <w:tblPr>
      <w:tblStyleRowBandSize w:val="1"/>
      <w:tblStyleColBandSize w:val="1"/>
      <w:tblCellMar>
        <w:top w:w="0.0" w:type="dxa"/>
        <w:left w:w="115.0" w:type="dxa"/>
        <w:bottom w:w="0.0" w:type="dxa"/>
        <w:right w:w="115.0" w:type="dxa"/>
      </w:tblCellMar>
    </w:tblPr>
    <w:tcPr>
      <w:shd w:fill="ffffff" w:val="clear"/>
    </w:tc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5.png"/><Relationship Id="rId13" Type="http://schemas.openxmlformats.org/officeDocument/2006/relationships/image" Target="media/image1.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header" Target="header1.xml"/><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rb-silva.de/" TargetMode="External"/><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9iRfRxx73ynxabamsegGMiPFyg==">CgMxLjA4AHIhMWozeUZkZFFKdWc5SEhsOU50a2dMSWJHTE9JYllkelZI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2022-12-11T08:19:00Z</dcterms:created>
</cp:coreProperties>
</file>