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 xml:space="preserve">Table </w:t>
      </w:r>
      <w:r>
        <w:rPr>
          <w:rFonts w:hint="eastAsia"/>
          <w:lang w:val="en-US" w:eastAsia="zh-CN"/>
        </w:rPr>
        <w:t>2</w:t>
      </w:r>
      <w:bookmarkStart w:id="1" w:name="_GoBack"/>
      <w:bookmarkEnd w:id="1"/>
      <w:r>
        <w:rPr>
          <w:rFonts w:hint="eastAsia"/>
        </w:rPr>
        <w:t xml:space="preserve"> Antimicrobial susceptibility testing of </w:t>
      </w:r>
      <w:r>
        <w:rPr>
          <w:rFonts w:hint="eastAsia"/>
          <w:i/>
          <w:iCs/>
        </w:rPr>
        <w:t>E.</w:t>
      </w:r>
      <w:r>
        <w:rPr>
          <w:i/>
          <w:iCs/>
        </w:rPr>
        <w:t xml:space="preserve"> </w:t>
      </w:r>
      <w:r>
        <w:rPr>
          <w:rFonts w:hint="eastAsia"/>
          <w:i/>
          <w:iCs/>
        </w:rPr>
        <w:t>coli</w:t>
      </w:r>
      <w:r>
        <w:rPr>
          <w:rFonts w:hint="eastAsia"/>
        </w:rPr>
        <w:t xml:space="preserve"> in Group C</w:t>
      </w:r>
    </w:p>
    <w:p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692"/>
        <w:gridCol w:w="672"/>
        <w:gridCol w:w="692"/>
        <w:gridCol w:w="692"/>
        <w:gridCol w:w="602"/>
        <w:gridCol w:w="674"/>
        <w:gridCol w:w="672"/>
        <w:gridCol w:w="636"/>
        <w:gridCol w:w="800"/>
        <w:gridCol w:w="648"/>
        <w:gridCol w:w="800"/>
        <w:gridCol w:w="683"/>
        <w:gridCol w:w="800"/>
        <w:gridCol w:w="800"/>
        <w:gridCol w:w="707"/>
        <w:gridCol w:w="636"/>
        <w:gridCol w:w="748"/>
        <w:gridCol w:w="648"/>
        <w:gridCol w:w="1014"/>
        <w:gridCol w:w="707"/>
        <w:gridCol w:w="6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bookmarkStart w:id="0" w:name="_Hlk150977865"/>
            <w:r>
              <w:rPr>
                <w:kern w:val="0"/>
                <w:szCs w:val="21"/>
              </w:rPr>
              <w:t>Number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DOX</w:t>
            </w:r>
          </w:p>
        </w:tc>
        <w:tc>
          <w:tcPr>
            <w:tcW w:w="1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AMP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COL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TCC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CSL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TZP</w:t>
            </w:r>
          </w:p>
        </w:tc>
        <w:tc>
          <w:tcPr>
            <w:tcW w:w="1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SAM</w:t>
            </w:r>
          </w:p>
        </w:tc>
        <w:tc>
          <w:tcPr>
            <w:tcW w:w="1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CZO</w:t>
            </w:r>
          </w:p>
        </w:tc>
        <w:tc>
          <w:tcPr>
            <w:tcW w:w="2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CAZ</w:t>
            </w:r>
          </w:p>
        </w:tc>
        <w:tc>
          <w:tcPr>
            <w:tcW w:w="1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CRO</w:t>
            </w:r>
          </w:p>
        </w:tc>
        <w:tc>
          <w:tcPr>
            <w:tcW w:w="2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FEP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ATM</w:t>
            </w:r>
          </w:p>
        </w:tc>
        <w:tc>
          <w:tcPr>
            <w:tcW w:w="2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IPM</w:t>
            </w:r>
          </w:p>
        </w:tc>
        <w:tc>
          <w:tcPr>
            <w:tcW w:w="2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MEM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AMK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TOB</w:t>
            </w:r>
          </w:p>
        </w:tc>
        <w:tc>
          <w:tcPr>
            <w:tcW w:w="2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CIP</w:t>
            </w:r>
          </w:p>
        </w:tc>
        <w:tc>
          <w:tcPr>
            <w:tcW w:w="17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LVX</w:t>
            </w:r>
          </w:p>
        </w:tc>
        <w:tc>
          <w:tcPr>
            <w:tcW w:w="3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SXT</w:t>
            </w:r>
          </w:p>
        </w:tc>
        <w:tc>
          <w:tcPr>
            <w:tcW w:w="2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MNO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TGC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C18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C20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C21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C23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C26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C27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32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C28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C30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2/38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C31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C33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32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C36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0.25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C38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C40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32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C44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C45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32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C46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C52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C54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32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C55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C56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C57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C60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C62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32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32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C63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C66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0.25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C67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C69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C70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C72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C75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C76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UN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≥16/304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C78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≥64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C89</w:t>
            </w:r>
          </w:p>
        </w:tc>
        <w:tc>
          <w:tcPr>
            <w:tcW w:w="2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≥16</w:t>
            </w:r>
          </w:p>
        </w:tc>
        <w:tc>
          <w:tcPr>
            <w:tcW w:w="1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  <w:tc>
          <w:tcPr>
            <w:tcW w:w="2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32</w:t>
            </w:r>
          </w:p>
        </w:tc>
        <w:tc>
          <w:tcPr>
            <w:tcW w:w="2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≤4</w:t>
            </w:r>
          </w:p>
        </w:tc>
        <w:tc>
          <w:tcPr>
            <w:tcW w:w="1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>
              <w:rPr>
                <w:color w:val="FF0000"/>
                <w:kern w:val="0"/>
                <w:szCs w:val="21"/>
              </w:rPr>
              <w:t>16</w:t>
            </w:r>
          </w:p>
        </w:tc>
        <w:tc>
          <w:tcPr>
            <w:tcW w:w="2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2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≤2</w:t>
            </w:r>
          </w:p>
        </w:tc>
        <w:tc>
          <w:tcPr>
            <w:tcW w:w="2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≤0.25</w:t>
            </w:r>
          </w:p>
        </w:tc>
        <w:tc>
          <w:tcPr>
            <w:tcW w:w="1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3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≤1/19</w:t>
            </w:r>
          </w:p>
        </w:tc>
        <w:tc>
          <w:tcPr>
            <w:tcW w:w="2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≤0.5</w:t>
            </w:r>
          </w:p>
        </w:tc>
      </w:tr>
    </w:tbl>
    <w:p>
      <w:r>
        <w:t>Minimum inhibitory concentrations (MICs) of</w:t>
      </w:r>
      <w:r>
        <w:rPr>
          <w:rFonts w:hint="eastAsia"/>
        </w:rPr>
        <w:t xml:space="preserve"> DOX,</w:t>
      </w:r>
      <w:r>
        <w:t xml:space="preserve"> </w:t>
      </w:r>
      <w:r>
        <w:rPr>
          <w:rFonts w:hint="eastAsia"/>
        </w:rPr>
        <w:t>COL,</w:t>
      </w:r>
      <w:r>
        <w:t xml:space="preserve"> </w:t>
      </w:r>
      <w:r>
        <w:rPr>
          <w:rFonts w:hint="eastAsia"/>
        </w:rPr>
        <w:t>TCC,</w:t>
      </w:r>
      <w:r>
        <w:t xml:space="preserve"> </w:t>
      </w:r>
      <w:r>
        <w:rPr>
          <w:rFonts w:hint="eastAsia"/>
        </w:rPr>
        <w:t>TZP,</w:t>
      </w:r>
      <w:r>
        <w:t xml:space="preserve"> </w:t>
      </w:r>
      <w:r>
        <w:rPr>
          <w:rFonts w:hint="eastAsia"/>
        </w:rPr>
        <w:t>CAZ,</w:t>
      </w:r>
      <w:r>
        <w:t xml:space="preserve"> </w:t>
      </w:r>
      <w:r>
        <w:rPr>
          <w:rFonts w:hint="eastAsia"/>
        </w:rPr>
        <w:t>FEP,</w:t>
      </w:r>
      <w:r>
        <w:t xml:space="preserve"> </w:t>
      </w:r>
      <w:r>
        <w:rPr>
          <w:rFonts w:hint="eastAsia"/>
        </w:rPr>
        <w:t>ATM,</w:t>
      </w:r>
      <w:r>
        <w:t xml:space="preserve"> </w:t>
      </w:r>
      <w:r>
        <w:rPr>
          <w:rFonts w:hint="eastAsia"/>
        </w:rPr>
        <w:t>IPM,</w:t>
      </w:r>
      <w:r>
        <w:t xml:space="preserve"> </w:t>
      </w:r>
      <w:r>
        <w:rPr>
          <w:rFonts w:hint="eastAsia"/>
        </w:rPr>
        <w:t>MEM,</w:t>
      </w:r>
      <w:r>
        <w:t xml:space="preserve"> </w:t>
      </w:r>
      <w:r>
        <w:rPr>
          <w:rFonts w:hint="eastAsia"/>
        </w:rPr>
        <w:t>AMK,</w:t>
      </w:r>
      <w:r>
        <w:t xml:space="preserve"> </w:t>
      </w:r>
      <w:r>
        <w:rPr>
          <w:rFonts w:hint="eastAsia"/>
        </w:rPr>
        <w:t>TOB,</w:t>
      </w:r>
      <w:r>
        <w:t xml:space="preserve"> </w:t>
      </w:r>
      <w:r>
        <w:rPr>
          <w:rFonts w:hint="eastAsia"/>
        </w:rPr>
        <w:t>CIP,</w:t>
      </w:r>
      <w:r>
        <w:t xml:space="preserve"> </w:t>
      </w:r>
      <w:r>
        <w:rPr>
          <w:rFonts w:hint="eastAsia"/>
        </w:rPr>
        <w:t>LVX,</w:t>
      </w:r>
      <w:r>
        <w:t xml:space="preserve"> </w:t>
      </w:r>
      <w:r>
        <w:rPr>
          <w:rFonts w:hint="eastAsia"/>
        </w:rPr>
        <w:t>SXT,</w:t>
      </w:r>
      <w:r>
        <w:t xml:space="preserve"> </w:t>
      </w:r>
      <w:r>
        <w:rPr>
          <w:rFonts w:hint="eastAsia"/>
        </w:rPr>
        <w:t>MNO,</w:t>
      </w:r>
      <w:r>
        <w:t xml:space="preserve"> </w:t>
      </w:r>
      <w:r>
        <w:rPr>
          <w:rFonts w:hint="eastAsia"/>
        </w:rPr>
        <w:t xml:space="preserve">TGC </w:t>
      </w:r>
      <w:r>
        <w:t>were determined</w:t>
      </w:r>
      <w:r>
        <w:rPr>
          <w:rFonts w:hint="eastAsia"/>
        </w:rPr>
        <w:t xml:space="preserve"> and </w:t>
      </w:r>
      <w:r>
        <w:t>the Kirby-Bauer method</w:t>
      </w:r>
      <w:r>
        <w:rPr>
          <w:rFonts w:hint="eastAsia"/>
        </w:rPr>
        <w:t xml:space="preserve"> of AMP,</w:t>
      </w:r>
      <w:r>
        <w:t xml:space="preserve"> </w:t>
      </w:r>
      <w:r>
        <w:rPr>
          <w:rFonts w:hint="eastAsia"/>
        </w:rPr>
        <w:t>SAM,</w:t>
      </w:r>
      <w:r>
        <w:t xml:space="preserve"> </w:t>
      </w:r>
      <w:r>
        <w:rPr>
          <w:rFonts w:hint="eastAsia"/>
        </w:rPr>
        <w:t>CZO,</w:t>
      </w:r>
      <w:r>
        <w:t xml:space="preserve"> </w:t>
      </w:r>
      <w:r>
        <w:rPr>
          <w:rFonts w:hint="eastAsia"/>
        </w:rPr>
        <w:t>CRO, were determined.</w:t>
      </w:r>
      <w:r>
        <w:t xml:space="preserve"> Results were interpreted according to the guideline of CLSI</w:t>
      </w:r>
      <w:r>
        <w:rPr>
          <w:rFonts w:hint="eastAsia"/>
        </w:rPr>
        <w:t>.</w:t>
      </w:r>
      <w:r>
        <w:t xml:space="preserve"> Considering the absence of CLSI breakpoints for interpretation of tigecycline and colistin results, the current European Committee on Antimicrobial Susceptibility Testing (EUCAST)guidelines were used</w:t>
      </w:r>
      <w:r>
        <w:rPr>
          <w:rFonts w:hint="eastAsia"/>
        </w:rPr>
        <w:t xml:space="preserve"> to interpret colistin </w:t>
      </w:r>
      <w:r>
        <w:t>(susceptible, ≤2 mg/L; resistant, ≥</w:t>
      </w:r>
      <w:r>
        <w:rPr>
          <w:rFonts w:hint="eastAsia"/>
        </w:rPr>
        <w:t>4</w:t>
      </w:r>
      <w:r>
        <w:t xml:space="preserve"> mg/L)</w:t>
      </w:r>
      <w:r>
        <w:rPr>
          <w:rFonts w:hint="eastAsia"/>
        </w:rPr>
        <w:t xml:space="preserve"> and t</w:t>
      </w:r>
      <w:r>
        <w:t>he Food and Drug Administration was used as the breakpoints for tigecycline</w:t>
      </w:r>
      <w:r>
        <w:rPr>
          <w:rFonts w:hint="eastAsia"/>
        </w:rPr>
        <w:t xml:space="preserve"> </w:t>
      </w:r>
      <w:r>
        <w:t>(susceptible, ≤2 mg/L; resistant, ≥8 mg/L)</w:t>
      </w:r>
      <w:r>
        <w:rPr>
          <w:rFonts w:hint="eastAsia"/>
        </w:rPr>
        <w:t>; Red indicates resistance; U</w:t>
      </w:r>
      <w:r>
        <w:t>N refers to clinical data not mentioned</w:t>
      </w:r>
      <w:r>
        <w:rPr>
          <w:rFonts w:hint="eastAsia"/>
        </w:rPr>
        <w:t>.</w:t>
      </w:r>
    </w:p>
    <w:p/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2MzBhYTA3MGVkYzUwNTUwZGZkNzJlYzFmZTNiYTkifQ=="/>
    <w:docVar w:name="KSO_WPS_MARK_KEY" w:val="fab8f98a-8d2d-45c6-bd75-a785ae57c843"/>
  </w:docVars>
  <w:rsids>
    <w:rsidRoot w:val="009B6311"/>
    <w:rsid w:val="00017035"/>
    <w:rsid w:val="00055C0E"/>
    <w:rsid w:val="00094A41"/>
    <w:rsid w:val="00106BAE"/>
    <w:rsid w:val="00155967"/>
    <w:rsid w:val="00195DD2"/>
    <w:rsid w:val="001C60C9"/>
    <w:rsid w:val="00230E4C"/>
    <w:rsid w:val="00236A5A"/>
    <w:rsid w:val="00273F6B"/>
    <w:rsid w:val="00367ECF"/>
    <w:rsid w:val="00382546"/>
    <w:rsid w:val="00400111"/>
    <w:rsid w:val="00447F04"/>
    <w:rsid w:val="004A3111"/>
    <w:rsid w:val="004A59F0"/>
    <w:rsid w:val="004D5D56"/>
    <w:rsid w:val="0050093C"/>
    <w:rsid w:val="00553FFC"/>
    <w:rsid w:val="00563862"/>
    <w:rsid w:val="005D0D09"/>
    <w:rsid w:val="0061040C"/>
    <w:rsid w:val="00664E4F"/>
    <w:rsid w:val="006D736B"/>
    <w:rsid w:val="006E6AB1"/>
    <w:rsid w:val="0070777B"/>
    <w:rsid w:val="007F05E4"/>
    <w:rsid w:val="00807C98"/>
    <w:rsid w:val="00816D69"/>
    <w:rsid w:val="00863447"/>
    <w:rsid w:val="008A15BB"/>
    <w:rsid w:val="008B500B"/>
    <w:rsid w:val="008F1B1E"/>
    <w:rsid w:val="009B3128"/>
    <w:rsid w:val="009B6311"/>
    <w:rsid w:val="00A054AD"/>
    <w:rsid w:val="00A506A8"/>
    <w:rsid w:val="00B03796"/>
    <w:rsid w:val="00B07B82"/>
    <w:rsid w:val="00B44274"/>
    <w:rsid w:val="00B6428D"/>
    <w:rsid w:val="00B773D5"/>
    <w:rsid w:val="00B92F42"/>
    <w:rsid w:val="00BA0351"/>
    <w:rsid w:val="00C86444"/>
    <w:rsid w:val="00C91C53"/>
    <w:rsid w:val="00D123AD"/>
    <w:rsid w:val="00D42D29"/>
    <w:rsid w:val="00D92FAF"/>
    <w:rsid w:val="00E74C43"/>
    <w:rsid w:val="00EC0E4F"/>
    <w:rsid w:val="00EC5EB8"/>
    <w:rsid w:val="00F15A2E"/>
    <w:rsid w:val="00F61A6F"/>
    <w:rsid w:val="00F66828"/>
    <w:rsid w:val="09C474A0"/>
    <w:rsid w:val="0D466B4A"/>
    <w:rsid w:val="241430A6"/>
    <w:rsid w:val="42391268"/>
    <w:rsid w:val="4D9C5D37"/>
    <w:rsid w:val="5D6E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uiPriority w:val="99"/>
    <w:rPr>
      <w:sz w:val="18"/>
      <w:szCs w:val="18"/>
    </w:rPr>
  </w:style>
  <w:style w:type="table" w:customStyle="1" w:styleId="12">
    <w:name w:val="无格式表格 11"/>
    <w:basedOn w:val="5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3">
    <w:name w:val="无格式表格 31"/>
    <w:basedOn w:val="5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14">
    <w:name w:val="网格表 1 浅色 - 着色 51"/>
    <w:basedOn w:val="5"/>
    <w:qFormat/>
    <w:uiPriority w:val="46"/>
    <w:tblPr>
      <w:tblBorders>
        <w:top w:val="single" w:color="B6DDE8" w:themeColor="accent5" w:themeTint="66" w:sz="4" w:space="0"/>
        <w:left w:val="single" w:color="B6DDE8" w:themeColor="accent5" w:themeTint="66" w:sz="4" w:space="0"/>
        <w:bottom w:val="single" w:color="B6DDE8" w:themeColor="accent5" w:themeTint="66" w:sz="4" w:space="0"/>
        <w:right w:val="single" w:color="B6DDE8" w:themeColor="accent5" w:themeTint="66" w:sz="4" w:space="0"/>
        <w:insideH w:val="single" w:color="B6DDE8" w:themeColor="accent5" w:themeTint="66" w:sz="4" w:space="0"/>
        <w:insideV w:val="single" w:color="B6DDE8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2CDDC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5">
    <w:name w:val="批注框文本 字符"/>
    <w:basedOn w:val="7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xl65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xl66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xl67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20">
    <w:name w:val="xl68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xl69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22">
    <w:name w:val="xl70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xl71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4">
    <w:name w:val="xl72"/>
    <w:basedOn w:val="1"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xl73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843B5-EBDB-41D3-AAFB-00C7A1A08A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1018</Words>
  <Characters>3075</Characters>
  <Lines>909</Lines>
  <Paragraphs>904</Paragraphs>
  <TotalTime>13</TotalTime>
  <ScaleCrop>false</ScaleCrop>
  <LinksUpToDate>false</LinksUpToDate>
  <CharactersWithSpaces>3189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2023-03-29T10:46:00Z</dcterms:created>
  <dc:creator>Windows 用户</dc:creator>
  <cp:lastModifiedBy>Ruyan Chen</cp:lastModifiedBy>
  <dcterms:modified xsi:type="dcterms:W3CDTF">2023-11-20T08:51:36Z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86E9C853346C4B7A87190F05D44C8FCB</vt:lpwstr>
  </property>
  <property fmtid="{D5CDD505-2E9C-101B-9397-08002B2CF9AE}" pid="4" name="GrammarlyDocumentId">
    <vt:lpwstr>232056b70d3cd7e95929862557bbd90ec9476342437c11216039e3317a5244f9</vt:lpwstr>
  </property>
</Properties>
</file>