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5A4" w:rsidRPr="00BB30A2" w:rsidRDefault="00D045A4" w:rsidP="00D045A4">
      <w:pPr>
        <w:spacing w:line="480" w:lineRule="auto"/>
        <w:jc w:val="both"/>
        <w:rPr>
          <w:b/>
          <w:bCs/>
        </w:rPr>
      </w:pPr>
      <w:r w:rsidRPr="00BB30A2">
        <w:rPr>
          <w:b/>
          <w:bCs/>
          <w:sz w:val="24"/>
          <w:szCs w:val="24"/>
        </w:rPr>
        <w:t>Living in mangroves: a syntrophic scenario unveiling a resourceful microbiome</w:t>
      </w:r>
    </w:p>
    <w:p w:rsidR="00D045A4" w:rsidRDefault="00D045A4" w:rsidP="00D045A4">
      <w:pPr>
        <w:pStyle w:val="NormalWeb"/>
        <w:spacing w:before="0" w:beforeAutospacing="0" w:after="160" w:afterAutospacing="0" w:line="480" w:lineRule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B30A2">
        <w:rPr>
          <w:rFonts w:ascii="Calibri" w:hAnsi="Calibri" w:cs="Calibri"/>
          <w:b/>
          <w:bCs/>
          <w:color w:val="000000"/>
          <w:sz w:val="22"/>
          <w:szCs w:val="22"/>
        </w:rPr>
        <w:t>Supplementary Material</w:t>
      </w:r>
    </w:p>
    <w:p w:rsidR="00D045A4" w:rsidRPr="00BB30A2" w:rsidRDefault="00D045A4" w:rsidP="00D045A4">
      <w:pPr>
        <w:pStyle w:val="NormalWeb"/>
        <w:spacing w:before="0" w:beforeAutospacing="0" w:after="160" w:afterAutospacing="0" w:line="480" w:lineRule="auto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Figure legends</w:t>
      </w:r>
    </w:p>
    <w:p w:rsidR="00D045A4" w:rsidRPr="00BB30A2" w:rsidRDefault="00D045A4" w:rsidP="00D045A4">
      <w:pPr>
        <w:pStyle w:val="NormalWeb"/>
        <w:spacing w:before="0" w:beforeAutospacing="0" w:after="160" w:afterAutospacing="0" w:line="480" w:lineRule="auto"/>
      </w:pPr>
      <w:r w:rsidRPr="00BB30A2">
        <w:rPr>
          <w:rFonts w:ascii="Calibri" w:hAnsi="Calibri" w:cs="Calibri"/>
          <w:color w:val="000000"/>
          <w:sz w:val="22"/>
          <w:szCs w:val="22"/>
        </w:rPr>
        <w:t xml:space="preserve">Fig. S1 </w:t>
      </w:r>
      <w:proofErr w:type="gramStart"/>
      <w:r w:rsidRPr="00BB30A2">
        <w:rPr>
          <w:rFonts w:ascii="Calibri" w:hAnsi="Calibri" w:cs="Calibri"/>
          <w:color w:val="000000"/>
          <w:sz w:val="22"/>
          <w:szCs w:val="22"/>
        </w:rPr>
        <w:t>The</w:t>
      </w:r>
      <w:proofErr w:type="gramEnd"/>
      <w:r w:rsidRPr="00BB30A2">
        <w:rPr>
          <w:rFonts w:ascii="Calibri" w:hAnsi="Calibri" w:cs="Calibri"/>
          <w:color w:val="000000"/>
          <w:sz w:val="22"/>
          <w:szCs w:val="22"/>
        </w:rPr>
        <w:t xml:space="preserve"> sulfur metabolism flux profile comparison between the complete and customized media.</w:t>
      </w:r>
    </w:p>
    <w:p w:rsidR="00D045A4" w:rsidRPr="00BB30A2" w:rsidRDefault="00D045A4" w:rsidP="00D045A4">
      <w:pPr>
        <w:pStyle w:val="NormalWeb"/>
        <w:spacing w:before="0" w:beforeAutospacing="0" w:after="160" w:afterAutospacing="0" w:line="480" w:lineRule="auto"/>
        <w:rPr>
          <w:rFonts w:ascii="Calibri" w:hAnsi="Calibri" w:cs="Calibri"/>
          <w:color w:val="000000"/>
          <w:sz w:val="22"/>
          <w:szCs w:val="22"/>
        </w:rPr>
      </w:pPr>
      <w:r w:rsidRPr="00BB30A2">
        <w:rPr>
          <w:rFonts w:ascii="Calibri" w:hAnsi="Calibri" w:cs="Calibri"/>
          <w:color w:val="000000"/>
          <w:sz w:val="22"/>
          <w:szCs w:val="22"/>
        </w:rPr>
        <w:t xml:space="preserve">Fig. S2 </w:t>
      </w:r>
      <w:proofErr w:type="gramStart"/>
      <w:r w:rsidRPr="00BB30A2">
        <w:rPr>
          <w:rFonts w:ascii="Calibri" w:hAnsi="Calibri" w:cs="Calibri"/>
          <w:color w:val="000000"/>
          <w:sz w:val="22"/>
          <w:szCs w:val="22"/>
        </w:rPr>
        <w:t>The</w:t>
      </w:r>
      <w:proofErr w:type="gramEnd"/>
      <w:r w:rsidRPr="00BB30A2">
        <w:rPr>
          <w:rFonts w:ascii="Calibri" w:hAnsi="Calibri" w:cs="Calibri"/>
          <w:color w:val="000000"/>
          <w:sz w:val="22"/>
          <w:szCs w:val="22"/>
        </w:rPr>
        <w:t xml:space="preserve"> nitrogen metabolism flux profile comparison between the complete and customized media.</w:t>
      </w:r>
    </w:p>
    <w:p w:rsidR="00D045A4" w:rsidRPr="00BB30A2" w:rsidRDefault="00D045A4" w:rsidP="00D045A4">
      <w:pPr>
        <w:spacing w:line="480" w:lineRule="auto"/>
        <w:jc w:val="both"/>
      </w:pPr>
      <w:r w:rsidRPr="00BB30A2">
        <w:rPr>
          <w:color w:val="000000"/>
        </w:rPr>
        <w:t>Fig. S</w:t>
      </w:r>
      <w:r w:rsidRPr="00BB30A2">
        <w:t xml:space="preserve">3 Degradation and conversion routes identified for main saccharides. </w:t>
      </w:r>
      <w:proofErr w:type="gramStart"/>
      <w:r w:rsidRPr="00BB30A2">
        <w:t>Saccharides and their reactions are indicated by arrows</w:t>
      </w:r>
      <w:proofErr w:type="gramEnd"/>
      <w:r w:rsidRPr="00BB30A2">
        <w:t>: Polysaccharides (orange), disaccharides (green), and monosaccharides (blue).</w:t>
      </w:r>
    </w:p>
    <w:p w:rsidR="00D045A4" w:rsidRPr="00BB30A2" w:rsidRDefault="00D045A4" w:rsidP="00D045A4">
      <w:pPr>
        <w:spacing w:line="480" w:lineRule="auto"/>
        <w:jc w:val="both"/>
      </w:pPr>
      <w:r w:rsidRPr="00BB30A2">
        <w:rPr>
          <w:color w:val="000000"/>
        </w:rPr>
        <w:t>Fig. S</w:t>
      </w:r>
      <w:r w:rsidRPr="00BB30A2">
        <w:t>4 Calvin-Benson-</w:t>
      </w:r>
      <w:proofErr w:type="spellStart"/>
      <w:r w:rsidRPr="00BB30A2">
        <w:t>Bassham</w:t>
      </w:r>
      <w:proofErr w:type="spellEnd"/>
      <w:r w:rsidRPr="00BB30A2">
        <w:t xml:space="preserve"> (CBB) cycle and connections.</w:t>
      </w:r>
    </w:p>
    <w:p w:rsidR="00D045A4" w:rsidRPr="00BB30A2" w:rsidRDefault="00D045A4" w:rsidP="00D045A4">
      <w:pPr>
        <w:spacing w:line="480" w:lineRule="auto"/>
        <w:jc w:val="both"/>
      </w:pPr>
      <w:r w:rsidRPr="00BB30A2">
        <w:rPr>
          <w:color w:val="000000"/>
        </w:rPr>
        <w:t>Fig. S</w:t>
      </w:r>
      <w:r w:rsidRPr="00BB30A2">
        <w:t xml:space="preserve">5. Venn diagrams showing the shared and exclusive compounds between A: complete (CO), customized (CA/CN) and autotrophic media (AA/AN) and B: complete, aerobic and anaerobic customized media with amino acids (CA, CN) and aerobic and anaerobic customized media without amino acids (CA2, CN2). The compounds list for each media </w:t>
      </w:r>
      <w:proofErr w:type="gramStart"/>
      <w:r w:rsidRPr="00BB30A2">
        <w:t>is presented</w:t>
      </w:r>
      <w:proofErr w:type="gramEnd"/>
      <w:r w:rsidRPr="00BB30A2">
        <w:t xml:space="preserve"> in Table S7.</w:t>
      </w:r>
    </w:p>
    <w:p w:rsidR="00D045A4" w:rsidRPr="00312A23" w:rsidRDefault="00D045A4" w:rsidP="00312A23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B30A2">
        <w:rPr>
          <w:rFonts w:ascii="Calibri" w:hAnsi="Calibri" w:cs="Calibri"/>
          <w:color w:val="000000"/>
          <w:sz w:val="22"/>
          <w:szCs w:val="22"/>
        </w:rPr>
        <w:t xml:space="preserve">Fig. S6 </w:t>
      </w:r>
      <w:proofErr w:type="gramStart"/>
      <w:r w:rsidRPr="00BB30A2">
        <w:rPr>
          <w:rFonts w:ascii="Calibri" w:hAnsi="Calibri" w:cs="Calibri"/>
          <w:color w:val="000000"/>
          <w:sz w:val="22"/>
          <w:szCs w:val="22"/>
        </w:rPr>
        <w:t>The</w:t>
      </w:r>
      <w:proofErr w:type="gramEnd"/>
      <w:r w:rsidRPr="00BB30A2">
        <w:rPr>
          <w:rFonts w:ascii="Calibri" w:hAnsi="Calibri" w:cs="Calibri"/>
          <w:color w:val="000000"/>
          <w:sz w:val="22"/>
          <w:szCs w:val="22"/>
        </w:rPr>
        <w:t xml:space="preserve"> amino acid biosynthesis and degradation pathways identified by the KEGG </w:t>
      </w:r>
      <w:r w:rsidRPr="00312A23">
        <w:rPr>
          <w:rFonts w:asciiTheme="minorHAnsi" w:hAnsiTheme="minorHAnsi" w:cstheme="minorHAnsi"/>
          <w:color w:val="000000"/>
          <w:sz w:val="22"/>
          <w:szCs w:val="22"/>
        </w:rPr>
        <w:t>reconstruction.</w:t>
      </w:r>
    </w:p>
    <w:p w:rsidR="00312A23" w:rsidRPr="00312A23" w:rsidRDefault="00312A23" w:rsidP="00312A23">
      <w:pPr>
        <w:spacing w:after="0" w:line="480" w:lineRule="auto"/>
        <w:jc w:val="both"/>
        <w:rPr>
          <w:rFonts w:asciiTheme="minorHAnsi" w:eastAsia="Times New Roman" w:hAnsiTheme="minorHAnsi" w:cstheme="minorHAnsi"/>
          <w:lang w:val="pt-BR" w:eastAsia="pt-BR"/>
        </w:rPr>
      </w:pPr>
      <w:r>
        <w:rPr>
          <w:rFonts w:asciiTheme="minorHAnsi" w:eastAsia="Times New Roman" w:hAnsiTheme="minorHAnsi" w:cstheme="minorHAnsi"/>
          <w:color w:val="000000"/>
          <w:lang w:val="pt-BR" w:eastAsia="pt-BR"/>
        </w:rPr>
        <w:t>Fig. S7</w:t>
      </w:r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Phylogenomic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reconstruction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of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the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11 ETDI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MAGs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and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their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evolutionary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relationships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with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public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reference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genomes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.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Colored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boxes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represent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the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occurrence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of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that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pathway</w:t>
      </w:r>
      <w:proofErr w:type="spellEnd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/</w:t>
      </w:r>
      <w:proofErr w:type="spellStart"/>
      <w:r w:rsidRPr="00312A23">
        <w:rPr>
          <w:rFonts w:asciiTheme="minorHAnsi" w:eastAsia="Times New Roman" w:hAnsiTheme="minorHAnsi" w:cstheme="minorHAnsi"/>
          <w:color w:val="000000"/>
          <w:lang w:val="pt-BR" w:eastAsia="pt-BR"/>
        </w:rPr>
        <w:t>route</w:t>
      </w:r>
      <w:proofErr w:type="spellEnd"/>
      <w:r>
        <w:rPr>
          <w:rFonts w:asciiTheme="minorHAnsi" w:eastAsia="Times New Roman" w:hAnsiTheme="minorHAnsi" w:cstheme="minorHAnsi"/>
          <w:color w:val="000000"/>
          <w:lang w:val="pt-BR" w:eastAsia="pt-BR"/>
        </w:rPr>
        <w:t>/</w:t>
      </w:r>
      <w:proofErr w:type="spellStart"/>
      <w:r>
        <w:rPr>
          <w:rFonts w:asciiTheme="minorHAnsi" w:eastAsia="Times New Roman" w:hAnsiTheme="minorHAnsi" w:cstheme="minorHAnsi"/>
          <w:color w:val="000000"/>
          <w:lang w:val="pt-BR" w:eastAsia="pt-BR"/>
        </w:rPr>
        <w:t>protein</w:t>
      </w:r>
      <w:proofErr w:type="spellEnd"/>
      <w:r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in </w:t>
      </w:r>
      <w:proofErr w:type="spellStart"/>
      <w:r>
        <w:rPr>
          <w:rFonts w:asciiTheme="minorHAnsi" w:eastAsia="Times New Roman" w:hAnsiTheme="minorHAnsi" w:cstheme="minorHAnsi"/>
          <w:color w:val="000000"/>
          <w:lang w:val="pt-BR" w:eastAsia="pt-BR"/>
        </w:rPr>
        <w:t>the</w:t>
      </w:r>
      <w:proofErr w:type="spellEnd"/>
      <w:r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lang w:val="pt-BR" w:eastAsia="pt-BR"/>
        </w:rPr>
        <w:t>respective</w:t>
      </w:r>
      <w:proofErr w:type="spellEnd"/>
      <w:r>
        <w:rPr>
          <w:rFonts w:asciiTheme="minorHAnsi" w:eastAsia="Times New Roman" w:hAnsiTheme="minorHAnsi" w:cstheme="minorHAnsi"/>
          <w:color w:val="000000"/>
          <w:lang w:val="pt-BR" w:eastAsia="pt-BR"/>
        </w:rPr>
        <w:t xml:space="preserve"> MAG.</w:t>
      </w:r>
      <w:bookmarkStart w:id="0" w:name="_GoBack"/>
      <w:bookmarkEnd w:id="0"/>
    </w:p>
    <w:p w:rsidR="00312A23" w:rsidRPr="00312A23" w:rsidRDefault="00312A23" w:rsidP="00312A23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sz w:val="22"/>
          <w:szCs w:val="22"/>
        </w:rPr>
      </w:pPr>
    </w:p>
    <w:p w:rsidR="00D045A4" w:rsidRPr="00D045A4" w:rsidRDefault="00D045A4" w:rsidP="00D045A4">
      <w:pPr>
        <w:spacing w:line="480" w:lineRule="auto"/>
        <w:jc w:val="both"/>
        <w:rPr>
          <w:b/>
        </w:rPr>
      </w:pPr>
      <w:r w:rsidRPr="00D045A4">
        <w:rPr>
          <w:b/>
        </w:rPr>
        <w:t>Table</w:t>
      </w:r>
      <w:r>
        <w:rPr>
          <w:b/>
        </w:rPr>
        <w:t xml:space="preserve"> </w:t>
      </w:r>
      <w:r w:rsidRPr="00D045A4">
        <w:rPr>
          <w:b/>
        </w:rPr>
        <w:t>legends</w:t>
      </w:r>
    </w:p>
    <w:p w:rsidR="00D045A4" w:rsidRPr="00BB30A2" w:rsidRDefault="00D045A4" w:rsidP="00D045A4">
      <w:pPr>
        <w:pStyle w:val="NormalWeb"/>
        <w:spacing w:before="0" w:beforeAutospacing="0" w:after="160" w:afterAutospacing="0" w:line="480" w:lineRule="auto"/>
      </w:pPr>
      <w:r w:rsidRPr="00BB30A2">
        <w:rPr>
          <w:rFonts w:ascii="Calibri" w:hAnsi="Calibri" w:cs="Calibri"/>
          <w:color w:val="000000"/>
          <w:sz w:val="22"/>
          <w:szCs w:val="22"/>
        </w:rPr>
        <w:t>Table S1 Detailed assembly metrics of each MAG.</w:t>
      </w:r>
    </w:p>
    <w:p w:rsidR="00D045A4" w:rsidRPr="00BB30A2" w:rsidRDefault="00D045A4" w:rsidP="00D045A4">
      <w:pPr>
        <w:pStyle w:val="NormalWeb"/>
        <w:spacing w:before="0" w:beforeAutospacing="0" w:after="160" w:afterAutospacing="0" w:line="480" w:lineRule="auto"/>
      </w:pPr>
      <w:r w:rsidRPr="00BB30A2">
        <w:rPr>
          <w:rFonts w:ascii="Calibri" w:hAnsi="Calibri" w:cs="Calibri"/>
          <w:color w:val="000000"/>
          <w:sz w:val="22"/>
          <w:szCs w:val="22"/>
        </w:rPr>
        <w:lastRenderedPageBreak/>
        <w:t xml:space="preserve">Table S2 KEGG functional profile: Pathways </w:t>
      </w:r>
      <w:proofErr w:type="spellStart"/>
      <w:r w:rsidRPr="00BB30A2">
        <w:rPr>
          <w:rFonts w:ascii="Calibri" w:hAnsi="Calibri" w:cs="Calibri"/>
          <w:color w:val="000000"/>
          <w:sz w:val="22"/>
          <w:szCs w:val="22"/>
        </w:rPr>
        <w:t>representativity</w:t>
      </w:r>
      <w:proofErr w:type="spellEnd"/>
      <w:r w:rsidRPr="00BB30A2">
        <w:rPr>
          <w:rFonts w:ascii="Calibri" w:hAnsi="Calibri" w:cs="Calibri"/>
          <w:color w:val="000000"/>
          <w:sz w:val="22"/>
          <w:szCs w:val="22"/>
        </w:rPr>
        <w:t xml:space="preserve"> (number of unique </w:t>
      </w:r>
      <w:proofErr w:type="spellStart"/>
      <w:proofErr w:type="gramStart"/>
      <w:r w:rsidRPr="00BB30A2">
        <w:rPr>
          <w:rFonts w:ascii="Calibri" w:hAnsi="Calibri" w:cs="Calibri"/>
          <w:color w:val="000000"/>
          <w:sz w:val="22"/>
          <w:szCs w:val="22"/>
        </w:rPr>
        <w:t>Ko’s</w:t>
      </w:r>
      <w:proofErr w:type="spellEnd"/>
      <w:proofErr w:type="gramEnd"/>
      <w:r w:rsidRPr="00BB30A2">
        <w:rPr>
          <w:rFonts w:ascii="Calibri" w:hAnsi="Calibri" w:cs="Calibri"/>
          <w:color w:val="000000"/>
          <w:sz w:val="22"/>
          <w:szCs w:val="22"/>
        </w:rPr>
        <w:t>) among the ETDI MAGs.</w:t>
      </w:r>
    </w:p>
    <w:p w:rsidR="00D045A4" w:rsidRPr="00BB30A2" w:rsidRDefault="00D045A4" w:rsidP="00D045A4">
      <w:pPr>
        <w:pStyle w:val="NormalWeb"/>
        <w:spacing w:before="0" w:beforeAutospacing="0" w:after="160" w:afterAutospacing="0" w:line="480" w:lineRule="auto"/>
      </w:pPr>
      <w:r w:rsidRPr="00BB30A2">
        <w:rPr>
          <w:rFonts w:ascii="Calibri" w:hAnsi="Calibri" w:cs="Calibri"/>
          <w:color w:val="000000"/>
          <w:sz w:val="22"/>
          <w:szCs w:val="22"/>
        </w:rPr>
        <w:t>Table S3 KEGG functional profile: Modules occurrence among the ETDI MAGs.</w:t>
      </w:r>
    </w:p>
    <w:p w:rsidR="00D045A4" w:rsidRPr="00BB30A2" w:rsidRDefault="00D045A4" w:rsidP="00D045A4">
      <w:pPr>
        <w:pStyle w:val="NormalWeb"/>
        <w:spacing w:before="0" w:beforeAutospacing="0" w:after="160" w:afterAutospacing="0" w:line="480" w:lineRule="auto"/>
      </w:pPr>
      <w:r w:rsidRPr="00BB30A2">
        <w:rPr>
          <w:rFonts w:ascii="Calibri" w:hAnsi="Calibri" w:cs="Calibri"/>
          <w:color w:val="000000"/>
          <w:sz w:val="22"/>
          <w:szCs w:val="22"/>
        </w:rPr>
        <w:t xml:space="preserve">Table S4 List of </w:t>
      </w:r>
      <w:proofErr w:type="spellStart"/>
      <w:r w:rsidRPr="00BB30A2">
        <w:rPr>
          <w:rFonts w:ascii="Calibri" w:hAnsi="Calibri" w:cs="Calibri"/>
          <w:color w:val="000000"/>
          <w:sz w:val="22"/>
          <w:szCs w:val="22"/>
        </w:rPr>
        <w:t>CAZy</w:t>
      </w:r>
      <w:proofErr w:type="spellEnd"/>
      <w:r w:rsidRPr="00BB30A2">
        <w:rPr>
          <w:rFonts w:ascii="Calibri" w:hAnsi="Calibri" w:cs="Calibri"/>
          <w:color w:val="000000"/>
          <w:sz w:val="22"/>
          <w:szCs w:val="22"/>
        </w:rPr>
        <w:t xml:space="preserve"> enzymes identified according to the KEGG database.</w:t>
      </w:r>
    </w:p>
    <w:p w:rsidR="00D045A4" w:rsidRPr="00BB30A2" w:rsidRDefault="00D045A4" w:rsidP="00D045A4">
      <w:pPr>
        <w:pStyle w:val="NormalWeb"/>
        <w:spacing w:before="0" w:beforeAutospacing="0" w:after="160" w:afterAutospacing="0" w:line="480" w:lineRule="auto"/>
        <w:rPr>
          <w:rFonts w:ascii="Calibri" w:hAnsi="Calibri" w:cs="Calibri"/>
          <w:color w:val="000000"/>
          <w:sz w:val="22"/>
          <w:szCs w:val="22"/>
        </w:rPr>
      </w:pPr>
      <w:r w:rsidRPr="00BB30A2">
        <w:rPr>
          <w:rFonts w:ascii="Calibri" w:hAnsi="Calibri" w:cs="Calibri"/>
          <w:color w:val="000000"/>
          <w:sz w:val="22"/>
          <w:szCs w:val="22"/>
        </w:rPr>
        <w:t>Table S5 Flux Balance Analysis (FBA) profile showing the occurrence of the main reactions from the pathways described. Reaction direction: (-) right to left, (+) left to right.</w:t>
      </w:r>
    </w:p>
    <w:p w:rsidR="00D045A4" w:rsidRPr="00BB30A2" w:rsidRDefault="00D045A4" w:rsidP="00D045A4">
      <w:pPr>
        <w:pStyle w:val="NormalWeb"/>
        <w:spacing w:before="0" w:beforeAutospacing="0" w:after="160" w:afterAutospacing="0" w:line="480" w:lineRule="auto"/>
      </w:pPr>
      <w:r w:rsidRPr="00BB30A2">
        <w:rPr>
          <w:rFonts w:ascii="Calibri" w:hAnsi="Calibri" w:cs="Calibri"/>
          <w:color w:val="000000"/>
          <w:sz w:val="22"/>
          <w:szCs w:val="22"/>
        </w:rPr>
        <w:t>Table S6 Composition of each media, attempting to simulate the fluctuating ecological conditions characteristic of coastal mangroves.</w:t>
      </w:r>
    </w:p>
    <w:p w:rsidR="00D045A4" w:rsidRDefault="00D045A4" w:rsidP="00D045A4">
      <w:pPr>
        <w:pStyle w:val="NormalWeb"/>
        <w:spacing w:before="0" w:beforeAutospacing="0" w:after="160" w:afterAutospacing="0" w:line="480" w:lineRule="auto"/>
        <w:rPr>
          <w:rFonts w:ascii="Calibri" w:hAnsi="Calibri" w:cs="Calibri"/>
          <w:color w:val="000000"/>
          <w:sz w:val="22"/>
          <w:szCs w:val="22"/>
        </w:rPr>
      </w:pPr>
      <w:r w:rsidRPr="00BB30A2">
        <w:rPr>
          <w:rFonts w:ascii="Calibri" w:hAnsi="Calibri" w:cs="Calibri"/>
          <w:color w:val="000000"/>
          <w:sz w:val="22"/>
          <w:szCs w:val="22"/>
        </w:rPr>
        <w:t>Table S7 Compounds list for each media.</w:t>
      </w:r>
    </w:p>
    <w:sectPr w:rsidR="00D045A4" w:rsidSect="00DB42C9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A4"/>
    <w:rsid w:val="00266DDC"/>
    <w:rsid w:val="00312A23"/>
    <w:rsid w:val="00D045A4"/>
    <w:rsid w:val="00DB42C9"/>
    <w:rsid w:val="00FE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342C4"/>
  <w15:chartTrackingRefBased/>
  <w15:docId w15:val="{4AEE99FC-4490-4132-B6A6-3A69EB11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5A4"/>
    <w:rPr>
      <w:rFonts w:ascii="Calibri" w:eastAsia="Calibri" w:hAnsi="Calibri" w:cs="Calibri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4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DB4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2B61E-6DD5-43D4-A330-FE1FF10A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Luciane</dc:creator>
  <cp:keywords/>
  <dc:description/>
  <cp:lastModifiedBy>Luciane</cp:lastModifiedBy>
  <cp:revision>2</cp:revision>
  <dcterms:created xsi:type="dcterms:W3CDTF">2024-04-23T12:16:00Z</dcterms:created>
  <dcterms:modified xsi:type="dcterms:W3CDTF">2024-04-23T12:16:00Z</dcterms:modified>
</cp:coreProperties>
</file>