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A2592" w14:textId="77777777" w:rsidR="00B92DCE" w:rsidRPr="00717142" w:rsidRDefault="00B92DCE" w:rsidP="00B92D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71714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Legends</w:t>
      </w:r>
    </w:p>
    <w:p w14:paraId="5500408F" w14:textId="77777777" w:rsidR="00B92DCE" w:rsidRPr="00717142" w:rsidRDefault="00B92DCE" w:rsidP="00B92DCE">
      <w:pPr>
        <w:rPr>
          <w:rFonts w:ascii="Times New Roman" w:hAnsi="Times New Roman" w:cs="Times New Roman"/>
          <w:sz w:val="24"/>
          <w:szCs w:val="24"/>
        </w:rPr>
      </w:pPr>
      <w:r w:rsidRPr="0071714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3. </w:t>
      </w:r>
      <w:r w:rsidRPr="00717142">
        <w:rPr>
          <w:rFonts w:ascii="Times New Roman" w:hAnsi="Times New Roman" w:cs="Times New Roman"/>
          <w:sz w:val="24"/>
          <w:szCs w:val="24"/>
        </w:rPr>
        <w:t>Comparison of gut microbiota at the genus level between HC, No-NAs, and TDF groups.</w:t>
      </w:r>
    </w:p>
    <w:p w14:paraId="05B984B8" w14:textId="77777777" w:rsidR="00B92DCE" w:rsidRDefault="00B92DCE" w:rsidP="00B92D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25475C" w14:textId="77777777" w:rsidR="00B92DCE" w:rsidRPr="00A43D83" w:rsidRDefault="00B92DCE" w:rsidP="00B92DCE">
      <w:pPr>
        <w:rPr>
          <w:rFonts w:ascii="Times New Roman" w:hAnsi="Times New Roman" w:cs="Times New Roman"/>
          <w:sz w:val="24"/>
          <w:szCs w:val="24"/>
        </w:rPr>
      </w:pPr>
      <w:r w:rsidRPr="00717142">
        <w:rPr>
          <w:rFonts w:ascii="Times New Roman" w:hAnsi="Times New Roman" w:cs="Times New Roman"/>
          <w:b/>
          <w:bCs/>
          <w:sz w:val="24"/>
          <w:szCs w:val="24"/>
        </w:rPr>
        <w:t>Supplementary Table 4.</w:t>
      </w:r>
      <w:r w:rsidRPr="00717142">
        <w:rPr>
          <w:rFonts w:ascii="Times New Roman" w:hAnsi="Times New Roman" w:cs="Times New Roman"/>
          <w:sz w:val="24"/>
          <w:szCs w:val="24"/>
        </w:rPr>
        <w:t xml:space="preserve"> Comparison of serum inflammatory factors between No-NAs and TDF groups.</w:t>
      </w:r>
    </w:p>
    <w:p w14:paraId="662F56F5" w14:textId="77777777" w:rsidR="00B92DCE" w:rsidRDefault="00B92DCE" w:rsidP="00B92D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27DA3B" w14:textId="77777777" w:rsidR="00B92DCE" w:rsidRPr="00717142" w:rsidRDefault="00B92DCE" w:rsidP="00B92DCE">
      <w:pPr>
        <w:rPr>
          <w:rFonts w:ascii="Times New Roman" w:hAnsi="Times New Roman" w:cs="Times New Roman"/>
          <w:sz w:val="24"/>
          <w:szCs w:val="24"/>
        </w:rPr>
      </w:pPr>
      <w:r w:rsidRPr="0071714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5. </w:t>
      </w:r>
      <w:r w:rsidRPr="00717142">
        <w:rPr>
          <w:rFonts w:ascii="Times New Roman" w:hAnsi="Times New Roman" w:cs="Times New Roman"/>
          <w:sz w:val="24"/>
          <w:szCs w:val="24"/>
        </w:rPr>
        <w:t>Demographic and clinical characteristics of Phase 1 and Phase 2 subgroups of TDF group.</w:t>
      </w:r>
    </w:p>
    <w:p w14:paraId="30EBF27C" w14:textId="77777777" w:rsidR="00B92DCE" w:rsidRPr="00717142" w:rsidRDefault="00B92DCE" w:rsidP="00B92DCE">
      <w:pPr>
        <w:rPr>
          <w:rFonts w:ascii="Times New Roman" w:hAnsi="Times New Roman" w:cs="Times New Roman"/>
          <w:sz w:val="24"/>
          <w:szCs w:val="24"/>
        </w:rPr>
      </w:pPr>
    </w:p>
    <w:p w14:paraId="66C24BD9" w14:textId="77777777" w:rsidR="00B92DCE" w:rsidRPr="00717142" w:rsidRDefault="00B92DCE" w:rsidP="00B92DCE">
      <w:pPr>
        <w:rPr>
          <w:rFonts w:ascii="Times New Roman" w:hAnsi="Times New Roman" w:cs="Times New Roman"/>
          <w:sz w:val="24"/>
          <w:szCs w:val="24"/>
        </w:rPr>
      </w:pPr>
      <w:r w:rsidRPr="0071714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6. </w:t>
      </w:r>
      <w:r w:rsidRPr="00717142">
        <w:rPr>
          <w:rFonts w:ascii="Times New Roman" w:hAnsi="Times New Roman" w:cs="Times New Roman"/>
          <w:sz w:val="24"/>
          <w:szCs w:val="24"/>
        </w:rPr>
        <w:t>Comparison of serum inflammatory factors of Phase 1 and Phase 2 subgroups.</w:t>
      </w:r>
    </w:p>
    <w:p w14:paraId="46E4A4A4" w14:textId="77777777" w:rsidR="00B92DCE" w:rsidRPr="00717142" w:rsidRDefault="00B92DCE" w:rsidP="00B92DCE">
      <w:pPr>
        <w:rPr>
          <w:rFonts w:ascii="Times New Roman" w:hAnsi="Times New Roman" w:cs="Times New Roman"/>
          <w:sz w:val="24"/>
          <w:szCs w:val="24"/>
        </w:rPr>
      </w:pPr>
    </w:p>
    <w:p w14:paraId="7CE1FDFA" w14:textId="255CAF81" w:rsidR="00B92DCE" w:rsidRDefault="00B92DCE"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Figures</w:t>
      </w:r>
    </w:p>
    <w:p w14:paraId="06DA8B8B" w14:textId="77777777" w:rsidR="00B92DCE" w:rsidRDefault="00B92DCE"/>
    <w:p w14:paraId="5E0B025D" w14:textId="77777777" w:rsidR="00B92DCE" w:rsidRDefault="00B92DCE"/>
    <w:p w14:paraId="0A8891CA" w14:textId="026C7138" w:rsidR="00B92DCE" w:rsidRPr="00B92DCE" w:rsidRDefault="00B92DCE" w:rsidP="00B92DCE">
      <w:pPr>
        <w:rPr>
          <w:lang w:val="en-IN"/>
        </w:rPr>
      </w:pPr>
      <w:r w:rsidRPr="00B92DCE">
        <w:rPr>
          <w:lang w:val="en-IN"/>
        </w:rPr>
        <w:lastRenderedPageBreak/>
        <w:drawing>
          <wp:inline distT="0" distB="0" distL="0" distR="0" wp14:anchorId="66DB6A44" wp14:editId="5935DD02">
            <wp:extent cx="5731510" cy="8591550"/>
            <wp:effectExtent l="0" t="0" r="2540" b="0"/>
            <wp:docPr id="1827586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5591B" w14:textId="77777777" w:rsidR="00B92DCE" w:rsidRDefault="00B92DCE"/>
    <w:p w14:paraId="65821192" w14:textId="77777777" w:rsidR="00B92DCE" w:rsidRDefault="00B92DCE"/>
    <w:p w14:paraId="099E1730" w14:textId="10EC34D4" w:rsidR="00B92DCE" w:rsidRDefault="00B92DCE">
      <w:pPr>
        <w:rPr>
          <w:noProof/>
        </w:rPr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rPr>
          <w:noProof/>
        </w:rPr>
        <w:t xml:space="preserve">. </w:t>
      </w:r>
      <w:r w:rsidRPr="00412D80">
        <w:rPr>
          <w:noProof/>
        </w:rPr>
        <w:t>TDF effect on HBV viral load.</w:t>
      </w:r>
    </w:p>
    <w:p w14:paraId="3066D4E0" w14:textId="77777777" w:rsidR="00B92DCE" w:rsidRDefault="00B92DCE">
      <w:pPr>
        <w:rPr>
          <w:noProof/>
        </w:rPr>
      </w:pPr>
    </w:p>
    <w:p w14:paraId="0D8E1BE6" w14:textId="6890622E" w:rsidR="00B92DCE" w:rsidRPr="00B92DCE" w:rsidRDefault="00B92DCE" w:rsidP="00B92DCE">
      <w:pPr>
        <w:rPr>
          <w:noProof/>
          <w:lang w:val="en-IN"/>
        </w:rPr>
      </w:pPr>
      <w:r w:rsidRPr="00B92DCE">
        <w:rPr>
          <w:noProof/>
          <w:lang w:val="en-IN"/>
        </w:rPr>
        <w:lastRenderedPageBreak/>
        <w:drawing>
          <wp:inline distT="0" distB="0" distL="0" distR="0" wp14:anchorId="56336A9E" wp14:editId="5E86DD73">
            <wp:extent cx="5698490" cy="8863330"/>
            <wp:effectExtent l="0" t="0" r="0" b="0"/>
            <wp:docPr id="806908754" name="Picture 4" descr="A close-up of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08754" name="Picture 4" descr="A close-up of a fl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A3919" w14:textId="77777777" w:rsidR="00B92DCE" w:rsidRDefault="00B92DCE">
      <w:pPr>
        <w:rPr>
          <w:noProof/>
        </w:rPr>
      </w:pPr>
    </w:p>
    <w:p w14:paraId="0AEF5A42" w14:textId="77777777" w:rsidR="00B92DCE" w:rsidRDefault="00B92DCE">
      <w:pPr>
        <w:rPr>
          <w:noProof/>
        </w:rPr>
      </w:pPr>
    </w:p>
    <w:p w14:paraId="66B3BB29" w14:textId="77777777" w:rsidR="00B92DCE" w:rsidRPr="00265E37" w:rsidRDefault="00B92DCE" w:rsidP="00B92DCE">
      <w:pPr>
        <w:pStyle w:val="Caption"/>
      </w:pPr>
      <w:r>
        <w:t xml:space="preserve">Figure S2. </w:t>
      </w:r>
      <w:r w:rsidRPr="00412D80">
        <w:t>Spearman correlations between the relative abundance of bacterial genera and the levels of inflammatory factors.</w:t>
      </w:r>
    </w:p>
    <w:p w14:paraId="40250168" w14:textId="77777777" w:rsidR="00B92DCE" w:rsidRDefault="00B92DCE"/>
    <w:p w14:paraId="1A38BBF3" w14:textId="6F35EE55" w:rsidR="00B92DCE" w:rsidRPr="00B92DCE" w:rsidRDefault="00B92DCE" w:rsidP="00B92DCE">
      <w:pPr>
        <w:rPr>
          <w:lang w:val="en-IN"/>
        </w:rPr>
      </w:pPr>
      <w:r w:rsidRPr="00B92DCE">
        <w:rPr>
          <w:lang w:val="en-IN"/>
        </w:rPr>
        <w:drawing>
          <wp:inline distT="0" distB="0" distL="0" distR="0" wp14:anchorId="5954832A" wp14:editId="2CE16906">
            <wp:extent cx="5731510" cy="4909185"/>
            <wp:effectExtent l="0" t="0" r="2540" b="5715"/>
            <wp:docPr id="1839462491" name="Picture 6" descr="A diagram of a number of poi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62491" name="Picture 6" descr="A diagram of a number of poi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343D" w14:textId="77777777" w:rsidR="00B92DCE" w:rsidRDefault="00B92DCE"/>
    <w:p w14:paraId="6CBF738B" w14:textId="77777777" w:rsidR="00B92DCE" w:rsidRDefault="00B92DCE"/>
    <w:p w14:paraId="7F7E9DAC" w14:textId="3773CEB7" w:rsidR="00B92DCE" w:rsidRDefault="00B92DCE">
      <w:r>
        <w:t>Figure S3.</w:t>
      </w:r>
      <w:r w:rsidRPr="00412D80">
        <w:rPr>
          <w:rFonts w:ascii="Times New Roman" w:hAnsi="Times New Roman" w:cs="Times New Roman"/>
          <w:sz w:val="24"/>
          <w:szCs w:val="24"/>
        </w:rPr>
        <w:t xml:space="preserve"> </w:t>
      </w:r>
      <w:r w:rsidRPr="00412D80">
        <w:t>Principal coordinate analysis of β diversity of flora based on Bary-Curits distance (</w:t>
      </w:r>
      <w:proofErr w:type="spellStart"/>
      <w:r w:rsidRPr="00412D80">
        <w:t>PCoA</w:t>
      </w:r>
      <w:proofErr w:type="spellEnd"/>
      <w:r w:rsidRPr="00412D80">
        <w:t>)</w:t>
      </w:r>
      <w:r>
        <w:t>.</w:t>
      </w:r>
    </w:p>
    <w:sectPr w:rsidR="00B92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CE"/>
    <w:rsid w:val="003C2840"/>
    <w:rsid w:val="00B9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5B64"/>
  <w15:chartTrackingRefBased/>
  <w15:docId w15:val="{1344D8F4-3C52-4C5F-B2B3-A395FBBE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DCE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D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D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D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D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D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DC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92DCE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Wiley2 (Integra)</dc:creator>
  <cp:keywords/>
  <dc:description/>
  <cp:lastModifiedBy>Wiley2 (Integra)</cp:lastModifiedBy>
  <cp:revision>1</cp:revision>
  <dcterms:created xsi:type="dcterms:W3CDTF">2024-08-09T03:49:00Z</dcterms:created>
  <dcterms:modified xsi:type="dcterms:W3CDTF">2024-08-09T03:55:00Z</dcterms:modified>
</cp:coreProperties>
</file>