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E9D8" w14:textId="77777777" w:rsidR="007256E9" w:rsidRDefault="007256E9" w:rsidP="007256E9">
      <w:pPr>
        <w:spacing w:line="480" w:lineRule="auto"/>
      </w:pPr>
    </w:p>
    <w:p w14:paraId="069B33DB" w14:textId="652D4271" w:rsidR="00632F3F" w:rsidRDefault="00F60A31" w:rsidP="009F535F">
      <w:pPr>
        <w:pStyle w:val="Titre1"/>
        <w:numPr>
          <w:ilvl w:val="0"/>
          <w:numId w:val="0"/>
        </w:numPr>
        <w:spacing w:line="480" w:lineRule="auto"/>
      </w:pPr>
      <w:r>
        <w:t>S</w:t>
      </w:r>
      <w:r w:rsidR="007256E9" w:rsidRPr="002B4964">
        <w:t xml:space="preserve">upplementary </w:t>
      </w:r>
      <w:r w:rsidR="009E6F25">
        <w:t>Information</w:t>
      </w:r>
    </w:p>
    <w:p w14:paraId="2BF41E99" w14:textId="5D230B8F" w:rsidR="00632F3F" w:rsidRDefault="00F60A31" w:rsidP="00DC18A3">
      <w:pPr>
        <w:rPr>
          <w:b/>
          <w:bCs/>
        </w:rPr>
      </w:pPr>
      <w:r w:rsidRPr="00F60A31">
        <w:rPr>
          <w:b/>
          <w:bCs/>
        </w:rPr>
        <w:t>Legends</w:t>
      </w:r>
      <w:r w:rsidR="009E6F25">
        <w:rPr>
          <w:b/>
          <w:bCs/>
        </w:rPr>
        <w:t xml:space="preserve"> of supplementary figures</w:t>
      </w:r>
    </w:p>
    <w:p w14:paraId="0B543FF0" w14:textId="77777777" w:rsidR="00F60A31" w:rsidRPr="00F60A31" w:rsidRDefault="00F60A31" w:rsidP="00DC18A3">
      <w:pPr>
        <w:rPr>
          <w:b/>
          <w:bCs/>
        </w:rPr>
      </w:pPr>
    </w:p>
    <w:p w14:paraId="004D1255" w14:textId="4A4E308C" w:rsidR="009F535F" w:rsidRPr="00DE2B4B" w:rsidRDefault="009F535F" w:rsidP="009F535F">
      <w:pPr>
        <w:spacing w:line="480" w:lineRule="auto"/>
      </w:pPr>
      <w:r w:rsidRPr="002B4964">
        <w:rPr>
          <w:b/>
          <w:bCs/>
        </w:rPr>
        <w:t>Figure S</w:t>
      </w:r>
      <w:r>
        <w:rPr>
          <w:b/>
          <w:bCs/>
        </w:rPr>
        <w:t>1:</w:t>
      </w:r>
      <w:r w:rsidRPr="00DC18A3">
        <w:t xml:space="preserve"> </w:t>
      </w:r>
      <w:r w:rsidRPr="002B4964">
        <w:t xml:space="preserve">Growth curves of </w:t>
      </w:r>
      <w:r w:rsidRPr="002B4964">
        <w:rPr>
          <w:i/>
          <w:iCs/>
        </w:rPr>
        <w:t>S. aureus</w:t>
      </w:r>
      <w:r w:rsidRPr="002B4964">
        <w:t xml:space="preserve"> and </w:t>
      </w:r>
      <w:r w:rsidRPr="002B4964">
        <w:rPr>
          <w:i/>
          <w:iCs/>
        </w:rPr>
        <w:t xml:space="preserve">H. </w:t>
      </w:r>
      <w:proofErr w:type="spellStart"/>
      <w:r w:rsidRPr="002B4964">
        <w:rPr>
          <w:i/>
          <w:iCs/>
        </w:rPr>
        <w:t>kunzii</w:t>
      </w:r>
      <w:proofErr w:type="spellEnd"/>
      <w:r w:rsidRPr="002B4964">
        <w:t xml:space="preserve"> in </w:t>
      </w:r>
      <w:r>
        <w:t>mon</w:t>
      </w:r>
      <w:r w:rsidRPr="002B4964">
        <w:t xml:space="preserve">oculture </w:t>
      </w:r>
      <w:r>
        <w:t xml:space="preserve">over a 24h period. </w:t>
      </w:r>
      <w:r w:rsidRPr="00DE2B4B">
        <w:t>The initial inoculum was set at an OD600 of 0.1.</w:t>
      </w:r>
    </w:p>
    <w:p w14:paraId="4F0EA014" w14:textId="3EEEBCBC" w:rsidR="00BC5272" w:rsidRPr="002B4964" w:rsidRDefault="00BC5272" w:rsidP="00BC5272">
      <w:pPr>
        <w:spacing w:line="480" w:lineRule="auto"/>
      </w:pPr>
    </w:p>
    <w:p w14:paraId="7F1FFE45" w14:textId="55160DE9" w:rsidR="00BC5272" w:rsidRDefault="00BC5272" w:rsidP="00BC5272">
      <w:pPr>
        <w:spacing w:line="480" w:lineRule="auto"/>
        <w:jc w:val="both"/>
      </w:pPr>
      <w:r w:rsidRPr="002B4964">
        <w:rPr>
          <w:b/>
          <w:bCs/>
        </w:rPr>
        <w:t>Figure S</w:t>
      </w:r>
      <w:r w:rsidR="00DC18A3">
        <w:rPr>
          <w:b/>
          <w:bCs/>
        </w:rPr>
        <w:t>2</w:t>
      </w:r>
      <w:r w:rsidRPr="002B4964">
        <w:rPr>
          <w:b/>
          <w:bCs/>
        </w:rPr>
        <w:t>:</w:t>
      </w:r>
      <w:r w:rsidRPr="002B4964">
        <w:t xml:space="preserve"> </w:t>
      </w:r>
      <w:r w:rsidR="009F535F">
        <w:t xml:space="preserve">Distribution of proteins in the exoproteome of </w:t>
      </w:r>
      <w:proofErr w:type="spellStart"/>
      <w:r w:rsidRPr="002B4964">
        <w:rPr>
          <w:i/>
          <w:iCs/>
        </w:rPr>
        <w:t>Helcococcus</w:t>
      </w:r>
      <w:proofErr w:type="spellEnd"/>
      <w:r w:rsidRPr="002B4964">
        <w:rPr>
          <w:i/>
          <w:iCs/>
        </w:rPr>
        <w:t xml:space="preserve"> </w:t>
      </w:r>
      <w:proofErr w:type="spellStart"/>
      <w:r w:rsidRPr="002B4964">
        <w:rPr>
          <w:i/>
          <w:iCs/>
        </w:rPr>
        <w:t>kunzii</w:t>
      </w:r>
      <w:proofErr w:type="spellEnd"/>
      <w:r w:rsidRPr="002B4964">
        <w:t xml:space="preserve"> and their associated pathways. </w:t>
      </w:r>
      <w:r w:rsidR="009F535F">
        <w:t xml:space="preserve">It compares the proteins identified in </w:t>
      </w:r>
      <w:r w:rsidRPr="002B4964">
        <w:t>the exponential (OD</w:t>
      </w:r>
      <w:r w:rsidR="009F535F">
        <w:t>600</w:t>
      </w:r>
      <w:r w:rsidRPr="002B4964">
        <w:t>=0.1) and stationary (OD</w:t>
      </w:r>
      <w:r w:rsidR="009F535F">
        <w:t>600</w:t>
      </w:r>
      <w:r w:rsidRPr="002B4964">
        <w:t>=1) phases of growth in</w:t>
      </w:r>
      <w:r w:rsidR="009F535F">
        <w:t xml:space="preserve"> both</w:t>
      </w:r>
      <w:r w:rsidRPr="002B4964">
        <w:t xml:space="preserve"> monoculture (H13) and coculture </w:t>
      </w:r>
      <w:r w:rsidR="009F535F">
        <w:t>conditions</w:t>
      </w:r>
      <w:r w:rsidRPr="002B4964">
        <w:t xml:space="preserve">. Data are visualized using </w:t>
      </w:r>
      <w:r w:rsidR="009F535F">
        <w:t>an</w:t>
      </w:r>
      <w:r w:rsidRPr="002B4964">
        <w:t xml:space="preserve"> </w:t>
      </w:r>
      <w:proofErr w:type="spellStart"/>
      <w:r w:rsidRPr="002B4964">
        <w:t>UpSet</w:t>
      </w:r>
      <w:proofErr w:type="spellEnd"/>
      <w:r w:rsidRPr="002B4964">
        <w:t xml:space="preserve"> matrix layout and plotted horizontally. Each column </w:t>
      </w:r>
      <w:r w:rsidR="009F535F">
        <w:t>in the layout represents a set of</w:t>
      </w:r>
      <w:r w:rsidRPr="002B4964">
        <w:t xml:space="preserve"> proteins</w:t>
      </w:r>
      <w:r w:rsidR="009F535F">
        <w:t xml:space="preserve">, indicated </w:t>
      </w:r>
      <w:r w:rsidRPr="002B4964">
        <w:t>by</w:t>
      </w:r>
      <w:r w:rsidR="009F535F">
        <w:t xml:space="preserve"> </w:t>
      </w:r>
      <w:r w:rsidRPr="002B4964">
        <w:t>dark circles</w:t>
      </w:r>
      <w:r w:rsidR="009F535F">
        <w:t>,</w:t>
      </w:r>
      <w:r w:rsidRPr="002B4964">
        <w:t xml:space="preserve"> and illustrates the associated pathways</w:t>
      </w:r>
      <w:r>
        <w:t>.</w:t>
      </w:r>
    </w:p>
    <w:p w14:paraId="7CE622CD" w14:textId="23D21DC4" w:rsidR="00632F3F" w:rsidRDefault="00632F3F" w:rsidP="00BC5272"/>
    <w:p w14:paraId="6D163E9A" w14:textId="539E7191" w:rsidR="00C76DC0" w:rsidRPr="00F82CB2" w:rsidRDefault="00C76DC0" w:rsidP="00B4660F">
      <w:pPr>
        <w:autoSpaceDE w:val="0"/>
        <w:autoSpaceDN w:val="0"/>
        <w:adjustRightInd w:val="0"/>
        <w:spacing w:line="480" w:lineRule="auto"/>
        <w:jc w:val="both"/>
        <w:rPr>
          <w:rFonts w:cs="Times New Roman"/>
          <w:szCs w:val="24"/>
        </w:rPr>
      </w:pPr>
      <w:bookmarkStart w:id="0" w:name="_Hlk172640862"/>
      <w:bookmarkEnd w:id="0"/>
      <w:r w:rsidRPr="00F60A31">
        <w:rPr>
          <w:b/>
          <w:bCs/>
        </w:rPr>
        <w:t>Figure S3:</w:t>
      </w:r>
      <w:r w:rsidRPr="00F60A31">
        <w:t xml:space="preserve"> </w:t>
      </w:r>
      <w:r w:rsidRPr="00F60A31">
        <w:rPr>
          <w:rFonts w:cs="Times New Roman"/>
          <w:szCs w:val="24"/>
        </w:rPr>
        <w:t xml:space="preserve">Log relative fold-change in mRNA expression of virulence and regulatory genes </w:t>
      </w:r>
      <w:r w:rsidR="000B3F0D" w:rsidRPr="00F60A31">
        <w:rPr>
          <w:rFonts w:cs="Times New Roman"/>
          <w:szCs w:val="24"/>
        </w:rPr>
        <w:t>(</w:t>
      </w:r>
      <w:proofErr w:type="spellStart"/>
      <w:r w:rsidRPr="00F60A31">
        <w:rPr>
          <w:rFonts w:cs="Times New Roman"/>
          <w:i/>
          <w:iCs/>
          <w:szCs w:val="24"/>
        </w:rPr>
        <w:t>hla</w:t>
      </w:r>
      <w:proofErr w:type="spellEnd"/>
      <w:r w:rsidRPr="00F60A31">
        <w:rPr>
          <w:rFonts w:cs="Times New Roman"/>
          <w:szCs w:val="24"/>
        </w:rPr>
        <w:t xml:space="preserve">, </w:t>
      </w:r>
      <w:proofErr w:type="spellStart"/>
      <w:r w:rsidRPr="00F60A31">
        <w:rPr>
          <w:rFonts w:cs="Times New Roman"/>
          <w:i/>
          <w:szCs w:val="24"/>
        </w:rPr>
        <w:t>sigB</w:t>
      </w:r>
      <w:proofErr w:type="spellEnd"/>
      <w:r w:rsidRPr="00F60A31">
        <w:rPr>
          <w:rFonts w:cs="Times New Roman"/>
          <w:szCs w:val="24"/>
        </w:rPr>
        <w:t>,</w:t>
      </w:r>
      <w:r w:rsidRPr="00F60A31">
        <w:rPr>
          <w:rFonts w:cs="Times New Roman"/>
          <w:i/>
          <w:iCs/>
          <w:szCs w:val="24"/>
        </w:rPr>
        <w:t xml:space="preserve"> </w:t>
      </w:r>
      <w:proofErr w:type="spellStart"/>
      <w:r w:rsidRPr="00F60A31">
        <w:rPr>
          <w:rFonts w:cs="Times New Roman"/>
          <w:i/>
          <w:szCs w:val="24"/>
        </w:rPr>
        <w:t>sarA</w:t>
      </w:r>
      <w:proofErr w:type="spellEnd"/>
      <w:r w:rsidRPr="00F60A31">
        <w:rPr>
          <w:rFonts w:cs="Times New Roman"/>
          <w:szCs w:val="24"/>
        </w:rPr>
        <w:t xml:space="preserve"> and </w:t>
      </w:r>
      <w:r w:rsidRPr="00F60A31">
        <w:rPr>
          <w:rFonts w:cs="Times New Roman"/>
          <w:i/>
          <w:iCs/>
          <w:szCs w:val="24"/>
        </w:rPr>
        <w:t>spa</w:t>
      </w:r>
      <w:r w:rsidR="000B3F0D" w:rsidRPr="00F60A31">
        <w:rPr>
          <w:rFonts w:cs="Times New Roman"/>
          <w:szCs w:val="24"/>
        </w:rPr>
        <w:t xml:space="preserve">) </w:t>
      </w:r>
      <w:r w:rsidRPr="00F60A31">
        <w:rPr>
          <w:rFonts w:cs="Times New Roman"/>
          <w:szCs w:val="24"/>
        </w:rPr>
        <w:t xml:space="preserve">in </w:t>
      </w:r>
      <w:r w:rsidRPr="00F60A31">
        <w:rPr>
          <w:rFonts w:cs="Times New Roman"/>
          <w:i/>
          <w:iCs/>
          <w:szCs w:val="24"/>
        </w:rPr>
        <w:t>S. aureus</w:t>
      </w:r>
      <w:r w:rsidRPr="00F60A31">
        <w:rPr>
          <w:rFonts w:cs="Times New Roman"/>
          <w:szCs w:val="24"/>
        </w:rPr>
        <w:t xml:space="preserve">, </w:t>
      </w:r>
      <w:r w:rsidR="000B3F0D" w:rsidRPr="00F60A31">
        <w:rPr>
          <w:rFonts w:cs="Times New Roman"/>
          <w:szCs w:val="24"/>
        </w:rPr>
        <w:t xml:space="preserve">as </w:t>
      </w:r>
      <w:r w:rsidRPr="00F60A31">
        <w:rPr>
          <w:rFonts w:cs="Times New Roman"/>
          <w:szCs w:val="24"/>
        </w:rPr>
        <w:t xml:space="preserve">measured by </w:t>
      </w:r>
      <w:proofErr w:type="spellStart"/>
      <w:r w:rsidRPr="00F60A31">
        <w:rPr>
          <w:rFonts w:cs="Times New Roman"/>
          <w:szCs w:val="24"/>
        </w:rPr>
        <w:t>qRT</w:t>
      </w:r>
      <w:proofErr w:type="spellEnd"/>
      <w:r w:rsidRPr="00F60A31">
        <w:rPr>
          <w:rFonts w:cs="Times New Roman"/>
          <w:szCs w:val="24"/>
        </w:rPr>
        <w:t xml:space="preserve">-PCR. The bacteria were cocultured with </w:t>
      </w:r>
      <w:r w:rsidRPr="00F60A31">
        <w:rPr>
          <w:rFonts w:cs="Times New Roman"/>
          <w:i/>
          <w:iCs/>
          <w:szCs w:val="24"/>
        </w:rPr>
        <w:t>H. kunzii</w:t>
      </w:r>
      <w:r w:rsidRPr="00F60A31">
        <w:rPr>
          <w:rFonts w:cs="Times New Roman"/>
          <w:szCs w:val="24"/>
        </w:rPr>
        <w:t xml:space="preserve"> for 48 hours in CWM</w:t>
      </w:r>
      <w:r w:rsidR="00297884" w:rsidRPr="00F60A31">
        <w:rPr>
          <w:rFonts w:cs="Times New Roman"/>
          <w:szCs w:val="24"/>
        </w:rPr>
        <w:t xml:space="preserve"> (Chronic Wound Medium)</w:t>
      </w:r>
      <w:r w:rsidRPr="00F60A31">
        <w:rPr>
          <w:rFonts w:cs="Times New Roman"/>
          <w:szCs w:val="24"/>
        </w:rPr>
        <w:t xml:space="preserve">. The results are expressed as the mean fold change </w:t>
      </w:r>
      <w:r w:rsidR="000B3F0D" w:rsidRPr="00F60A31">
        <w:rPr>
          <w:rFonts w:cs="Times New Roman"/>
          <w:szCs w:val="24"/>
        </w:rPr>
        <w:t>under</w:t>
      </w:r>
      <w:r w:rsidRPr="00F60A31">
        <w:rPr>
          <w:rFonts w:cs="Times New Roman"/>
          <w:szCs w:val="24"/>
        </w:rPr>
        <w:t xml:space="preserve"> t</w:t>
      </w:r>
      <w:r w:rsidR="000B3F0D" w:rsidRPr="00F60A31">
        <w:rPr>
          <w:rFonts w:cs="Times New Roman"/>
          <w:szCs w:val="24"/>
        </w:rPr>
        <w:t>wo</w:t>
      </w:r>
      <w:r w:rsidRPr="00F60A31">
        <w:rPr>
          <w:rFonts w:cs="Times New Roman"/>
          <w:szCs w:val="24"/>
        </w:rPr>
        <w:t xml:space="preserve"> conditions: 1, Monoculture of </w:t>
      </w:r>
      <w:r w:rsidRPr="00F60A31">
        <w:rPr>
          <w:rFonts w:cs="Times New Roman"/>
          <w:i/>
          <w:iCs/>
          <w:szCs w:val="24"/>
        </w:rPr>
        <w:t>S. aureus</w:t>
      </w:r>
      <w:r w:rsidR="000B3F0D" w:rsidRPr="00F60A31">
        <w:rPr>
          <w:rFonts w:cs="Times New Roman"/>
          <w:szCs w:val="24"/>
        </w:rPr>
        <w:t xml:space="preserve">, which </w:t>
      </w:r>
      <w:r w:rsidRPr="00F60A31">
        <w:rPr>
          <w:rFonts w:cs="Times New Roman"/>
          <w:szCs w:val="24"/>
        </w:rPr>
        <w:t>serv</w:t>
      </w:r>
      <w:r w:rsidR="000B3F0D" w:rsidRPr="00F60A31">
        <w:rPr>
          <w:rFonts w:cs="Times New Roman"/>
          <w:szCs w:val="24"/>
        </w:rPr>
        <w:t>es</w:t>
      </w:r>
      <w:r w:rsidRPr="00F60A31">
        <w:rPr>
          <w:rFonts w:cs="Times New Roman"/>
          <w:szCs w:val="24"/>
        </w:rPr>
        <w:t xml:space="preserve"> as the standardized control; 2, </w:t>
      </w:r>
      <w:r w:rsidR="000B3F0D" w:rsidRPr="00F60A31">
        <w:rPr>
          <w:rFonts w:cs="Times New Roman"/>
          <w:szCs w:val="24"/>
        </w:rPr>
        <w:t>C</w:t>
      </w:r>
      <w:r w:rsidRPr="00F60A31">
        <w:rPr>
          <w:rFonts w:cs="Times New Roman"/>
          <w:szCs w:val="24"/>
        </w:rPr>
        <w:t xml:space="preserve">oculture of NSA739-H13. Error bars represent the standard deviation. Statistical analysis was performed using a t-test on GraphPad Prism version 9.2 to compare the monoculture of each </w:t>
      </w:r>
      <w:r w:rsidRPr="00F60A31">
        <w:rPr>
          <w:rFonts w:cs="Times New Roman"/>
          <w:i/>
          <w:iCs/>
          <w:szCs w:val="24"/>
        </w:rPr>
        <w:t>S. aureus</w:t>
      </w:r>
      <w:r w:rsidRPr="00F60A31">
        <w:rPr>
          <w:rFonts w:cs="Times New Roman"/>
          <w:szCs w:val="24"/>
        </w:rPr>
        <w:t xml:space="preserve"> strain to its respective co-culture. </w:t>
      </w:r>
      <w:r w:rsidR="004068F0" w:rsidRPr="00F60A31">
        <w:rPr>
          <w:rFonts w:cs="Times New Roman"/>
          <w:szCs w:val="24"/>
        </w:rPr>
        <w:t xml:space="preserve">Significance levels are denoted as follows </w:t>
      </w:r>
      <w:r w:rsidRPr="00F60A31">
        <w:rPr>
          <w:rFonts w:cs="Times New Roman"/>
          <w:szCs w:val="24"/>
        </w:rPr>
        <w:t>** p&lt; 0.01; **** p&lt;0. 0001.</w:t>
      </w:r>
    </w:p>
    <w:p w14:paraId="23D5F2D6" w14:textId="77777777" w:rsidR="00C76DC0" w:rsidRDefault="00C76DC0" w:rsidP="007256E9">
      <w:pPr>
        <w:spacing w:line="480" w:lineRule="auto"/>
        <w:jc w:val="both"/>
      </w:pPr>
    </w:p>
    <w:p w14:paraId="5585B8FA" w14:textId="77777777" w:rsidR="00A655C4" w:rsidRDefault="00A655C4" w:rsidP="00A655C4">
      <w:pPr>
        <w:spacing w:line="480" w:lineRule="auto"/>
        <w:jc w:val="both"/>
        <w:rPr>
          <w:b/>
          <w:bCs/>
        </w:rPr>
      </w:pPr>
    </w:p>
    <w:p w14:paraId="749F4157" w14:textId="4AB2C6DE" w:rsidR="00DC18A3" w:rsidRPr="00F60A31" w:rsidRDefault="00A655C4" w:rsidP="00E01C73">
      <w:pPr>
        <w:autoSpaceDE w:val="0"/>
        <w:autoSpaceDN w:val="0"/>
        <w:adjustRightInd w:val="0"/>
        <w:spacing w:line="480" w:lineRule="auto"/>
        <w:jc w:val="both"/>
        <w:rPr>
          <w:rFonts w:cs="Times New Roman"/>
          <w:szCs w:val="24"/>
        </w:rPr>
      </w:pPr>
      <w:r w:rsidRPr="00F60A31">
        <w:rPr>
          <w:b/>
          <w:bCs/>
        </w:rPr>
        <w:t>Figure S4:</w:t>
      </w:r>
      <w:r w:rsidRPr="00F60A31">
        <w:t xml:space="preserve"> Percentage of </w:t>
      </w:r>
      <w:r w:rsidRPr="00F60A31">
        <w:rPr>
          <w:iCs/>
        </w:rPr>
        <w:t xml:space="preserve">hemolysin production test in NSA739 </w:t>
      </w:r>
      <w:r w:rsidRPr="00F60A31">
        <w:rPr>
          <w:i/>
          <w:iCs/>
        </w:rPr>
        <w:t>S. aureus</w:t>
      </w:r>
      <w:r w:rsidRPr="00F60A31">
        <w:rPr>
          <w:iCs/>
        </w:rPr>
        <w:t xml:space="preserve"> compared to </w:t>
      </w:r>
      <w:r w:rsidR="000C3636" w:rsidRPr="00F60A31">
        <w:rPr>
          <w:iCs/>
        </w:rPr>
        <w:t xml:space="preserve">the </w:t>
      </w:r>
      <w:r w:rsidRPr="00F60A31">
        <w:rPr>
          <w:iCs/>
        </w:rPr>
        <w:t>NSA739 - H13 coculture</w:t>
      </w:r>
      <w:r w:rsidR="002B1217" w:rsidRPr="00F60A31">
        <w:rPr>
          <w:iCs/>
        </w:rPr>
        <w:t xml:space="preserve"> (</w:t>
      </w:r>
      <w:r w:rsidR="002B1217" w:rsidRPr="00F60A31">
        <w:rPr>
          <w:b/>
          <w:bCs/>
          <w:iCs/>
        </w:rPr>
        <w:t>A</w:t>
      </w:r>
      <w:r w:rsidR="002B1217" w:rsidRPr="00F60A31">
        <w:rPr>
          <w:iCs/>
        </w:rPr>
        <w:t>)</w:t>
      </w:r>
      <w:r w:rsidR="000C3636" w:rsidRPr="00F60A31">
        <w:rPr>
          <w:iCs/>
        </w:rPr>
        <w:t>.</w:t>
      </w:r>
      <w:r w:rsidRPr="00F60A31">
        <w:rPr>
          <w:iCs/>
        </w:rPr>
        <w:t xml:space="preserve"> Images of hemolysin production of the mono</w:t>
      </w:r>
      <w:r w:rsidR="000C3636" w:rsidRPr="00F60A31">
        <w:rPr>
          <w:iCs/>
        </w:rPr>
        <w:t>culture</w:t>
      </w:r>
      <w:r w:rsidRPr="00F60A31">
        <w:rPr>
          <w:iCs/>
        </w:rPr>
        <w:t xml:space="preserve"> </w:t>
      </w:r>
      <w:r w:rsidR="000C3636" w:rsidRPr="00F60A31">
        <w:rPr>
          <w:iCs/>
        </w:rPr>
        <w:t>(</w:t>
      </w:r>
      <w:r w:rsidR="000C3636" w:rsidRPr="00F60A31">
        <w:rPr>
          <w:b/>
          <w:bCs/>
          <w:iCs/>
        </w:rPr>
        <w:t>B</w:t>
      </w:r>
      <w:r w:rsidR="000C3636" w:rsidRPr="00F60A31">
        <w:rPr>
          <w:iCs/>
        </w:rPr>
        <w:t xml:space="preserve">) </w:t>
      </w:r>
      <w:r w:rsidRPr="00F60A31">
        <w:rPr>
          <w:iCs/>
        </w:rPr>
        <w:t xml:space="preserve">and </w:t>
      </w:r>
      <w:r w:rsidR="000C3636" w:rsidRPr="00F60A31">
        <w:rPr>
          <w:iCs/>
        </w:rPr>
        <w:t>c</w:t>
      </w:r>
      <w:r w:rsidRPr="00F60A31">
        <w:rPr>
          <w:iCs/>
        </w:rPr>
        <w:t xml:space="preserve">oculture </w:t>
      </w:r>
      <w:r w:rsidR="000C3636" w:rsidRPr="00F60A31">
        <w:rPr>
          <w:iCs/>
        </w:rPr>
        <w:t>(</w:t>
      </w:r>
      <w:r w:rsidR="000C3636" w:rsidRPr="00F60A31">
        <w:rPr>
          <w:b/>
          <w:bCs/>
          <w:iCs/>
        </w:rPr>
        <w:t>C</w:t>
      </w:r>
      <w:r w:rsidR="000C3636" w:rsidRPr="00F60A31">
        <w:rPr>
          <w:iCs/>
        </w:rPr>
        <w:t xml:space="preserve">) </w:t>
      </w:r>
      <w:r w:rsidRPr="00F60A31">
        <w:rPr>
          <w:iCs/>
        </w:rPr>
        <w:t>on TSS agar plate</w:t>
      </w:r>
      <w:r w:rsidR="000C3636" w:rsidRPr="00F60A31">
        <w:rPr>
          <w:iCs/>
        </w:rPr>
        <w:t xml:space="preserve"> were presented</w:t>
      </w:r>
      <w:r w:rsidRPr="00F60A31">
        <w:rPr>
          <w:iCs/>
        </w:rPr>
        <w:t>.</w:t>
      </w:r>
      <w:r w:rsidRPr="00F60A31">
        <w:rPr>
          <w:i/>
          <w:iCs/>
        </w:rPr>
        <w:t xml:space="preserve"> </w:t>
      </w:r>
      <w:r w:rsidRPr="00F60A31">
        <w:rPr>
          <w:rFonts w:cs="Times New Roman"/>
          <w:szCs w:val="24"/>
        </w:rPr>
        <w:t xml:space="preserve">Statistical analysis was performed using a t-test on GraphPad Prism version 9.2 to compare the monoculture of NSA739 </w:t>
      </w:r>
      <w:r w:rsidRPr="00F60A31">
        <w:rPr>
          <w:rFonts w:cs="Times New Roman"/>
          <w:i/>
          <w:iCs/>
          <w:szCs w:val="24"/>
        </w:rPr>
        <w:t>S. aureus</w:t>
      </w:r>
      <w:r w:rsidRPr="00F60A31">
        <w:rPr>
          <w:rFonts w:cs="Times New Roman"/>
          <w:szCs w:val="24"/>
        </w:rPr>
        <w:t xml:space="preserve"> strain to its respective coculture with H13.</w:t>
      </w:r>
      <w:r w:rsidR="000C3636" w:rsidRPr="00F60A31">
        <w:rPr>
          <w:rFonts w:cs="Times New Roman"/>
          <w:szCs w:val="24"/>
        </w:rPr>
        <w:t xml:space="preserve"> Significance level is denoted as follows:</w:t>
      </w:r>
      <w:r w:rsidRPr="00F60A31">
        <w:rPr>
          <w:rFonts w:cs="Times New Roman"/>
          <w:szCs w:val="24"/>
        </w:rPr>
        <w:t xml:space="preserve"> **** p&lt;0. 0001.</w:t>
      </w:r>
    </w:p>
    <w:p w14:paraId="7BFD954A" w14:textId="4255DA25" w:rsidR="00DC18A3" w:rsidRPr="00A655C4" w:rsidRDefault="00DC18A3" w:rsidP="007256E9">
      <w:pPr>
        <w:spacing w:line="480" w:lineRule="auto"/>
        <w:jc w:val="both"/>
      </w:pPr>
      <w:r w:rsidRPr="00F60A31">
        <w:rPr>
          <w:b/>
          <w:bCs/>
        </w:rPr>
        <w:t>Figure S</w:t>
      </w:r>
      <w:r w:rsidR="00F82CB2" w:rsidRPr="00F60A31">
        <w:rPr>
          <w:b/>
          <w:bCs/>
        </w:rPr>
        <w:t>5</w:t>
      </w:r>
      <w:r w:rsidRPr="00F60A31">
        <w:rPr>
          <w:b/>
          <w:bCs/>
        </w:rPr>
        <w:t>:</w:t>
      </w:r>
      <w:r w:rsidRPr="00F60A31">
        <w:t xml:space="preserve"> Fold change (log</w:t>
      </w:r>
      <w:r w:rsidRPr="00F60A31">
        <w:rPr>
          <w:vertAlign w:val="subscript"/>
        </w:rPr>
        <w:t>2</w:t>
      </w:r>
      <w:r w:rsidRPr="00F60A31">
        <w:t xml:space="preserve">) protein abundance profile for the biosynthesis pathway altering the production of </w:t>
      </w:r>
      <w:proofErr w:type="spellStart"/>
      <w:r w:rsidRPr="00F60A31">
        <w:t>staphyloferrin</w:t>
      </w:r>
      <w:proofErr w:type="spellEnd"/>
      <w:r w:rsidRPr="00F60A31">
        <w:t xml:space="preserve"> in coculture (OD</w:t>
      </w:r>
      <w:r w:rsidR="00163BF5" w:rsidRPr="00F60A31">
        <w:t>600</w:t>
      </w:r>
      <w:r w:rsidRPr="00F60A31">
        <w:t xml:space="preserve">=1). </w:t>
      </w:r>
      <w:r w:rsidRPr="00F60A31">
        <w:rPr>
          <w:b/>
        </w:rPr>
        <w:t>A</w:t>
      </w:r>
      <w:r w:rsidRPr="00F60A31">
        <w:t xml:space="preserve">. </w:t>
      </w:r>
      <w:proofErr w:type="spellStart"/>
      <w:r w:rsidRPr="00F60A31">
        <w:t>Staphyloferrin</w:t>
      </w:r>
      <w:proofErr w:type="spellEnd"/>
      <w:r w:rsidRPr="00F60A31">
        <w:t xml:space="preserve"> biosynthetic pathway starting from 2-Oxaloglutarate</w:t>
      </w:r>
      <w:r w:rsidR="00163BF5" w:rsidRPr="00F60A31">
        <w:t>, which</w:t>
      </w:r>
      <w:r w:rsidRPr="00F60A31">
        <w:t xml:space="preserve"> is framed in red and </w:t>
      </w:r>
      <w:r w:rsidRPr="00F60A31">
        <w:rPr>
          <w:b/>
        </w:rPr>
        <w:t>B.</w:t>
      </w:r>
      <w:r w:rsidRPr="00F60A31">
        <w:t xml:space="preserve"> Citrate cycle resulting in 2-Oxaloglutarate production. Plain red represents an absence of the protein in coculture</w:t>
      </w:r>
      <w:r w:rsidR="00163BF5" w:rsidRPr="00F60A31">
        <w:t>,</w:t>
      </w:r>
      <w:r w:rsidRPr="00F60A31">
        <w:t xml:space="preserve"> while plain green </w:t>
      </w:r>
      <w:r w:rsidR="00163BF5" w:rsidRPr="00F60A31">
        <w:t xml:space="preserve">indicates </w:t>
      </w:r>
      <w:r w:rsidRPr="00F60A31">
        <w:t xml:space="preserve">exclusive presence in coculture. </w:t>
      </w:r>
      <w:r w:rsidR="00163BF5" w:rsidRPr="00F60A31">
        <w:t>Shades of r</w:t>
      </w:r>
      <w:r w:rsidRPr="00F60A31">
        <w:t xml:space="preserve">ed </w:t>
      </w:r>
      <w:r w:rsidR="00163BF5" w:rsidRPr="00F60A31">
        <w:t>represent</w:t>
      </w:r>
      <w:r w:rsidRPr="00F60A31">
        <w:t xml:space="preserve"> a</w:t>
      </w:r>
      <w:r w:rsidR="00DE2B4B" w:rsidRPr="00F60A31">
        <w:t xml:space="preserve"> reduced production </w:t>
      </w:r>
      <w:r w:rsidRPr="00F60A31">
        <w:t>in coculture experiments (relative to monoculture, log</w:t>
      </w:r>
      <w:r w:rsidRPr="00F60A31">
        <w:rPr>
          <w:vertAlign w:val="subscript"/>
        </w:rPr>
        <w:t>2</w:t>
      </w:r>
      <w:r w:rsidRPr="00F60A31">
        <w:t>[Monoculture/Coculture]), while green indicates the opposite, and gray represents marginal variations. 2-Oxaloglutarate is indicated by a light blue disk. Only significant and specific changes have been represented.</w:t>
      </w:r>
      <w:r w:rsidRPr="002B4964">
        <w:t xml:space="preserve"> </w:t>
      </w:r>
    </w:p>
    <w:p w14:paraId="223D0FAE" w14:textId="622B7231" w:rsidR="007256E9" w:rsidRPr="00E01C73" w:rsidRDefault="007256E9" w:rsidP="00E01C73">
      <w:pPr>
        <w:spacing w:before="0" w:after="0"/>
        <w:rPr>
          <w:rFonts w:asciiTheme="minorHAnsi" w:hAnsiTheme="minorHAnsi" w:cstheme="minorHAnsi"/>
          <w:b/>
          <w:bCs/>
          <w:sz w:val="28"/>
          <w:szCs w:val="28"/>
        </w:rPr>
      </w:pPr>
    </w:p>
    <w:p w14:paraId="1B8F3F62" w14:textId="44237E75" w:rsidR="007256E9" w:rsidRDefault="007256E9" w:rsidP="00BC5272">
      <w:pPr>
        <w:spacing w:line="480" w:lineRule="auto"/>
        <w:jc w:val="both"/>
      </w:pPr>
      <w:r w:rsidRPr="00F60A31">
        <w:rPr>
          <w:b/>
          <w:bCs/>
        </w:rPr>
        <w:t>Figure S</w:t>
      </w:r>
      <w:r w:rsidR="00F82CB2" w:rsidRPr="00F60A31">
        <w:rPr>
          <w:b/>
          <w:bCs/>
        </w:rPr>
        <w:t>6</w:t>
      </w:r>
      <w:r w:rsidRPr="00F60A31">
        <w:rPr>
          <w:b/>
          <w:bCs/>
        </w:rPr>
        <w:t>:</w:t>
      </w:r>
      <w:r w:rsidRPr="00F60A31">
        <w:t xml:space="preserve"> Fold change </w:t>
      </w:r>
      <w:r w:rsidR="00DC18A3" w:rsidRPr="00F60A31">
        <w:t>(log</w:t>
      </w:r>
      <w:r w:rsidR="00DC18A3" w:rsidRPr="00F60A31">
        <w:rPr>
          <w:vertAlign w:val="subscript"/>
        </w:rPr>
        <w:t>2</w:t>
      </w:r>
      <w:r w:rsidR="00DC18A3" w:rsidRPr="00F60A31">
        <w:t xml:space="preserve">) </w:t>
      </w:r>
      <w:r w:rsidRPr="00F60A31">
        <w:t>protein abundance profile</w:t>
      </w:r>
      <w:r w:rsidR="00DC18A3" w:rsidRPr="00F60A31">
        <w:t xml:space="preserve">, at OD=1, </w:t>
      </w:r>
      <w:r w:rsidRPr="00F60A31">
        <w:t xml:space="preserve">for the biosynthetic pathways of </w:t>
      </w:r>
      <w:r w:rsidRPr="00F60A31">
        <w:rPr>
          <w:b/>
          <w:bCs/>
        </w:rPr>
        <w:t>A.</w:t>
      </w:r>
      <w:r w:rsidRPr="00F60A31">
        <w:t xml:space="preserve"> wall (WTA) and lipoteichoic acid (LTA), and </w:t>
      </w:r>
      <w:r w:rsidRPr="00F60A31">
        <w:rPr>
          <w:b/>
          <w:bCs/>
        </w:rPr>
        <w:t>B.</w:t>
      </w:r>
      <w:r w:rsidRPr="00F60A31">
        <w:t xml:space="preserve"> Staphyloxanthin (framed in red) production. </w:t>
      </w:r>
      <w:r w:rsidR="00DC18A3" w:rsidRPr="00F60A31">
        <w:t>Plain red represents an absence of the protein in coculture while plain green stand for exclusive presence in coculture. Red nuances stand for an underabundance in coculture experiments (relative to monoculture, log</w:t>
      </w:r>
      <w:r w:rsidR="00DC18A3" w:rsidRPr="00F60A31">
        <w:rPr>
          <w:vertAlign w:val="subscript"/>
        </w:rPr>
        <w:t>2</w:t>
      </w:r>
      <w:r w:rsidR="00DC18A3" w:rsidRPr="00F60A31">
        <w:t xml:space="preserve">[Monoculture/Coculture]), while green indicates the opposite, and gray represents marginal variations. </w:t>
      </w:r>
      <w:r w:rsidRPr="00F60A31">
        <w:t>Only significant and specific changes have been represented.</w:t>
      </w:r>
      <w:r w:rsidRPr="002B4964">
        <w:t xml:space="preserve"> </w:t>
      </w:r>
    </w:p>
    <w:sectPr w:rsidR="007256E9">
      <w:footerReference w:type="even" r:id="rId7"/>
      <w:foot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DD973" w14:textId="77777777" w:rsidR="00A7074A" w:rsidRDefault="00A7074A" w:rsidP="007256E9">
      <w:pPr>
        <w:spacing w:before="0" w:after="0"/>
      </w:pPr>
      <w:r>
        <w:separator/>
      </w:r>
    </w:p>
  </w:endnote>
  <w:endnote w:type="continuationSeparator" w:id="0">
    <w:p w14:paraId="39EC175F" w14:textId="77777777" w:rsidR="00A7074A" w:rsidRDefault="00A7074A" w:rsidP="007256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43DC" w14:textId="77777777" w:rsidR="00DC18A3" w:rsidRPr="00577C4C" w:rsidRDefault="00737266">
    <w:pPr>
      <w:pStyle w:val="Pieddepage"/>
      <w:rPr>
        <w:color w:val="C00000"/>
        <w:szCs w:val="24"/>
      </w:rPr>
    </w:pPr>
    <w:r>
      <w:rPr>
        <w:noProof/>
      </w:rPr>
      <mc:AlternateContent>
        <mc:Choice Requires="wps">
          <w:drawing>
            <wp:anchor distT="0" distB="0" distL="114300" distR="114300" simplePos="0" relativeHeight="251660288" behindDoc="0" locked="0" layoutInCell="1" allowOverlap="1" wp14:anchorId="3CE50204" wp14:editId="388B37EF">
              <wp:simplePos x="0" y="0"/>
              <wp:positionH relativeFrom="margin">
                <wp:align>right</wp:align>
              </wp:positionH>
              <wp:positionV relativeFrom="bottomMargin">
                <wp:align>top</wp:align>
              </wp:positionV>
              <wp:extent cx="1508760" cy="395605"/>
              <wp:effectExtent l="0" t="0" r="0" b="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95605"/>
                      </a:xfrm>
                      <a:prstGeom prst="rect">
                        <a:avLst/>
                      </a:prstGeom>
                      <a:noFill/>
                      <a:ln w="6350">
                        <a:noFill/>
                      </a:ln>
                      <a:effectLst/>
                    </wps:spPr>
                    <wps:txbx>
                      <w:txbxContent>
                        <w:p w14:paraId="596D32DB" w14:textId="77777777" w:rsidR="00DC18A3" w:rsidRPr="00577C4C" w:rsidRDefault="00737266">
                          <w:pPr>
                            <w:pStyle w:val="Pieddepag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C51D16">
                            <w:rPr>
                              <w:noProof/>
                              <w:color w:val="000000" w:themeColor="text1"/>
                              <w:sz w:val="22"/>
                              <w:szCs w:val="40"/>
                            </w:rPr>
                            <w:t>10</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AC36933" id="_x0000_t202" coordsize="21600,21600" o:spt="202" path="m,l,21600r21600,l21600,xe">
              <v:stroke joinstyle="miter"/>
              <v:path gradientshapeok="t" o:connecttype="rect"/>
            </v:shapetype>
            <v:shape id="Zone de texte 22" o:spid="_x0000_s1026"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" filled="f" stroked="f" strokeweight=".5pt">
              <v:textbox style="mso-fit-shape-to-text:t">
                <w:txbxContent>
                  <w:p w:rsidR="0097229B" w:rsidRPr="00577C4C" w:rsidRDefault="00737266">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C51D16">
                      <w:rPr>
                        <w:noProof/>
                        <w:color w:val="000000" w:themeColor="text1"/>
                        <w:sz w:val="22"/>
                        <w:szCs w:val="40"/>
                      </w:rPr>
                      <w:t>10</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9BC5" w14:textId="77777777" w:rsidR="00DC18A3" w:rsidRPr="00577C4C" w:rsidRDefault="00737266">
    <w:pPr>
      <w:pStyle w:val="Pieddepage"/>
      <w:rPr>
        <w:b/>
        <w:sz w:val="20"/>
        <w:szCs w:val="24"/>
      </w:rPr>
    </w:pPr>
    <w:r>
      <w:rPr>
        <w:noProof/>
      </w:rPr>
      <mc:AlternateContent>
        <mc:Choice Requires="wps">
          <w:drawing>
            <wp:anchor distT="0" distB="0" distL="114300" distR="114300" simplePos="0" relativeHeight="251659264" behindDoc="0" locked="0" layoutInCell="1" allowOverlap="1" wp14:anchorId="4FED958E" wp14:editId="688F383C">
              <wp:simplePos x="0" y="0"/>
              <wp:positionH relativeFrom="margin">
                <wp:align>right</wp:align>
              </wp:positionH>
              <wp:positionV relativeFrom="bottomMargin">
                <wp:align>top</wp:align>
              </wp:positionV>
              <wp:extent cx="1508760" cy="395605"/>
              <wp:effectExtent l="0" t="0" r="0" b="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95605"/>
                      </a:xfrm>
                      <a:prstGeom prst="rect">
                        <a:avLst/>
                      </a:prstGeom>
                      <a:noFill/>
                      <a:ln w="6350">
                        <a:noFill/>
                      </a:ln>
                      <a:effectLst/>
                    </wps:spPr>
                    <wps:txbx>
                      <w:txbxContent>
                        <w:p w14:paraId="682B1427" w14:textId="77777777" w:rsidR="00DC18A3" w:rsidRPr="00577C4C" w:rsidRDefault="00737266">
                          <w:pPr>
                            <w:pStyle w:val="Pieddepage"/>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C51D16">
                            <w:rPr>
                              <w:noProof/>
                              <w:color w:val="000000" w:themeColor="text1"/>
                              <w:sz w:val="22"/>
                              <w:szCs w:val="40"/>
                            </w:rPr>
                            <w:t>9</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567E18E" id="_x0000_t202" coordsize="21600,21600" o:spt="202" path="m,l,21600r21600,l21600,xe">
              <v:stroke joinstyle="miter"/>
              <v:path gradientshapeok="t" o:connecttype="rect"/>
            </v:shapetype>
            <v:shape id="Zone de texte 20"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" filled="f" stroked="f" strokeweight=".5pt">
              <v:textbox style="mso-fit-shape-to-text:t">
                <w:txbxContent>
                  <w:p w:rsidR="0097229B" w:rsidRPr="00577C4C" w:rsidRDefault="00737266">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C51D16">
                      <w:rPr>
                        <w:noProof/>
                        <w:color w:val="000000" w:themeColor="text1"/>
                        <w:sz w:val="22"/>
                        <w:szCs w:val="40"/>
                      </w:rPr>
                      <w:t>9</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DFDFB" w14:textId="77777777" w:rsidR="00A7074A" w:rsidRDefault="00A7074A" w:rsidP="007256E9">
      <w:pPr>
        <w:spacing w:before="0" w:after="0"/>
      </w:pPr>
      <w:r>
        <w:separator/>
      </w:r>
    </w:p>
  </w:footnote>
  <w:footnote w:type="continuationSeparator" w:id="0">
    <w:p w14:paraId="05DBCDB6" w14:textId="77777777" w:rsidR="00A7074A" w:rsidRDefault="00A7074A" w:rsidP="007256E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6EBA" w14:textId="77777777" w:rsidR="00DC18A3" w:rsidRDefault="00737266" w:rsidP="00A53000">
    <w:pPr>
      <w:pStyle w:val="En-tt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58AC22A2"/>
    <w:styleLink w:val="Headings"/>
    <w:lvl w:ilvl="0">
      <w:start w:val="1"/>
      <w:numFmt w:val="decimal"/>
      <w:pStyle w:val="Titre1"/>
      <w:lvlText w:val="%1"/>
      <w:lvlJc w:val="left"/>
      <w:pPr>
        <w:tabs>
          <w:tab w:val="num" w:pos="567"/>
        </w:tabs>
        <w:ind w:left="567" w:hanging="567"/>
      </w:pPr>
      <w:rPr>
        <w:rFonts w:hint="default"/>
      </w:rPr>
    </w:lvl>
    <w:lvl w:ilvl="1">
      <w:start w:val="1"/>
      <w:numFmt w:val="decimal"/>
      <w:pStyle w:val="Titre2"/>
      <w:lvlText w:val="%1.%2"/>
      <w:lvlJc w:val="left"/>
      <w:pPr>
        <w:tabs>
          <w:tab w:val="num" w:pos="567"/>
        </w:tabs>
        <w:ind w:left="567" w:hanging="567"/>
      </w:pPr>
      <w:rPr>
        <w:rFonts w:hint="default"/>
      </w:rPr>
    </w:lvl>
    <w:lvl w:ilvl="2">
      <w:start w:val="1"/>
      <w:numFmt w:val="decimal"/>
      <w:pStyle w:val="Titre3"/>
      <w:lvlText w:val="%1.%2.%3"/>
      <w:lvlJc w:val="left"/>
      <w:pPr>
        <w:tabs>
          <w:tab w:val="num" w:pos="567"/>
        </w:tabs>
        <w:ind w:left="567" w:hanging="567"/>
      </w:pPr>
      <w:rPr>
        <w:rFonts w:hint="default"/>
      </w:rPr>
    </w:lvl>
    <w:lvl w:ilvl="3">
      <w:start w:val="1"/>
      <w:numFmt w:val="decimal"/>
      <w:pStyle w:val="Titre4"/>
      <w:lvlText w:val="%1.%2.%3.%4"/>
      <w:lvlJc w:val="left"/>
      <w:pPr>
        <w:tabs>
          <w:tab w:val="num" w:pos="567"/>
        </w:tabs>
        <w:ind w:left="567" w:hanging="567"/>
      </w:pPr>
      <w:rPr>
        <w:rFonts w:hint="default"/>
      </w:rPr>
    </w:lvl>
    <w:lvl w:ilvl="4">
      <w:start w:val="1"/>
      <w:numFmt w:val="decimal"/>
      <w:pStyle w:val="Titre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73C51C9D"/>
    <w:multiLevelType w:val="hybridMultilevel"/>
    <w:tmpl w:val="61ECFF4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3160974">
    <w:abstractNumId w:val="0"/>
    <w:lvlOverride w:ilvl="0">
      <w:lvl w:ilvl="0">
        <w:start w:val="1"/>
        <w:numFmt w:val="decimal"/>
        <w:pStyle w:val="Titre1"/>
        <w:lvlText w:val="%1"/>
        <w:lvlJc w:val="left"/>
        <w:pPr>
          <w:tabs>
            <w:tab w:val="num" w:pos="567"/>
          </w:tabs>
          <w:ind w:left="567" w:hanging="567"/>
        </w:pPr>
        <w:rPr>
          <w:rFonts w:hint="default"/>
        </w:rPr>
      </w:lvl>
    </w:lvlOverride>
    <w:lvlOverride w:ilvl="1">
      <w:lvl w:ilvl="1">
        <w:start w:val="1"/>
        <w:numFmt w:val="decimal"/>
        <w:pStyle w:val="Titre2"/>
        <w:lvlText w:val="%1.%2"/>
        <w:lvlJc w:val="left"/>
        <w:pPr>
          <w:tabs>
            <w:tab w:val="num" w:pos="567"/>
          </w:tabs>
          <w:ind w:left="567" w:hanging="567"/>
        </w:pPr>
        <w:rPr>
          <w:rFonts w:hint="default"/>
        </w:rPr>
      </w:lvl>
    </w:lvlOverride>
  </w:num>
  <w:num w:numId="2" w16cid:durableId="680741917">
    <w:abstractNumId w:val="0"/>
  </w:num>
  <w:num w:numId="3" w16cid:durableId="1398673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6E9"/>
    <w:rsid w:val="00041989"/>
    <w:rsid w:val="000A2448"/>
    <w:rsid w:val="000B3F0D"/>
    <w:rsid w:val="000C3636"/>
    <w:rsid w:val="00163BF5"/>
    <w:rsid w:val="00194F43"/>
    <w:rsid w:val="00297884"/>
    <w:rsid w:val="002B1042"/>
    <w:rsid w:val="002B1217"/>
    <w:rsid w:val="004068F0"/>
    <w:rsid w:val="004D0BC5"/>
    <w:rsid w:val="004D528C"/>
    <w:rsid w:val="00632F3F"/>
    <w:rsid w:val="006B2515"/>
    <w:rsid w:val="00704A5B"/>
    <w:rsid w:val="007256E9"/>
    <w:rsid w:val="00737266"/>
    <w:rsid w:val="00747B75"/>
    <w:rsid w:val="007B4E3F"/>
    <w:rsid w:val="009D0EBB"/>
    <w:rsid w:val="009E4881"/>
    <w:rsid w:val="009E6F25"/>
    <w:rsid w:val="009F535F"/>
    <w:rsid w:val="00A32CB3"/>
    <w:rsid w:val="00A36720"/>
    <w:rsid w:val="00A655C4"/>
    <w:rsid w:val="00A7074A"/>
    <w:rsid w:val="00B41CA3"/>
    <w:rsid w:val="00B4660F"/>
    <w:rsid w:val="00BC5272"/>
    <w:rsid w:val="00C76DC0"/>
    <w:rsid w:val="00DC18A3"/>
    <w:rsid w:val="00DE2B4B"/>
    <w:rsid w:val="00E01C73"/>
    <w:rsid w:val="00F60A31"/>
    <w:rsid w:val="00F82C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C65CD"/>
  <w15:chartTrackingRefBased/>
  <w15:docId w15:val="{83785AE7-8A8C-A54F-9D53-767DC47F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6E9"/>
    <w:pPr>
      <w:spacing w:before="120" w:after="240"/>
    </w:pPr>
    <w:rPr>
      <w:rFonts w:ascii="Times New Roman" w:hAnsi="Times New Roman"/>
      <w:szCs w:val="22"/>
      <w:lang w:val="en-US"/>
    </w:rPr>
  </w:style>
  <w:style w:type="paragraph" w:styleId="Titre1">
    <w:name w:val="heading 1"/>
    <w:basedOn w:val="Paragraphedeliste"/>
    <w:next w:val="Normal"/>
    <w:link w:val="Titre1Car"/>
    <w:uiPriority w:val="2"/>
    <w:qFormat/>
    <w:rsid w:val="007256E9"/>
    <w:pPr>
      <w:numPr>
        <w:numId w:val="1"/>
      </w:numPr>
      <w:spacing w:before="240"/>
      <w:contextualSpacing w:val="0"/>
      <w:outlineLvl w:val="0"/>
    </w:pPr>
    <w:rPr>
      <w:rFonts w:eastAsia="Cambria" w:cs="Times New Roman"/>
      <w:b/>
      <w:szCs w:val="24"/>
    </w:rPr>
  </w:style>
  <w:style w:type="paragraph" w:styleId="Titre2">
    <w:name w:val="heading 2"/>
    <w:basedOn w:val="Titre1"/>
    <w:next w:val="Normal"/>
    <w:link w:val="Titre2Car"/>
    <w:uiPriority w:val="2"/>
    <w:qFormat/>
    <w:rsid w:val="007256E9"/>
    <w:pPr>
      <w:numPr>
        <w:ilvl w:val="1"/>
      </w:numPr>
      <w:spacing w:after="200"/>
      <w:outlineLvl w:val="1"/>
    </w:pPr>
  </w:style>
  <w:style w:type="paragraph" w:styleId="Titre3">
    <w:name w:val="heading 3"/>
    <w:basedOn w:val="Normal"/>
    <w:next w:val="Normal"/>
    <w:link w:val="Titre3Car"/>
    <w:uiPriority w:val="2"/>
    <w:qFormat/>
    <w:rsid w:val="007256E9"/>
    <w:pPr>
      <w:keepNext/>
      <w:keepLines/>
      <w:numPr>
        <w:ilvl w:val="2"/>
        <w:numId w:val="1"/>
      </w:numPr>
      <w:spacing w:before="40" w:after="120"/>
      <w:outlineLvl w:val="2"/>
    </w:pPr>
    <w:rPr>
      <w:rFonts w:eastAsiaTheme="majorEastAsia" w:cstheme="majorBidi"/>
      <w:b/>
      <w:szCs w:val="24"/>
    </w:rPr>
  </w:style>
  <w:style w:type="paragraph" w:styleId="Titre4">
    <w:name w:val="heading 4"/>
    <w:basedOn w:val="Titre3"/>
    <w:next w:val="Normal"/>
    <w:link w:val="Titre4Car"/>
    <w:uiPriority w:val="2"/>
    <w:qFormat/>
    <w:rsid w:val="007256E9"/>
    <w:pPr>
      <w:numPr>
        <w:ilvl w:val="3"/>
      </w:numPr>
      <w:outlineLvl w:val="3"/>
    </w:pPr>
    <w:rPr>
      <w:iCs/>
    </w:rPr>
  </w:style>
  <w:style w:type="paragraph" w:styleId="Titre5">
    <w:name w:val="heading 5"/>
    <w:basedOn w:val="Titre4"/>
    <w:next w:val="Normal"/>
    <w:link w:val="Titre5Car"/>
    <w:uiPriority w:val="2"/>
    <w:qFormat/>
    <w:rsid w:val="007256E9"/>
    <w:pPr>
      <w:numPr>
        <w:ilvl w:val="4"/>
      </w:numPr>
      <w:outlineLvl w:val="4"/>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7256E9"/>
    <w:rPr>
      <w:rFonts w:ascii="Times New Roman" w:eastAsia="Cambria" w:hAnsi="Times New Roman" w:cs="Times New Roman"/>
      <w:b/>
      <w:lang w:val="en-US"/>
    </w:rPr>
  </w:style>
  <w:style w:type="character" w:customStyle="1" w:styleId="Titre2Car">
    <w:name w:val="Titre 2 Car"/>
    <w:basedOn w:val="Policepardfaut"/>
    <w:link w:val="Titre2"/>
    <w:uiPriority w:val="2"/>
    <w:rsid w:val="007256E9"/>
    <w:rPr>
      <w:rFonts w:ascii="Times New Roman" w:eastAsia="Cambria" w:hAnsi="Times New Roman" w:cs="Times New Roman"/>
      <w:b/>
      <w:lang w:val="en-US"/>
    </w:rPr>
  </w:style>
  <w:style w:type="character" w:customStyle="1" w:styleId="Titre3Car">
    <w:name w:val="Titre 3 Car"/>
    <w:basedOn w:val="Policepardfaut"/>
    <w:link w:val="Titre3"/>
    <w:uiPriority w:val="2"/>
    <w:rsid w:val="007256E9"/>
    <w:rPr>
      <w:rFonts w:ascii="Times New Roman" w:eastAsiaTheme="majorEastAsia" w:hAnsi="Times New Roman" w:cstheme="majorBidi"/>
      <w:b/>
      <w:lang w:val="en-US"/>
    </w:rPr>
  </w:style>
  <w:style w:type="character" w:customStyle="1" w:styleId="Titre4Car">
    <w:name w:val="Titre 4 Car"/>
    <w:basedOn w:val="Policepardfaut"/>
    <w:link w:val="Titre4"/>
    <w:uiPriority w:val="2"/>
    <w:rsid w:val="007256E9"/>
    <w:rPr>
      <w:rFonts w:ascii="Times New Roman" w:eastAsiaTheme="majorEastAsia" w:hAnsi="Times New Roman" w:cstheme="majorBidi"/>
      <w:b/>
      <w:iCs/>
      <w:lang w:val="en-US"/>
    </w:rPr>
  </w:style>
  <w:style w:type="character" w:customStyle="1" w:styleId="Titre5Car">
    <w:name w:val="Titre 5 Car"/>
    <w:basedOn w:val="Policepardfaut"/>
    <w:link w:val="Titre5"/>
    <w:uiPriority w:val="2"/>
    <w:rsid w:val="007256E9"/>
    <w:rPr>
      <w:rFonts w:ascii="Times New Roman" w:eastAsiaTheme="majorEastAsia" w:hAnsi="Times New Roman" w:cstheme="majorBidi"/>
      <w:b/>
      <w:iCs/>
      <w:lang w:val="en-US"/>
    </w:rPr>
  </w:style>
  <w:style w:type="paragraph" w:styleId="En-tte">
    <w:name w:val="header"/>
    <w:basedOn w:val="Normal"/>
    <w:link w:val="En-tteCar"/>
    <w:uiPriority w:val="99"/>
    <w:unhideWhenUsed/>
    <w:rsid w:val="007256E9"/>
    <w:pPr>
      <w:tabs>
        <w:tab w:val="center" w:pos="4844"/>
        <w:tab w:val="right" w:pos="9689"/>
      </w:tabs>
    </w:pPr>
    <w:rPr>
      <w:b/>
    </w:rPr>
  </w:style>
  <w:style w:type="character" w:customStyle="1" w:styleId="En-tteCar">
    <w:name w:val="En-tête Car"/>
    <w:basedOn w:val="Policepardfaut"/>
    <w:link w:val="En-tte"/>
    <w:uiPriority w:val="99"/>
    <w:rsid w:val="007256E9"/>
    <w:rPr>
      <w:rFonts w:ascii="Times New Roman" w:hAnsi="Times New Roman"/>
      <w:b/>
      <w:szCs w:val="22"/>
      <w:lang w:val="en-US"/>
    </w:rPr>
  </w:style>
  <w:style w:type="paragraph" w:styleId="Pieddepage">
    <w:name w:val="footer"/>
    <w:basedOn w:val="Normal"/>
    <w:link w:val="PieddepageCar"/>
    <w:uiPriority w:val="99"/>
    <w:unhideWhenUsed/>
    <w:rsid w:val="007256E9"/>
    <w:pPr>
      <w:tabs>
        <w:tab w:val="center" w:pos="4844"/>
        <w:tab w:val="right" w:pos="9689"/>
      </w:tabs>
      <w:spacing w:after="0"/>
    </w:pPr>
  </w:style>
  <w:style w:type="character" w:customStyle="1" w:styleId="PieddepageCar">
    <w:name w:val="Pied de page Car"/>
    <w:basedOn w:val="Policepardfaut"/>
    <w:link w:val="Pieddepage"/>
    <w:uiPriority w:val="99"/>
    <w:rsid w:val="007256E9"/>
    <w:rPr>
      <w:rFonts w:ascii="Times New Roman" w:hAnsi="Times New Roman"/>
      <w:szCs w:val="22"/>
      <w:lang w:val="en-US"/>
    </w:rPr>
  </w:style>
  <w:style w:type="numbering" w:customStyle="1" w:styleId="Headings">
    <w:name w:val="Headings"/>
    <w:uiPriority w:val="99"/>
    <w:rsid w:val="007256E9"/>
    <w:pPr>
      <w:numPr>
        <w:numId w:val="2"/>
      </w:numPr>
    </w:pPr>
  </w:style>
  <w:style w:type="paragraph" w:styleId="Paragraphedeliste">
    <w:name w:val="List Paragraph"/>
    <w:basedOn w:val="Normal"/>
    <w:uiPriority w:val="34"/>
    <w:qFormat/>
    <w:rsid w:val="007256E9"/>
    <w:pPr>
      <w:ind w:left="720"/>
      <w:contextualSpacing/>
    </w:pPr>
  </w:style>
  <w:style w:type="character" w:styleId="Numrodeligne">
    <w:name w:val="line number"/>
    <w:basedOn w:val="Policepardfaut"/>
    <w:uiPriority w:val="99"/>
    <w:semiHidden/>
    <w:unhideWhenUsed/>
    <w:rsid w:val="007256E9"/>
  </w:style>
  <w:style w:type="character" w:styleId="Marquedecommentaire">
    <w:name w:val="annotation reference"/>
    <w:basedOn w:val="Policepardfaut"/>
    <w:uiPriority w:val="99"/>
    <w:semiHidden/>
    <w:unhideWhenUsed/>
    <w:rsid w:val="00C76DC0"/>
    <w:rPr>
      <w:sz w:val="16"/>
      <w:szCs w:val="16"/>
    </w:rPr>
  </w:style>
  <w:style w:type="paragraph" w:styleId="Commentaire">
    <w:name w:val="annotation text"/>
    <w:basedOn w:val="Normal"/>
    <w:link w:val="CommentaireCar"/>
    <w:uiPriority w:val="99"/>
    <w:semiHidden/>
    <w:unhideWhenUsed/>
    <w:rsid w:val="00C76DC0"/>
    <w:rPr>
      <w:sz w:val="20"/>
      <w:szCs w:val="20"/>
    </w:rPr>
  </w:style>
  <w:style w:type="character" w:customStyle="1" w:styleId="CommentaireCar">
    <w:name w:val="Commentaire Car"/>
    <w:basedOn w:val="Policepardfaut"/>
    <w:link w:val="Commentaire"/>
    <w:uiPriority w:val="99"/>
    <w:semiHidden/>
    <w:rsid w:val="00C76DC0"/>
    <w:rPr>
      <w:rFonts w:ascii="Times New Roman" w:hAnsi="Times New Roman"/>
      <w:sz w:val="20"/>
      <w:szCs w:val="20"/>
      <w:lang w:val="en-US"/>
    </w:rPr>
  </w:style>
  <w:style w:type="paragraph" w:styleId="Textedebulles">
    <w:name w:val="Balloon Text"/>
    <w:basedOn w:val="Normal"/>
    <w:link w:val="TextedebullesCar"/>
    <w:uiPriority w:val="99"/>
    <w:semiHidden/>
    <w:unhideWhenUsed/>
    <w:rsid w:val="00C76DC0"/>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DC0"/>
    <w:rPr>
      <w:rFonts w:ascii="Segoe UI" w:hAnsi="Segoe UI" w:cs="Segoe UI"/>
      <w:sz w:val="18"/>
      <w:szCs w:val="18"/>
      <w:lang w:val="en-US"/>
    </w:rPr>
  </w:style>
  <w:style w:type="paragraph" w:styleId="Objetducommentaire">
    <w:name w:val="annotation subject"/>
    <w:basedOn w:val="Commentaire"/>
    <w:next w:val="Commentaire"/>
    <w:link w:val="ObjetducommentaireCar"/>
    <w:uiPriority w:val="99"/>
    <w:semiHidden/>
    <w:unhideWhenUsed/>
    <w:rsid w:val="00632F3F"/>
    <w:rPr>
      <w:b/>
      <w:bCs/>
    </w:rPr>
  </w:style>
  <w:style w:type="character" w:customStyle="1" w:styleId="ObjetducommentaireCar">
    <w:name w:val="Objet du commentaire Car"/>
    <w:basedOn w:val="CommentaireCar"/>
    <w:link w:val="Objetducommentaire"/>
    <w:uiPriority w:val="99"/>
    <w:semiHidden/>
    <w:rsid w:val="00632F3F"/>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481</Words>
  <Characters>2650</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2024-08-05T21:19:00Z</dcterms:created>
  <dcterms:modified xsi:type="dcterms:W3CDTF">2024-08-05T21:19:00Z</dcterms:modified>
</cp:coreProperties>
</file>