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3D5EE" w14:textId="77777777" w:rsidR="00F17C49" w:rsidRPr="009F0BD1" w:rsidRDefault="00F17C49" w:rsidP="00F17C49">
      <w:pPr>
        <w:spacing w:before="240" w:after="240"/>
        <w:jc w:val="center"/>
        <w:rPr>
          <w:rFonts w:eastAsia="Times New Roman" w:cstheme="majorBidi"/>
          <w:sz w:val="20"/>
          <w:szCs w:val="20"/>
          <w:shd w:val="clear" w:color="auto" w:fill="FFFFFF"/>
        </w:rPr>
      </w:pPr>
      <w:r w:rsidRPr="009F0BD1">
        <w:rPr>
          <w:rFonts w:eastAsia="Times New Roman" w:cstheme="majorBidi"/>
          <w:noProof/>
          <w:sz w:val="20"/>
          <w:szCs w:val="20"/>
          <w:shd w:val="clear" w:color="auto" w:fill="FFFFFF"/>
        </w:rPr>
        <w:drawing>
          <wp:inline distT="0" distB="0" distL="0" distR="0" wp14:anchorId="4209F446" wp14:editId="12ED07DC">
            <wp:extent cx="3633223" cy="5766828"/>
            <wp:effectExtent l="0" t="0" r="571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ry Fig. 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33223" cy="5766828"/>
                    </a:xfrm>
                    <a:prstGeom prst="rect">
                      <a:avLst/>
                    </a:prstGeom>
                  </pic:spPr>
                </pic:pic>
              </a:graphicData>
            </a:graphic>
          </wp:inline>
        </w:drawing>
      </w:r>
    </w:p>
    <w:p w14:paraId="71D2E0E0" w14:textId="77777777" w:rsidR="00F17C49" w:rsidRPr="009F0BD1" w:rsidRDefault="00F17C49" w:rsidP="00F17C49">
      <w:pPr>
        <w:spacing w:before="240" w:after="240"/>
        <w:rPr>
          <w:rFonts w:eastAsia="Times New Roman" w:cstheme="majorBidi"/>
          <w:sz w:val="20"/>
          <w:szCs w:val="20"/>
          <w:shd w:val="clear" w:color="auto" w:fill="FFFFFF"/>
        </w:rPr>
      </w:pPr>
      <w:r w:rsidRPr="009F0BD1">
        <w:rPr>
          <w:rFonts w:eastAsia="Times New Roman" w:cstheme="majorBidi"/>
          <w:sz w:val="20"/>
          <w:szCs w:val="20"/>
          <w:shd w:val="clear" w:color="auto" w:fill="FFFFFF"/>
        </w:rPr>
        <w:t xml:space="preserve">Supplementary Fig. 1. Conceptual outline of study cohorts. Three different study populations were used. For Cohort A, stool samples collected for a study by </w:t>
      </w:r>
      <w:proofErr w:type="spellStart"/>
      <w:r w:rsidRPr="009F0BD1">
        <w:rPr>
          <w:rFonts w:eastAsia="Times New Roman" w:cstheme="majorBidi"/>
          <w:sz w:val="20"/>
          <w:szCs w:val="20"/>
          <w:shd w:val="clear" w:color="auto" w:fill="FFFFFF"/>
        </w:rPr>
        <w:t>Kumpitsch</w:t>
      </w:r>
      <w:proofErr w:type="spellEnd"/>
      <w:r w:rsidRPr="009F0BD1">
        <w:rPr>
          <w:rFonts w:eastAsia="Times New Roman" w:cstheme="majorBidi"/>
          <w:sz w:val="20"/>
          <w:szCs w:val="20"/>
          <w:shd w:val="clear" w:color="auto" w:fill="FFFFFF"/>
        </w:rPr>
        <w:t xml:space="preserve"> et al. </w:t>
      </w:r>
      <w:r w:rsidRPr="009F0BD1">
        <w:rPr>
          <w:rFonts w:eastAsia="Times New Roman" w:cstheme="majorBidi"/>
          <w:sz w:val="20"/>
          <w:szCs w:val="20"/>
          <w:shd w:val="clear" w:color="auto" w:fill="FFFFFF"/>
        </w:rPr>
        <w:fldChar w:fldCharType="begin">
          <w:fldData xml:space="preserve">PEVuZE5vdGU+PENpdGU+PEF1dGhvcj5LdW1waXRzY2g8L0F1dGhvcj48WWVhcj4yMDIxPC9ZZWFy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=
</w:fldData>
        </w:fldChar>
      </w:r>
      <w:r w:rsidRPr="009F0BD1">
        <w:rPr>
          <w:rFonts w:eastAsia="Times New Roman" w:cstheme="majorBidi"/>
          <w:sz w:val="20"/>
          <w:szCs w:val="20"/>
          <w:shd w:val="clear" w:color="auto" w:fill="FFFFFF"/>
        </w:rPr>
        <w:instrText xml:space="preserve"> ADDIN EN.CITE </w:instrText>
      </w:r>
      <w:r w:rsidRPr="009F0BD1">
        <w:rPr>
          <w:rFonts w:eastAsia="Times New Roman" w:cstheme="majorBidi"/>
          <w:sz w:val="20"/>
          <w:szCs w:val="20"/>
          <w:shd w:val="clear" w:color="auto" w:fill="FFFFFF"/>
        </w:rPr>
        <w:fldChar w:fldCharType="begin">
          <w:fldData xml:space="preserve">PEVuZE5vdGU+PENpdGU+PEF1dGhvcj5LdW1waXRzY2g8L0F1dGhvcj48WWVhcj4yMDIxPC9ZZWFy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=
</w:fldData>
        </w:fldChar>
      </w:r>
      <w:r w:rsidRPr="009F0BD1">
        <w:rPr>
          <w:rFonts w:eastAsia="Times New Roman" w:cstheme="majorBidi"/>
          <w:sz w:val="20"/>
          <w:szCs w:val="20"/>
          <w:shd w:val="clear" w:color="auto" w:fill="FFFFFF"/>
        </w:rPr>
        <w:instrText xml:space="preserve"> ADDIN EN.CITE.DATA </w:instrText>
      </w:r>
      <w:r w:rsidRPr="009F0BD1">
        <w:rPr>
          <w:rFonts w:eastAsia="Times New Roman" w:cstheme="majorBidi"/>
          <w:sz w:val="20"/>
          <w:szCs w:val="20"/>
          <w:shd w:val="clear" w:color="auto" w:fill="FFFFFF"/>
        </w:rPr>
      </w:r>
      <w:r w:rsidRPr="009F0BD1">
        <w:rPr>
          <w:rFonts w:eastAsia="Times New Roman" w:cstheme="majorBidi"/>
          <w:sz w:val="20"/>
          <w:szCs w:val="20"/>
          <w:shd w:val="clear" w:color="auto" w:fill="FFFFFF"/>
        </w:rPr>
        <w:fldChar w:fldCharType="end"/>
      </w:r>
      <w:r w:rsidRPr="009F0BD1">
        <w:rPr>
          <w:rFonts w:eastAsia="Times New Roman" w:cstheme="majorBidi"/>
          <w:sz w:val="20"/>
          <w:szCs w:val="20"/>
          <w:shd w:val="clear" w:color="auto" w:fill="FFFFFF"/>
        </w:rPr>
      </w:r>
      <w:r w:rsidRPr="009F0BD1">
        <w:rPr>
          <w:rFonts w:eastAsia="Times New Roman" w:cstheme="majorBidi"/>
          <w:sz w:val="20"/>
          <w:szCs w:val="20"/>
          <w:shd w:val="clear" w:color="auto" w:fill="FFFFFF"/>
        </w:rPr>
        <w:fldChar w:fldCharType="separate"/>
      </w:r>
      <w:r w:rsidRPr="009F0BD1">
        <w:rPr>
          <w:rFonts w:eastAsia="Times New Roman" w:cstheme="majorBidi"/>
          <w:noProof/>
          <w:sz w:val="20"/>
          <w:szCs w:val="20"/>
          <w:shd w:val="clear" w:color="auto" w:fill="FFFFFF"/>
        </w:rPr>
        <w:t>(17)</w:t>
      </w:r>
      <w:r w:rsidRPr="009F0BD1">
        <w:rPr>
          <w:rFonts w:eastAsia="Times New Roman" w:cstheme="majorBidi"/>
          <w:sz w:val="20"/>
          <w:szCs w:val="20"/>
          <w:shd w:val="clear" w:color="auto" w:fill="FFFFFF"/>
        </w:rPr>
        <w:fldChar w:fldCharType="end"/>
      </w:r>
      <w:r w:rsidRPr="009F0BD1">
        <w:rPr>
          <w:rFonts w:eastAsia="Times New Roman" w:cstheme="majorBidi"/>
          <w:sz w:val="20"/>
          <w:szCs w:val="20"/>
          <w:shd w:val="clear" w:color="auto" w:fill="FFFFFF"/>
        </w:rPr>
        <w:t xml:space="preserve"> were used. Cohorts A and B were collected from the same location but at different time points and from different subjects. Samples from Cohorts A and B were processed the same way and a similar method for library preparation was employed. Subjects within Cohort C were enrolled in a study with a close location to cohorts A and B by </w:t>
      </w:r>
      <w:proofErr w:type="spellStart"/>
      <w:r w:rsidRPr="009F0BD1">
        <w:rPr>
          <w:rFonts w:eastAsia="Times New Roman" w:cstheme="majorBidi"/>
          <w:sz w:val="20"/>
          <w:szCs w:val="20"/>
          <w:shd w:val="clear" w:color="auto" w:fill="FFFFFF"/>
        </w:rPr>
        <w:t>Rampelli</w:t>
      </w:r>
      <w:proofErr w:type="spellEnd"/>
      <w:r w:rsidRPr="009F0BD1">
        <w:rPr>
          <w:rFonts w:eastAsia="Times New Roman" w:cstheme="majorBidi"/>
          <w:sz w:val="20"/>
          <w:szCs w:val="20"/>
          <w:shd w:val="clear" w:color="auto" w:fill="FFFFFF"/>
        </w:rPr>
        <w:t xml:space="preserve"> et al. </w:t>
      </w:r>
      <w:r w:rsidRPr="009F0BD1">
        <w:rPr>
          <w:rFonts w:eastAsia="Times New Roman" w:cstheme="majorBidi"/>
          <w:sz w:val="20"/>
          <w:szCs w:val="20"/>
          <w:shd w:val="clear" w:color="auto" w:fill="FFFFFF"/>
        </w:rPr>
        <w:fldChar w:fldCharType="begin">
          <w:fldData xml:space="preserve">PEVuZE5vdGU+PENpdGU+PEF1dGhvcj5SYW1wZWxsaTwvQXV0aG9yPjxZZWFyPjIwMjA8L1llYXI+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</w:fldData>
        </w:fldChar>
      </w:r>
      <w:r w:rsidRPr="009F0BD1">
        <w:rPr>
          <w:rFonts w:eastAsia="Times New Roman" w:cstheme="majorBidi"/>
          <w:sz w:val="20"/>
          <w:szCs w:val="20"/>
          <w:shd w:val="clear" w:color="auto" w:fill="FFFFFF"/>
        </w:rPr>
        <w:instrText xml:space="preserve"> ADDIN EN.CITE </w:instrText>
      </w:r>
      <w:r w:rsidRPr="009F0BD1">
        <w:rPr>
          <w:rFonts w:eastAsia="Times New Roman" w:cstheme="majorBidi"/>
          <w:sz w:val="20"/>
          <w:szCs w:val="20"/>
          <w:shd w:val="clear" w:color="auto" w:fill="FFFFFF"/>
        </w:rPr>
        <w:fldChar w:fldCharType="begin">
          <w:fldData xml:space="preserve">PEVuZE5vdGU+PENpdGU+PEF1dGhvcj5SYW1wZWxsaTwvQXV0aG9yPjxZZWFyPjIwMjA8L1llYXI+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</w:fldData>
        </w:fldChar>
      </w:r>
      <w:r w:rsidRPr="009F0BD1">
        <w:rPr>
          <w:rFonts w:eastAsia="Times New Roman" w:cstheme="majorBidi"/>
          <w:sz w:val="20"/>
          <w:szCs w:val="20"/>
          <w:shd w:val="clear" w:color="auto" w:fill="FFFFFF"/>
        </w:rPr>
        <w:instrText xml:space="preserve"> ADDIN EN.CITE.DATA </w:instrText>
      </w:r>
      <w:r w:rsidRPr="009F0BD1">
        <w:rPr>
          <w:rFonts w:eastAsia="Times New Roman" w:cstheme="majorBidi"/>
          <w:sz w:val="20"/>
          <w:szCs w:val="20"/>
          <w:shd w:val="clear" w:color="auto" w:fill="FFFFFF"/>
        </w:rPr>
      </w:r>
      <w:r w:rsidRPr="009F0BD1">
        <w:rPr>
          <w:rFonts w:eastAsia="Times New Roman" w:cstheme="majorBidi"/>
          <w:sz w:val="20"/>
          <w:szCs w:val="20"/>
          <w:shd w:val="clear" w:color="auto" w:fill="FFFFFF"/>
        </w:rPr>
        <w:fldChar w:fldCharType="end"/>
      </w:r>
      <w:r w:rsidRPr="009F0BD1">
        <w:rPr>
          <w:rFonts w:eastAsia="Times New Roman" w:cstheme="majorBidi"/>
          <w:sz w:val="20"/>
          <w:szCs w:val="20"/>
          <w:shd w:val="clear" w:color="auto" w:fill="FFFFFF"/>
        </w:rPr>
      </w:r>
      <w:r w:rsidRPr="009F0BD1">
        <w:rPr>
          <w:rFonts w:eastAsia="Times New Roman" w:cstheme="majorBidi"/>
          <w:sz w:val="20"/>
          <w:szCs w:val="20"/>
          <w:shd w:val="clear" w:color="auto" w:fill="FFFFFF"/>
        </w:rPr>
        <w:fldChar w:fldCharType="separate"/>
      </w:r>
      <w:r w:rsidRPr="009F0BD1">
        <w:rPr>
          <w:rFonts w:eastAsia="Times New Roman" w:cstheme="majorBidi"/>
          <w:noProof/>
          <w:sz w:val="20"/>
          <w:szCs w:val="20"/>
          <w:shd w:val="clear" w:color="auto" w:fill="FFFFFF"/>
        </w:rPr>
        <w:t>(19)</w:t>
      </w:r>
      <w:r w:rsidRPr="009F0BD1">
        <w:rPr>
          <w:rFonts w:eastAsia="Times New Roman" w:cstheme="majorBidi"/>
          <w:sz w:val="20"/>
          <w:szCs w:val="20"/>
          <w:shd w:val="clear" w:color="auto" w:fill="FFFFFF"/>
        </w:rPr>
        <w:fldChar w:fldCharType="end"/>
      </w:r>
      <w:r w:rsidRPr="009F0BD1">
        <w:rPr>
          <w:rFonts w:eastAsia="Times New Roman" w:cstheme="majorBidi"/>
          <w:sz w:val="20"/>
          <w:szCs w:val="20"/>
          <w:shd w:val="clear" w:color="auto" w:fill="FFFFFF"/>
        </w:rPr>
        <w:t xml:space="preserve">, and the deposited sequences were used for further evaluations. In order to mitigate the study effect and remove the bias based on the methods employed in sequencing, </w:t>
      </w:r>
      <w:proofErr w:type="spellStart"/>
      <w:r w:rsidRPr="009F0BD1">
        <w:rPr>
          <w:rFonts w:eastAsia="Times New Roman" w:cstheme="majorBidi"/>
          <w:sz w:val="20"/>
          <w:szCs w:val="20"/>
          <w:shd w:val="clear" w:color="auto" w:fill="FFFFFF"/>
        </w:rPr>
        <w:t>ConQuR</w:t>
      </w:r>
      <w:proofErr w:type="spellEnd"/>
      <w:r w:rsidRPr="009F0BD1">
        <w:rPr>
          <w:rFonts w:eastAsia="Times New Roman" w:cstheme="majorBidi"/>
          <w:sz w:val="20"/>
          <w:szCs w:val="20"/>
          <w:shd w:val="clear" w:color="auto" w:fill="FFFFFF"/>
        </w:rPr>
        <w:t xml:space="preserve"> was used for correcting the read counts. </w:t>
      </w:r>
    </w:p>
    <w:p w14:paraId="70694B93" w14:textId="66645FFB" w:rsidR="0096194D" w:rsidRDefault="0096194D"/>
    <w:p w14:paraId="5DA4BFD2" w14:textId="77777777" w:rsidR="00F17C49" w:rsidRPr="009F0BD1" w:rsidRDefault="00F17C49" w:rsidP="00F17C49">
      <w:pPr>
        <w:spacing w:before="240" w:after="240"/>
        <w:rPr>
          <w:rFonts w:eastAsia="Times New Roman" w:cstheme="majorBidi"/>
          <w:szCs w:val="24"/>
          <w:shd w:val="clear" w:color="auto" w:fill="FFFFFF"/>
        </w:rPr>
      </w:pPr>
      <w:r w:rsidRPr="009F0BD1">
        <w:rPr>
          <w:rFonts w:eastAsia="Times New Roman" w:cstheme="majorBidi"/>
          <w:noProof/>
          <w:szCs w:val="24"/>
          <w:shd w:val="clear" w:color="auto" w:fill="FFFFFF"/>
        </w:rPr>
        <w:lastRenderedPageBreak/>
        <w:drawing>
          <wp:inline distT="0" distB="0" distL="0" distR="0" wp14:anchorId="37249F9E" wp14:editId="130C4286">
            <wp:extent cx="5760720" cy="5126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pplementary Fig. 2.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60720" cy="5126355"/>
                    </a:xfrm>
                    <a:prstGeom prst="rect">
                      <a:avLst/>
                    </a:prstGeom>
                  </pic:spPr>
                </pic:pic>
              </a:graphicData>
            </a:graphic>
          </wp:inline>
        </w:drawing>
      </w:r>
    </w:p>
    <w:p w14:paraId="145FB80E" w14:textId="77777777" w:rsidR="00F17C49" w:rsidRPr="009F0BD1" w:rsidRDefault="00F17C49" w:rsidP="00F17C49">
      <w:pPr>
        <w:spacing w:before="240" w:after="240"/>
        <w:rPr>
          <w:rFonts w:eastAsia="Times New Roman" w:cstheme="majorBidi"/>
          <w:sz w:val="20"/>
          <w:szCs w:val="20"/>
          <w:shd w:val="clear" w:color="auto" w:fill="FFFFFF"/>
        </w:rPr>
      </w:pPr>
      <w:r w:rsidRPr="009F0BD1">
        <w:rPr>
          <w:rFonts w:eastAsia="Times New Roman" w:cstheme="majorBidi"/>
          <w:sz w:val="20"/>
          <w:szCs w:val="20"/>
          <w:shd w:val="clear" w:color="auto" w:fill="FFFFFF"/>
        </w:rPr>
        <w:t>Supplementary Fig. 2.  Principal Coordinate Analysis (</w:t>
      </w:r>
      <w:proofErr w:type="spellStart"/>
      <w:r w:rsidRPr="009F0BD1">
        <w:rPr>
          <w:rFonts w:eastAsia="Times New Roman" w:cstheme="majorBidi"/>
          <w:sz w:val="20"/>
          <w:szCs w:val="20"/>
          <w:shd w:val="clear" w:color="auto" w:fill="FFFFFF"/>
        </w:rPr>
        <w:t>PCoA</w:t>
      </w:r>
      <w:proofErr w:type="spellEnd"/>
      <w:r w:rsidRPr="009F0BD1">
        <w:rPr>
          <w:rFonts w:eastAsia="Times New Roman" w:cstheme="majorBidi"/>
          <w:sz w:val="20"/>
          <w:szCs w:val="20"/>
          <w:shd w:val="clear" w:color="auto" w:fill="FFFFFF"/>
        </w:rPr>
        <w:t>) plots were generated to visualize the clustering of study cohorts based on Bray-Curtis and Aitchison dissimilarity computed using raw count data. Each data point on the plot corresponds to a sample, while each ellipse represents a batch (study cohorts A, B, or C), with the centroid denoting the mean. The size of the ellipse reflects the dispersion of data points within each batch, and the angle of the ellipse indicates higher-order characteristics specific to the batch. Furthermore, the ellipse connects the 95th percentile of data points, providing a visual representation of the batch's overall distribution. </w:t>
      </w:r>
    </w:p>
    <w:p w14:paraId="33C31260" w14:textId="5860C527" w:rsidR="00F17C49" w:rsidRDefault="00F17C49"/>
    <w:p w14:paraId="52AB6B1B" w14:textId="77777777" w:rsidR="00F17C49" w:rsidRPr="009F0BD1" w:rsidRDefault="00F17C49" w:rsidP="00F17C49">
      <w:pPr>
        <w:rPr>
          <w:rFonts w:eastAsia="Times New Roman" w:cstheme="majorBidi"/>
          <w:szCs w:val="24"/>
        </w:rPr>
      </w:pPr>
      <w:r w:rsidRPr="009F0BD1">
        <w:rPr>
          <w:rFonts w:eastAsia="Times New Roman" w:cstheme="majorBidi"/>
          <w:noProof/>
          <w:szCs w:val="24"/>
        </w:rPr>
        <w:lastRenderedPageBreak/>
        <w:drawing>
          <wp:inline distT="0" distB="0" distL="0" distR="0" wp14:anchorId="41E7B76B" wp14:editId="717469D9">
            <wp:extent cx="5760720" cy="593915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pplementary Fig. 3.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5939155"/>
                    </a:xfrm>
                    <a:prstGeom prst="rect">
                      <a:avLst/>
                    </a:prstGeom>
                  </pic:spPr>
                </pic:pic>
              </a:graphicData>
            </a:graphic>
          </wp:inline>
        </w:drawing>
      </w:r>
    </w:p>
    <w:p w14:paraId="1538DFA0" w14:textId="77777777" w:rsidR="00F17C49" w:rsidRPr="009F0BD1" w:rsidRDefault="00F17C49" w:rsidP="00F17C49">
      <w:pPr>
        <w:rPr>
          <w:rFonts w:eastAsia="Times New Roman" w:cstheme="majorBidi"/>
          <w:sz w:val="20"/>
          <w:szCs w:val="20"/>
          <w:shd w:val="clear" w:color="auto" w:fill="FFFFFF"/>
        </w:rPr>
      </w:pPr>
      <w:r w:rsidRPr="009F0BD1">
        <w:rPr>
          <w:rFonts w:eastAsia="Times New Roman" w:cstheme="majorBidi"/>
          <w:sz w:val="20"/>
          <w:szCs w:val="20"/>
        </w:rPr>
        <w:t xml:space="preserve">Supplementary Fig .3. Alpha and beta diversity indices of overall microbiome in different age groups A) Evenness and richness indices tended to decrease with aging. T-test was used for statistical analysis of the richness index due to the normal distribution of the values while evenness values were not normally distributed.  B) NMDS analysis shows a shift of the clusters based on aging. </w:t>
      </w:r>
      <w:r w:rsidRPr="009F0BD1">
        <w:rPr>
          <w:rFonts w:eastAsia="Times New Roman" w:cstheme="majorBidi"/>
          <w:sz w:val="20"/>
          <w:szCs w:val="20"/>
          <w:shd w:val="clear" w:color="auto" w:fill="FFFFFF"/>
        </w:rPr>
        <w:t>Statistical significance is indicated by **</w:t>
      </w:r>
      <w:r w:rsidRPr="009F0BD1">
        <w:rPr>
          <w:rFonts w:eastAsia="Times New Roman" w:cstheme="majorBidi"/>
          <w:i/>
          <w:iCs/>
          <w:sz w:val="20"/>
          <w:szCs w:val="20"/>
          <w:shd w:val="clear" w:color="auto" w:fill="FFFFFF"/>
        </w:rPr>
        <w:t>p</w:t>
      </w:r>
      <w:r w:rsidRPr="009F0BD1">
        <w:rPr>
          <w:rFonts w:eastAsia="Times New Roman" w:cstheme="majorBidi"/>
          <w:sz w:val="20"/>
          <w:szCs w:val="20"/>
          <w:shd w:val="clear" w:color="auto" w:fill="FFFFFF"/>
        </w:rPr>
        <w:t> &lt; 0.001**</w:t>
      </w:r>
      <w:r w:rsidRPr="009F0BD1">
        <w:rPr>
          <w:rFonts w:eastAsia="Times New Roman" w:cstheme="majorBidi"/>
          <w:i/>
          <w:iCs/>
          <w:sz w:val="20"/>
          <w:szCs w:val="20"/>
          <w:shd w:val="clear" w:color="auto" w:fill="FFFFFF"/>
        </w:rPr>
        <w:t>p</w:t>
      </w:r>
      <w:r w:rsidRPr="009F0BD1">
        <w:rPr>
          <w:rFonts w:eastAsia="Times New Roman" w:cstheme="majorBidi"/>
          <w:sz w:val="20"/>
          <w:szCs w:val="20"/>
          <w:shd w:val="clear" w:color="auto" w:fill="FFFFFF"/>
        </w:rPr>
        <w:t> &lt; 0.01 and *</w:t>
      </w:r>
      <w:r w:rsidRPr="009F0BD1">
        <w:rPr>
          <w:rFonts w:eastAsia="Times New Roman" w:cstheme="majorBidi"/>
          <w:i/>
          <w:iCs/>
          <w:sz w:val="20"/>
          <w:szCs w:val="20"/>
          <w:shd w:val="clear" w:color="auto" w:fill="FFFFFF"/>
        </w:rPr>
        <w:t>p</w:t>
      </w:r>
      <w:r w:rsidRPr="009F0BD1">
        <w:rPr>
          <w:rFonts w:eastAsia="Times New Roman" w:cstheme="majorBidi"/>
          <w:sz w:val="20"/>
          <w:szCs w:val="20"/>
          <w:shd w:val="clear" w:color="auto" w:fill="FFFFFF"/>
        </w:rPr>
        <w:t xml:space="preserve"> &lt; 0.05. C). </w:t>
      </w:r>
    </w:p>
    <w:p w14:paraId="13784508" w14:textId="1A0D8BD7" w:rsidR="00F17C49" w:rsidRDefault="00F17C49"/>
    <w:p w14:paraId="6638D6AE" w14:textId="77777777" w:rsidR="00F17C49" w:rsidRPr="009F0BD1" w:rsidRDefault="00F17C49" w:rsidP="00F17C49">
      <w:pPr>
        <w:spacing w:before="240" w:after="240"/>
        <w:rPr>
          <w:rFonts w:eastAsia="Times New Roman" w:cstheme="majorBidi"/>
          <w:szCs w:val="24"/>
          <w:shd w:val="clear" w:color="auto" w:fill="FFFFFF"/>
        </w:rPr>
      </w:pPr>
      <w:r w:rsidRPr="009F0BD1">
        <w:rPr>
          <w:rFonts w:eastAsia="Times New Roman" w:cstheme="majorBidi"/>
          <w:noProof/>
          <w:szCs w:val="24"/>
          <w:shd w:val="clear" w:color="auto" w:fill="FFFFFF"/>
        </w:rPr>
        <w:lastRenderedPageBreak/>
        <w:drawing>
          <wp:inline distT="0" distB="0" distL="0" distR="0" wp14:anchorId="24DBE26B" wp14:editId="2289ED34">
            <wp:extent cx="5760720" cy="23514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upplementary Fig. 4.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2351405"/>
                    </a:xfrm>
                    <a:prstGeom prst="rect">
                      <a:avLst/>
                    </a:prstGeom>
                  </pic:spPr>
                </pic:pic>
              </a:graphicData>
            </a:graphic>
          </wp:inline>
        </w:drawing>
      </w:r>
    </w:p>
    <w:p w14:paraId="2D90BE28" w14:textId="779A812E" w:rsidR="00F17C49" w:rsidRDefault="00F17C49" w:rsidP="00F17C49">
      <w:pPr>
        <w:spacing w:before="240" w:after="240"/>
        <w:rPr>
          <w:rFonts w:eastAsia="Times New Roman" w:cstheme="majorBidi"/>
          <w:sz w:val="20"/>
          <w:szCs w:val="20"/>
          <w:shd w:val="clear" w:color="auto" w:fill="FFFFFF"/>
        </w:rPr>
      </w:pPr>
      <w:r w:rsidRPr="009F0BD1">
        <w:rPr>
          <w:rFonts w:eastAsia="Times New Roman" w:cstheme="majorBidi"/>
          <w:sz w:val="20"/>
          <w:szCs w:val="20"/>
        </w:rPr>
        <w:t xml:space="preserve">Supplementary Fig. 4. </w:t>
      </w:r>
      <w:r w:rsidRPr="009F0BD1">
        <w:rPr>
          <w:rFonts w:eastAsia="Times New Roman" w:cstheme="majorBidi"/>
          <w:sz w:val="20"/>
          <w:szCs w:val="20"/>
          <w:shd w:val="clear" w:color="auto" w:fill="FFFFFF"/>
        </w:rPr>
        <w:t xml:space="preserve">Age-dependent prevalence of high methanogen phenotype. A) The prevalence of high methanogen phenotype increases with age. B) Association plot visualizing that high frequency of high methanogen phenotype is associated with the CENT age group rather than other age groups. Area of the box is proportional to the difference in observed and expected frequencies of the presence of high methanogen phenotype. The baseline (dotted line) indicates independence of high methanogen phenotype to aging. The boxes rising above the baseline indicate that the observed frequency of a cell is greater than the expected one (if the data were random), and </w:t>
      </w:r>
      <w:r w:rsidRPr="009F0BD1">
        <w:rPr>
          <w:rFonts w:eastAsia="Times New Roman" w:cstheme="majorBidi"/>
          <w:i/>
          <w:iCs/>
          <w:sz w:val="20"/>
          <w:szCs w:val="20"/>
          <w:shd w:val="clear" w:color="auto" w:fill="FFFFFF"/>
        </w:rPr>
        <w:t>vice versa</w:t>
      </w:r>
      <w:r w:rsidRPr="009F0BD1">
        <w:rPr>
          <w:rFonts w:eastAsia="Times New Roman" w:cstheme="majorBidi"/>
          <w:sz w:val="20"/>
          <w:szCs w:val="20"/>
          <w:shd w:val="clear" w:color="auto" w:fill="FFFFFF"/>
        </w:rPr>
        <w:t>. Cells representing negative residuals are drawn below the baseline and vice versa. The width of each of the bar elements in the mosaic reflects the relative magnitude of its value.</w:t>
      </w:r>
    </w:p>
    <w:p w14:paraId="7D5AB3E6" w14:textId="77777777" w:rsidR="00F17C49" w:rsidRPr="009F0BD1" w:rsidRDefault="00F17C49" w:rsidP="00F17C49">
      <w:pPr>
        <w:spacing w:before="240" w:after="240"/>
        <w:rPr>
          <w:rFonts w:eastAsia="Times New Roman" w:cstheme="majorBidi"/>
          <w:sz w:val="20"/>
          <w:szCs w:val="20"/>
          <w:shd w:val="clear" w:color="auto" w:fill="FFFFFF"/>
        </w:rPr>
      </w:pPr>
    </w:p>
    <w:p w14:paraId="1C4AF8C8" w14:textId="77777777" w:rsidR="00F17C49" w:rsidRPr="009F0BD1" w:rsidRDefault="00F17C49" w:rsidP="00F17C49">
      <w:pPr>
        <w:shd w:val="clear" w:color="auto" w:fill="FFFFFF"/>
        <w:rPr>
          <w:rFonts w:eastAsia="Times New Roman" w:cstheme="majorBidi"/>
          <w:szCs w:val="24"/>
        </w:rPr>
      </w:pPr>
      <w:r w:rsidRPr="009F0BD1">
        <w:rPr>
          <w:rFonts w:eastAsia="Times New Roman" w:cstheme="majorBidi"/>
          <w:noProof/>
          <w:szCs w:val="24"/>
        </w:rPr>
        <w:lastRenderedPageBreak/>
        <w:drawing>
          <wp:inline distT="0" distB="0" distL="0" distR="0" wp14:anchorId="66B8E1E7" wp14:editId="5DBF3CDA">
            <wp:extent cx="5760720" cy="73812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upplementary Fig. 5.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7381240"/>
                    </a:xfrm>
                    <a:prstGeom prst="rect">
                      <a:avLst/>
                    </a:prstGeom>
                  </pic:spPr>
                </pic:pic>
              </a:graphicData>
            </a:graphic>
          </wp:inline>
        </w:drawing>
      </w:r>
    </w:p>
    <w:p w14:paraId="0336C1E3" w14:textId="77777777" w:rsidR="00F17C49" w:rsidRPr="009F0BD1" w:rsidRDefault="00F17C49" w:rsidP="00F17C49">
      <w:pPr>
        <w:rPr>
          <w:rFonts w:eastAsia="Times New Roman" w:cstheme="majorBidi"/>
          <w:sz w:val="20"/>
          <w:szCs w:val="20"/>
          <w:shd w:val="clear" w:color="auto" w:fill="FFFFFF"/>
        </w:rPr>
      </w:pPr>
      <w:r w:rsidRPr="009F0BD1">
        <w:rPr>
          <w:rFonts w:eastAsia="Times New Roman" w:cstheme="majorBidi"/>
          <w:sz w:val="20"/>
          <w:szCs w:val="20"/>
        </w:rPr>
        <w:t xml:space="preserve">Supplementary Fig. 5. An examination of the richness index revealed significant differences based on the presence of high methanogen phenotype irrespective of the age classification, with those with high methanogen phenotype showing significantly higher richness. However, the evenness index was only significantly higher in the presence of high methanogen phenotype in YAs. </w:t>
      </w:r>
      <w:r w:rsidRPr="009F0BD1">
        <w:rPr>
          <w:rFonts w:eastAsia="Times New Roman" w:cstheme="majorBidi"/>
          <w:sz w:val="20"/>
          <w:szCs w:val="20"/>
          <w:shd w:val="clear" w:color="auto" w:fill="FFFFFF"/>
        </w:rPr>
        <w:t>***p&lt; 0.001, **p&lt; 0.01.</w:t>
      </w:r>
    </w:p>
    <w:p w14:paraId="14BA8110" w14:textId="0C8E5130" w:rsidR="00F17C49" w:rsidRDefault="00F17C49"/>
    <w:p w14:paraId="706EA4DD" w14:textId="77777777" w:rsidR="00F17C49" w:rsidRPr="009F0BD1" w:rsidRDefault="00F17C49" w:rsidP="00F17C49">
      <w:pPr>
        <w:rPr>
          <w:rFonts w:eastAsia="Times New Roman" w:cstheme="majorBidi"/>
          <w:szCs w:val="24"/>
        </w:rPr>
      </w:pPr>
      <w:r w:rsidRPr="009F0BD1">
        <w:rPr>
          <w:rFonts w:eastAsia="Times New Roman" w:cstheme="majorBidi"/>
          <w:noProof/>
          <w:sz w:val="20"/>
          <w:szCs w:val="20"/>
        </w:rPr>
        <w:drawing>
          <wp:inline distT="0" distB="0" distL="0" distR="0" wp14:anchorId="5FB7AD9E" wp14:editId="248C5FA4">
            <wp:extent cx="5760720" cy="63677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upplementary Fig. 6.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6367780"/>
                    </a:xfrm>
                    <a:prstGeom prst="rect">
                      <a:avLst/>
                    </a:prstGeom>
                  </pic:spPr>
                </pic:pic>
              </a:graphicData>
            </a:graphic>
          </wp:inline>
        </w:drawing>
      </w:r>
      <w:r w:rsidRPr="009F0BD1">
        <w:rPr>
          <w:rFonts w:eastAsia="Times New Roman" w:cstheme="majorBidi"/>
          <w:sz w:val="20"/>
          <w:szCs w:val="20"/>
        </w:rPr>
        <w:t xml:space="preserve">Supplementary Fig. 6. </w:t>
      </w:r>
      <w:r w:rsidRPr="009F0BD1">
        <w:rPr>
          <w:rFonts w:eastAsia="Times New Roman" w:cstheme="majorBidi"/>
          <w:sz w:val="20"/>
          <w:szCs w:val="20"/>
          <w:shd w:val="clear" w:color="auto" w:fill="FFFFFF"/>
        </w:rPr>
        <w:t xml:space="preserve">Box plot of CLR-transformed abundances of the top bacterial taxa per age group based on the presence of high methanogen phenotype. A) Top bacterial taxa at family level per age group. B) Top bacterial taxa at genus level. Significance levels are indicated as ***q &lt; 0.001, **q &lt; 0.01, *q&lt; 0.05, for differentially abundance testing by </w:t>
      </w:r>
      <w:proofErr w:type="spellStart"/>
      <w:r w:rsidRPr="009F0BD1">
        <w:rPr>
          <w:rFonts w:eastAsia="Times New Roman" w:cstheme="majorBidi"/>
          <w:sz w:val="20"/>
          <w:szCs w:val="20"/>
          <w:shd w:val="clear" w:color="auto" w:fill="FFFFFF"/>
        </w:rPr>
        <w:t>ALDEx</w:t>
      </w:r>
      <w:proofErr w:type="spellEnd"/>
      <w:r w:rsidRPr="009F0BD1">
        <w:rPr>
          <w:rFonts w:eastAsia="Times New Roman" w:cstheme="majorBidi"/>
          <w:sz w:val="20"/>
          <w:szCs w:val="20"/>
          <w:shd w:val="clear" w:color="auto" w:fill="FFFFFF"/>
        </w:rPr>
        <w:t>.</w:t>
      </w:r>
    </w:p>
    <w:p w14:paraId="4ACD57AF" w14:textId="383DD6DE" w:rsidR="00F17C49" w:rsidRDefault="00F17C49"/>
    <w:p w14:paraId="75420927" w14:textId="77777777" w:rsidR="00F17C49" w:rsidRPr="009F0BD1" w:rsidRDefault="00F17C49" w:rsidP="00F17C49">
      <w:pPr>
        <w:spacing w:before="240" w:after="240"/>
        <w:rPr>
          <w:rFonts w:eastAsia="Times New Roman" w:cstheme="majorBidi"/>
          <w:sz w:val="20"/>
          <w:szCs w:val="20"/>
        </w:rPr>
      </w:pPr>
      <w:r w:rsidRPr="009F0BD1">
        <w:rPr>
          <w:rFonts w:eastAsia="Times New Roman" w:cstheme="majorBidi"/>
          <w:noProof/>
          <w:sz w:val="20"/>
          <w:szCs w:val="20"/>
        </w:rPr>
        <w:lastRenderedPageBreak/>
        <w:drawing>
          <wp:inline distT="0" distB="0" distL="0" distR="0" wp14:anchorId="01661668" wp14:editId="4476435C">
            <wp:extent cx="5760720" cy="3218815"/>
            <wp:effectExtent l="0" t="0" r="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upplementary Fig. 7.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3218815"/>
                    </a:xfrm>
                    <a:prstGeom prst="rect">
                      <a:avLst/>
                    </a:prstGeom>
                  </pic:spPr>
                </pic:pic>
              </a:graphicData>
            </a:graphic>
          </wp:inline>
        </w:drawing>
      </w:r>
      <w:r w:rsidRPr="009F0BD1">
        <w:rPr>
          <w:rFonts w:eastAsia="Times New Roman" w:cstheme="majorBidi"/>
          <w:sz w:val="20"/>
          <w:szCs w:val="20"/>
        </w:rPr>
        <w:t xml:space="preserve">Supplementary Fig. 7. </w:t>
      </w:r>
      <w:proofErr w:type="spellStart"/>
      <w:r w:rsidRPr="009F0BD1">
        <w:rPr>
          <w:rFonts w:eastAsia="Times New Roman" w:cstheme="majorBidi"/>
          <w:sz w:val="16"/>
          <w:szCs w:val="16"/>
        </w:rPr>
        <w:t>S</w:t>
      </w:r>
      <w:r w:rsidRPr="009F0BD1">
        <w:rPr>
          <w:rFonts w:eastAsia="Times New Roman" w:cstheme="majorBidi"/>
          <w:sz w:val="20"/>
          <w:szCs w:val="20"/>
        </w:rPr>
        <w:t>parCC</w:t>
      </w:r>
      <w:proofErr w:type="spellEnd"/>
      <w:r w:rsidRPr="009F0BD1">
        <w:rPr>
          <w:rFonts w:eastAsia="Times New Roman" w:cstheme="majorBidi"/>
          <w:sz w:val="20"/>
          <w:szCs w:val="20"/>
        </w:rPr>
        <w:t xml:space="preserve"> co-occurrence networks of </w:t>
      </w:r>
      <w:r w:rsidRPr="009F0BD1">
        <w:rPr>
          <w:rFonts w:eastAsia="Times New Roman" w:cstheme="majorBidi"/>
          <w:i/>
          <w:iCs/>
          <w:sz w:val="20"/>
          <w:szCs w:val="20"/>
        </w:rPr>
        <w:t xml:space="preserve">M. </w:t>
      </w:r>
      <w:proofErr w:type="spellStart"/>
      <w:r w:rsidRPr="009F0BD1">
        <w:rPr>
          <w:rFonts w:eastAsia="Times New Roman" w:cstheme="majorBidi"/>
          <w:i/>
          <w:iCs/>
          <w:sz w:val="20"/>
          <w:szCs w:val="20"/>
        </w:rPr>
        <w:t>smithii</w:t>
      </w:r>
      <w:proofErr w:type="spellEnd"/>
      <w:r w:rsidRPr="009F0BD1">
        <w:rPr>
          <w:rFonts w:eastAsia="Times New Roman" w:cstheme="majorBidi"/>
          <w:sz w:val="20"/>
          <w:szCs w:val="20"/>
        </w:rPr>
        <w:t xml:space="preserve"> and </w:t>
      </w:r>
      <w:r w:rsidRPr="009F0BD1">
        <w:rPr>
          <w:rFonts w:eastAsia="Times New Roman" w:cstheme="majorBidi"/>
          <w:i/>
          <w:iCs/>
          <w:sz w:val="20"/>
          <w:szCs w:val="20"/>
        </w:rPr>
        <w:t>Ca.</w:t>
      </w:r>
      <w:r w:rsidRPr="009F0BD1">
        <w:rPr>
          <w:rFonts w:eastAsia="Times New Roman" w:cstheme="majorBidi"/>
          <w:sz w:val="20"/>
          <w:szCs w:val="20"/>
        </w:rPr>
        <w:t xml:space="preserve"> M. </w:t>
      </w:r>
      <w:proofErr w:type="spellStart"/>
      <w:r w:rsidRPr="009F0BD1">
        <w:rPr>
          <w:rFonts w:eastAsia="Times New Roman" w:cstheme="majorBidi"/>
          <w:sz w:val="20"/>
          <w:szCs w:val="20"/>
        </w:rPr>
        <w:t>intestini</w:t>
      </w:r>
      <w:proofErr w:type="spellEnd"/>
      <w:r w:rsidRPr="009F0BD1">
        <w:rPr>
          <w:rFonts w:eastAsia="Times New Roman" w:cstheme="majorBidi"/>
          <w:sz w:val="20"/>
          <w:szCs w:val="20"/>
        </w:rPr>
        <w:t xml:space="preserve"> in samples with high methanogen phenotype in different age groups of YAs, OAs, and CENT (2A). Positive and negative </w:t>
      </w:r>
      <w:proofErr w:type="spellStart"/>
      <w:r w:rsidRPr="009F0BD1">
        <w:rPr>
          <w:rFonts w:eastAsia="Times New Roman" w:cstheme="majorBidi"/>
          <w:sz w:val="20"/>
          <w:szCs w:val="20"/>
        </w:rPr>
        <w:t>SparCC</w:t>
      </w:r>
      <w:proofErr w:type="spellEnd"/>
      <w:r w:rsidRPr="009F0BD1">
        <w:rPr>
          <w:rFonts w:eastAsia="Times New Roman" w:cstheme="majorBidi"/>
          <w:sz w:val="20"/>
          <w:szCs w:val="20"/>
        </w:rPr>
        <w:t xml:space="preserve"> co-occurrences are indicated in green and black, respectively. The details of these co-occurrences are shown in more detail in (2B). </w:t>
      </w:r>
    </w:p>
    <w:p w14:paraId="3768D6A5" w14:textId="440C477D" w:rsidR="00F17C49" w:rsidRDefault="00F17C49"/>
    <w:p w14:paraId="1ED01100" w14:textId="77777777" w:rsidR="00F17C49" w:rsidRPr="009F0BD1" w:rsidRDefault="00F17C49" w:rsidP="00F17C49">
      <w:pPr>
        <w:spacing w:before="240" w:after="240"/>
        <w:rPr>
          <w:rFonts w:eastAsia="Times New Roman" w:cstheme="majorBidi"/>
          <w:sz w:val="20"/>
          <w:szCs w:val="20"/>
          <w:shd w:val="clear" w:color="auto" w:fill="FFFFFF"/>
        </w:rPr>
      </w:pPr>
      <w:r w:rsidRPr="009F0BD1">
        <w:rPr>
          <w:rFonts w:eastAsia="Times New Roman" w:cstheme="majorBidi"/>
          <w:noProof/>
          <w:sz w:val="20"/>
          <w:szCs w:val="20"/>
          <w:shd w:val="clear" w:color="auto" w:fill="FFFFFF"/>
        </w:rPr>
        <w:lastRenderedPageBreak/>
        <w:drawing>
          <wp:inline distT="0" distB="0" distL="0" distR="0" wp14:anchorId="4EE2125D" wp14:editId="51E74636">
            <wp:extent cx="3274116" cy="5359180"/>
            <wp:effectExtent l="0" t="0" r="254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upplementary Fig. 8.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86363" cy="5379226"/>
                    </a:xfrm>
                    <a:prstGeom prst="rect">
                      <a:avLst/>
                    </a:prstGeom>
                  </pic:spPr>
                </pic:pic>
              </a:graphicData>
            </a:graphic>
          </wp:inline>
        </w:drawing>
      </w:r>
    </w:p>
    <w:p w14:paraId="261F6E1D" w14:textId="2F28E4E6" w:rsidR="00F17C49" w:rsidRDefault="00F17C49" w:rsidP="00F17C49">
      <w:r w:rsidRPr="009F0BD1">
        <w:rPr>
          <w:rFonts w:eastAsia="Times New Roman" w:cstheme="majorBidi"/>
          <w:sz w:val="20"/>
          <w:szCs w:val="20"/>
          <w:shd w:val="clear" w:color="auto" w:fill="FFFFFF"/>
        </w:rPr>
        <w:t>Supplementary Fig. 8. Correlation of butyrate kinase pathway genes in young adults with bacterial taxa. ***q &lt; 0.001, **q &lt; 0.01, *q&lt; 0.05.</w:t>
      </w:r>
    </w:p>
    <w:sectPr w:rsidR="00F17C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49"/>
    <w:rsid w:val="001F43F7"/>
    <w:rsid w:val="00214CEC"/>
    <w:rsid w:val="006E32C3"/>
    <w:rsid w:val="006F36E6"/>
    <w:rsid w:val="008E4E89"/>
    <w:rsid w:val="0096194D"/>
    <w:rsid w:val="00B04CDD"/>
    <w:rsid w:val="00F17C4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0E9E4"/>
  <w15:chartTrackingRefBased/>
  <w15:docId w15:val="{85C328CF-14B9-4B5D-8EA8-9C555E55A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C49"/>
    <w:pPr>
      <w:spacing w:after="0" w:line="480" w:lineRule="auto"/>
      <w:jc w:val="both"/>
    </w:pPr>
    <w:rPr>
      <w:rFonts w:asciiTheme="majorBidi" w:hAnsiTheme="majorBidi"/>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612</Words>
  <Characters>3494</Characters>
  <Application>Microsoft Office Word</Application>
  <DocSecurity>0</DocSecurity>
  <Lines>29</Lines>
  <Paragraphs>8</Paragraphs>
  <ScaleCrop>false</ScaleCrop>
  <Company/>
  <LinksUpToDate>false</LinksUpToDate>
  <CharactersWithSpaces>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Arulnidhi Vengatesan (Integra)</dc:creator>
  <cp:keywords/>
  <dc:description/>
  <cp:lastModifiedBy>Arulnidhi Vengatesan (Integra)</cp:lastModifiedBy>
  <cp:revision>1</cp:revision>
  <dcterms:created xsi:type="dcterms:W3CDTF">2025-03-22T12:16:00Z</dcterms:created>
  <dcterms:modified xsi:type="dcterms:W3CDTF">2025-03-22T12:18:00Z</dcterms:modified>
</cp:coreProperties>
</file>